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7E517" w14:textId="71C0FCED" w:rsidR="00310255" w:rsidRDefault="00310255">
      <w:pPr>
        <w:rPr>
          <w:rFonts w:ascii="Verdana" w:hAnsi="Verdana" w:cs="Arial"/>
          <w:b/>
          <w:sz w:val="22"/>
          <w:szCs w:val="22"/>
        </w:rPr>
      </w:pPr>
      <w:bookmarkStart w:id="0" w:name="_Toc506002909"/>
    </w:p>
    <w:p w14:paraId="1DDF8626" w14:textId="77777777" w:rsidR="008A28E0" w:rsidRPr="004B0A8F" w:rsidRDefault="008A28E0">
      <w:pPr>
        <w:jc w:val="center"/>
        <w:rPr>
          <w:rFonts w:ascii="Verdana" w:hAnsi="Verdana" w:cs="Arial"/>
          <w:b/>
          <w:sz w:val="22"/>
          <w:szCs w:val="22"/>
        </w:rPr>
      </w:pPr>
    </w:p>
    <w:p w14:paraId="3CA7E518" w14:textId="77777777" w:rsidR="00B44125" w:rsidRPr="00205C60" w:rsidRDefault="0075109A">
      <w:pPr>
        <w:jc w:val="center"/>
        <w:rPr>
          <w:rFonts w:ascii="Verdana" w:hAnsi="Verdana" w:cs="Arial"/>
          <w:b/>
          <w:sz w:val="22"/>
          <w:szCs w:val="22"/>
        </w:rPr>
      </w:pPr>
      <w:r w:rsidRPr="004B0A8F">
        <w:rPr>
          <w:rFonts w:ascii="Verdana" w:hAnsi="Verdana" w:cs="Arial"/>
          <w:b/>
          <w:sz w:val="22"/>
          <w:szCs w:val="22"/>
        </w:rPr>
        <w:t xml:space="preserve"> </w:t>
      </w:r>
      <w:r w:rsidR="00B44125" w:rsidRPr="00205C60">
        <w:rPr>
          <w:rFonts w:ascii="Verdana" w:hAnsi="Verdana" w:cs="Arial"/>
          <w:b/>
          <w:sz w:val="22"/>
          <w:szCs w:val="22"/>
        </w:rPr>
        <w:t>PROSPECTO</w:t>
      </w:r>
    </w:p>
    <w:p w14:paraId="3CA7E519" w14:textId="77777777" w:rsidR="00B44125" w:rsidRPr="00205C60" w:rsidRDefault="00B44125">
      <w:pPr>
        <w:jc w:val="center"/>
        <w:rPr>
          <w:rFonts w:ascii="Verdana" w:hAnsi="Verdana" w:cs="Arial"/>
          <w:b/>
          <w:sz w:val="22"/>
          <w:szCs w:val="22"/>
        </w:rPr>
      </w:pPr>
    </w:p>
    <w:p w14:paraId="3CA7E51A" w14:textId="77777777" w:rsidR="009137D2" w:rsidRPr="00205C60" w:rsidRDefault="00A97F73">
      <w:pPr>
        <w:jc w:val="center"/>
        <w:rPr>
          <w:rFonts w:ascii="Verdana" w:hAnsi="Verdana" w:cs="Arial"/>
          <w:b/>
          <w:sz w:val="22"/>
          <w:szCs w:val="22"/>
        </w:rPr>
      </w:pPr>
      <w:r w:rsidRPr="00205C60">
        <w:rPr>
          <w:rFonts w:ascii="Verdana" w:hAnsi="Verdana" w:cs="Arial"/>
          <w:b/>
          <w:sz w:val="22"/>
          <w:szCs w:val="22"/>
        </w:rPr>
        <w:t xml:space="preserve">PROGRAMA DE </w:t>
      </w:r>
      <w:r w:rsidR="005D3885" w:rsidRPr="00205C60">
        <w:rPr>
          <w:rFonts w:ascii="Verdana" w:hAnsi="Verdana" w:cs="Arial"/>
          <w:b/>
          <w:sz w:val="22"/>
          <w:szCs w:val="22"/>
        </w:rPr>
        <w:t>EMISION</w:t>
      </w:r>
      <w:r w:rsidR="00B659DC" w:rsidRPr="00205C60">
        <w:rPr>
          <w:rFonts w:ascii="Verdana" w:hAnsi="Verdana" w:cs="Arial"/>
          <w:b/>
          <w:sz w:val="22"/>
          <w:szCs w:val="22"/>
        </w:rPr>
        <w:t>ES</w:t>
      </w:r>
      <w:r w:rsidR="005D3885" w:rsidRPr="00205C60">
        <w:rPr>
          <w:rFonts w:ascii="Verdana" w:hAnsi="Verdana" w:cs="Arial"/>
          <w:b/>
          <w:sz w:val="22"/>
          <w:szCs w:val="22"/>
        </w:rPr>
        <w:t xml:space="preserve"> DE </w:t>
      </w:r>
      <w:r w:rsidRPr="00205C60">
        <w:rPr>
          <w:rFonts w:ascii="Verdana" w:hAnsi="Verdana" w:cs="Arial"/>
          <w:b/>
          <w:sz w:val="22"/>
          <w:szCs w:val="22"/>
        </w:rPr>
        <w:t xml:space="preserve">BONOS ESTANDARIZADOS </w:t>
      </w:r>
    </w:p>
    <w:p w14:paraId="3CA7E51B" w14:textId="77777777" w:rsidR="00B44125" w:rsidRPr="00205C60" w:rsidRDefault="00A97F73">
      <w:pPr>
        <w:jc w:val="center"/>
        <w:rPr>
          <w:rFonts w:ascii="Verdana" w:hAnsi="Verdana" w:cs="Arial"/>
          <w:b/>
          <w:sz w:val="22"/>
          <w:szCs w:val="22"/>
        </w:rPr>
      </w:pPr>
      <w:r w:rsidRPr="00205C60">
        <w:rPr>
          <w:rFonts w:ascii="Verdana" w:hAnsi="Verdana" w:cs="Arial"/>
          <w:b/>
          <w:sz w:val="22"/>
          <w:szCs w:val="22"/>
        </w:rPr>
        <w:t>SERIE B</w:t>
      </w:r>
    </w:p>
    <w:p w14:paraId="3CA7E51C" w14:textId="77777777" w:rsidR="00B44125" w:rsidRPr="00205C60" w:rsidRDefault="00B44125">
      <w:pPr>
        <w:jc w:val="center"/>
        <w:rPr>
          <w:rFonts w:ascii="Verdana" w:hAnsi="Verdana" w:cs="Arial"/>
          <w:b/>
          <w:sz w:val="22"/>
          <w:szCs w:val="22"/>
        </w:rPr>
      </w:pPr>
    </w:p>
    <w:p w14:paraId="3CA7E51D" w14:textId="77777777" w:rsidR="00B44125" w:rsidRPr="00205C60" w:rsidRDefault="000A78AD">
      <w:pPr>
        <w:jc w:val="center"/>
        <w:rPr>
          <w:rFonts w:ascii="Verdana" w:hAnsi="Verdana" w:cs="Arial"/>
          <w:b/>
          <w:sz w:val="22"/>
          <w:szCs w:val="22"/>
        </w:rPr>
      </w:pPr>
      <w:r w:rsidRPr="00205C60">
        <w:rPr>
          <w:rFonts w:ascii="Verdana" w:hAnsi="Verdana"/>
          <w:noProof/>
          <w:sz w:val="22"/>
          <w:szCs w:val="22"/>
          <w:lang w:val="es-CR" w:eastAsia="es-CR"/>
        </w:rPr>
        <w:drawing>
          <wp:inline distT="0" distB="0" distL="0" distR="0" wp14:anchorId="3CA7F4EF" wp14:editId="3CA7F4F0">
            <wp:extent cx="1847850" cy="830912"/>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71786" cy="841675"/>
                    </a:xfrm>
                    <a:prstGeom prst="rect">
                      <a:avLst/>
                    </a:prstGeom>
                  </pic:spPr>
                </pic:pic>
              </a:graphicData>
            </a:graphic>
          </wp:inline>
        </w:drawing>
      </w:r>
    </w:p>
    <w:p w14:paraId="3CA7E51E" w14:textId="77777777" w:rsidR="00B44125" w:rsidRPr="00205C60" w:rsidRDefault="00B44125">
      <w:pPr>
        <w:jc w:val="center"/>
        <w:rPr>
          <w:rFonts w:ascii="Verdana" w:hAnsi="Verdana" w:cs="Arial"/>
          <w:b/>
          <w:sz w:val="22"/>
          <w:szCs w:val="22"/>
        </w:rPr>
      </w:pPr>
    </w:p>
    <w:p w14:paraId="3CA7E51F" w14:textId="77777777" w:rsidR="00B44125" w:rsidRPr="00205C60" w:rsidRDefault="00B44125">
      <w:pPr>
        <w:jc w:val="center"/>
        <w:rPr>
          <w:rFonts w:ascii="Verdana" w:hAnsi="Verdana" w:cs="Arial"/>
          <w:b/>
          <w:sz w:val="22"/>
          <w:szCs w:val="22"/>
        </w:rPr>
      </w:pPr>
      <w:r w:rsidRPr="00205C60">
        <w:rPr>
          <w:rFonts w:ascii="Verdana" w:hAnsi="Verdana" w:cs="Arial"/>
          <w:b/>
          <w:sz w:val="22"/>
          <w:szCs w:val="22"/>
        </w:rPr>
        <w:t>COMPAÑÍA NACIONAL DE FUERZA Y LUZ</w:t>
      </w:r>
    </w:p>
    <w:p w14:paraId="3CA7E520" w14:textId="77777777" w:rsidR="00B44125" w:rsidRPr="00205C60" w:rsidRDefault="00B44125">
      <w:pPr>
        <w:jc w:val="center"/>
        <w:rPr>
          <w:rFonts w:ascii="Verdana" w:hAnsi="Verdana" w:cs="Arial"/>
          <w:b/>
          <w:sz w:val="22"/>
          <w:szCs w:val="22"/>
        </w:rPr>
      </w:pPr>
      <w:r w:rsidRPr="00205C60">
        <w:rPr>
          <w:rFonts w:ascii="Verdana" w:hAnsi="Verdana" w:cs="Arial"/>
          <w:b/>
          <w:sz w:val="22"/>
          <w:szCs w:val="22"/>
        </w:rPr>
        <w:t>SOCIEDAD ANÓNIMA</w:t>
      </w:r>
    </w:p>
    <w:p w14:paraId="3CA7E521" w14:textId="77777777" w:rsidR="00843F81" w:rsidRPr="00205C60" w:rsidRDefault="00843F81">
      <w:pPr>
        <w:jc w:val="center"/>
        <w:rPr>
          <w:rFonts w:ascii="Verdana" w:hAnsi="Verdana" w:cs="Arial"/>
          <w:b/>
          <w:sz w:val="22"/>
          <w:szCs w:val="22"/>
        </w:rPr>
      </w:pPr>
    </w:p>
    <w:p w14:paraId="3CA7E522" w14:textId="77777777" w:rsidR="00A97F73" w:rsidRPr="00205C60" w:rsidRDefault="00A97F73">
      <w:pPr>
        <w:ind w:left="-180"/>
        <w:jc w:val="center"/>
        <w:rPr>
          <w:rFonts w:ascii="Verdana" w:hAnsi="Verdana" w:cs="Arial"/>
          <w:b/>
          <w:sz w:val="22"/>
          <w:szCs w:val="22"/>
        </w:rPr>
      </w:pPr>
    </w:p>
    <w:p w14:paraId="3CA7E523" w14:textId="77777777" w:rsidR="00BC107A" w:rsidRPr="00205C60" w:rsidRDefault="00BC107A">
      <w:pPr>
        <w:ind w:left="-180"/>
        <w:jc w:val="center"/>
        <w:rPr>
          <w:rFonts w:ascii="Verdana" w:hAnsi="Verdana" w:cs="Arial"/>
          <w:b/>
          <w:sz w:val="22"/>
          <w:szCs w:val="22"/>
        </w:rPr>
      </w:pPr>
    </w:p>
    <w:p w14:paraId="3CA7E524" w14:textId="77777777" w:rsidR="00A97F73" w:rsidRPr="00205C60" w:rsidRDefault="00A97F73" w:rsidP="00A97F73">
      <w:pPr>
        <w:jc w:val="center"/>
        <w:rPr>
          <w:rFonts w:ascii="Verdana" w:hAnsi="Verdana" w:cs="Arial"/>
          <w:b/>
          <w:sz w:val="22"/>
          <w:szCs w:val="22"/>
        </w:rPr>
      </w:pPr>
      <w:r w:rsidRPr="00205C60">
        <w:rPr>
          <w:rFonts w:ascii="Verdana" w:hAnsi="Verdana" w:cs="Arial"/>
          <w:b/>
          <w:sz w:val="22"/>
          <w:szCs w:val="22"/>
        </w:rPr>
        <w:t xml:space="preserve">Programa de </w:t>
      </w:r>
      <w:r w:rsidR="0032708E" w:rsidRPr="00205C60">
        <w:rPr>
          <w:rFonts w:ascii="Verdana" w:hAnsi="Verdana" w:cs="Arial"/>
          <w:b/>
          <w:sz w:val="22"/>
          <w:szCs w:val="22"/>
        </w:rPr>
        <w:t xml:space="preserve">Emisiones de </w:t>
      </w:r>
      <w:r w:rsidRPr="00205C60">
        <w:rPr>
          <w:rFonts w:ascii="Verdana" w:hAnsi="Verdana" w:cs="Arial"/>
          <w:b/>
          <w:sz w:val="22"/>
          <w:szCs w:val="22"/>
        </w:rPr>
        <w:t xml:space="preserve">Bonos Estandarizados Serie B: </w:t>
      </w:r>
      <w:r w:rsidR="009C67A1" w:rsidRPr="00205C60">
        <w:rPr>
          <w:rFonts w:ascii="Verdana" w:hAnsi="Verdana" w:cs="Arial"/>
          <w:b/>
          <w:sz w:val="22"/>
          <w:szCs w:val="22"/>
        </w:rPr>
        <w:t>USD</w:t>
      </w:r>
      <w:r w:rsidRPr="00205C60">
        <w:rPr>
          <w:rFonts w:ascii="Verdana" w:hAnsi="Verdana" w:cs="Arial"/>
          <w:b/>
          <w:sz w:val="22"/>
          <w:szCs w:val="22"/>
        </w:rPr>
        <w:t xml:space="preserve"> 106.000.000,00 (Ciento seis millones de dólares</w:t>
      </w:r>
      <w:r w:rsidR="009C67A1" w:rsidRPr="00205C60">
        <w:rPr>
          <w:rFonts w:ascii="Verdana" w:hAnsi="Verdana" w:cs="Arial"/>
          <w:b/>
          <w:sz w:val="22"/>
          <w:szCs w:val="22"/>
        </w:rPr>
        <w:t xml:space="preserve"> estadounidenses</w:t>
      </w:r>
      <w:r w:rsidR="0023443A" w:rsidRPr="00205C60">
        <w:rPr>
          <w:rFonts w:ascii="Verdana" w:hAnsi="Verdana" w:cs="Arial"/>
          <w:b/>
          <w:sz w:val="22"/>
          <w:szCs w:val="22"/>
        </w:rPr>
        <w:t xml:space="preserve"> o su equivalente en colones</w:t>
      </w:r>
      <w:r w:rsidRPr="00205C60">
        <w:rPr>
          <w:rFonts w:ascii="Verdana" w:hAnsi="Verdana" w:cs="Arial"/>
          <w:b/>
          <w:sz w:val="22"/>
          <w:szCs w:val="22"/>
        </w:rPr>
        <w:t>)</w:t>
      </w:r>
    </w:p>
    <w:p w14:paraId="3CA7E525" w14:textId="77777777" w:rsidR="00A97F73" w:rsidRPr="00205C60" w:rsidRDefault="00A97F73" w:rsidP="00A97F73">
      <w:pPr>
        <w:ind w:left="-180"/>
        <w:jc w:val="center"/>
        <w:rPr>
          <w:rFonts w:ascii="Verdana" w:hAnsi="Verdana" w:cs="Arial"/>
          <w:b/>
          <w:sz w:val="22"/>
          <w:szCs w:val="22"/>
        </w:rPr>
      </w:pPr>
      <w:r w:rsidRPr="00205C60">
        <w:rPr>
          <w:rFonts w:ascii="Verdana" w:hAnsi="Verdana" w:cs="Arial"/>
          <w:b/>
          <w:sz w:val="22"/>
          <w:szCs w:val="22"/>
        </w:rPr>
        <w:t>Número de resolución de SUGEVAL autorizando la emisión: SGV-R-</w:t>
      </w:r>
      <w:r w:rsidR="009C67A1" w:rsidRPr="00205C60">
        <w:rPr>
          <w:rFonts w:ascii="Verdana" w:hAnsi="Verdana" w:cs="Arial"/>
          <w:b/>
          <w:sz w:val="22"/>
          <w:szCs w:val="22"/>
        </w:rPr>
        <w:t>2311</w:t>
      </w:r>
      <w:r w:rsidRPr="00205C60">
        <w:rPr>
          <w:rFonts w:ascii="Verdana" w:hAnsi="Verdana" w:cs="Arial"/>
          <w:b/>
          <w:sz w:val="22"/>
          <w:szCs w:val="22"/>
        </w:rPr>
        <w:t xml:space="preserve"> del 1</w:t>
      </w:r>
      <w:r w:rsidR="009C67A1" w:rsidRPr="00205C60">
        <w:rPr>
          <w:rFonts w:ascii="Verdana" w:hAnsi="Verdana" w:cs="Arial"/>
          <w:b/>
          <w:sz w:val="22"/>
          <w:szCs w:val="22"/>
        </w:rPr>
        <w:t>8</w:t>
      </w:r>
      <w:r w:rsidRPr="00205C60">
        <w:rPr>
          <w:rFonts w:ascii="Verdana" w:hAnsi="Verdana" w:cs="Arial"/>
          <w:b/>
          <w:sz w:val="22"/>
          <w:szCs w:val="22"/>
        </w:rPr>
        <w:t xml:space="preserve"> de </w:t>
      </w:r>
      <w:r w:rsidR="009C67A1" w:rsidRPr="00205C60">
        <w:rPr>
          <w:rFonts w:ascii="Verdana" w:hAnsi="Verdana" w:cs="Arial"/>
          <w:b/>
          <w:sz w:val="22"/>
          <w:szCs w:val="22"/>
        </w:rPr>
        <w:t>agosto</w:t>
      </w:r>
      <w:r w:rsidRPr="00205C60">
        <w:rPr>
          <w:rFonts w:ascii="Verdana" w:hAnsi="Verdana" w:cs="Arial"/>
          <w:b/>
          <w:sz w:val="22"/>
          <w:szCs w:val="22"/>
        </w:rPr>
        <w:t xml:space="preserve"> del 20</w:t>
      </w:r>
      <w:r w:rsidR="009C67A1" w:rsidRPr="00205C60">
        <w:rPr>
          <w:rFonts w:ascii="Verdana" w:hAnsi="Verdana" w:cs="Arial"/>
          <w:b/>
          <w:sz w:val="22"/>
          <w:szCs w:val="22"/>
        </w:rPr>
        <w:t>10</w:t>
      </w:r>
    </w:p>
    <w:p w14:paraId="3CA7E526" w14:textId="77777777" w:rsidR="00A97F73" w:rsidRPr="00205C60" w:rsidRDefault="00A97F73">
      <w:pPr>
        <w:ind w:left="-180"/>
        <w:jc w:val="center"/>
        <w:rPr>
          <w:rFonts w:ascii="Verdana" w:hAnsi="Verdana" w:cs="Arial"/>
          <w:b/>
          <w:sz w:val="22"/>
          <w:szCs w:val="22"/>
        </w:rPr>
      </w:pPr>
    </w:p>
    <w:p w14:paraId="3CA7E527" w14:textId="77777777" w:rsidR="00EE28D5" w:rsidRPr="00205C60" w:rsidRDefault="00EE28D5">
      <w:pPr>
        <w:ind w:left="-180"/>
        <w:jc w:val="center"/>
        <w:rPr>
          <w:rFonts w:ascii="Verdana" w:hAnsi="Verdana" w:cs="Arial"/>
          <w:b/>
          <w:sz w:val="22"/>
          <w:szCs w:val="22"/>
        </w:rPr>
      </w:pPr>
    </w:p>
    <w:p w14:paraId="3CA7E528" w14:textId="77777777" w:rsidR="00B44125" w:rsidRPr="00205C60" w:rsidRDefault="00066FC0">
      <w:pPr>
        <w:jc w:val="center"/>
        <w:rPr>
          <w:rFonts w:ascii="Verdana" w:hAnsi="Verdana" w:cs="Arial"/>
          <w:b/>
          <w:sz w:val="22"/>
          <w:szCs w:val="22"/>
        </w:rPr>
      </w:pPr>
      <w:r w:rsidRPr="00205C60">
        <w:rPr>
          <w:rFonts w:ascii="Verdana" w:hAnsi="Verdana" w:cs="Arial"/>
          <w:b/>
          <w:noProof/>
          <w:sz w:val="22"/>
          <w:szCs w:val="22"/>
          <w:lang w:val="es-CR" w:eastAsia="es-CR"/>
        </w:rPr>
        <w:drawing>
          <wp:inline distT="0" distB="0" distL="0" distR="0" wp14:anchorId="3CA7F4F1" wp14:editId="3CA7F4F2">
            <wp:extent cx="1343025" cy="476250"/>
            <wp:effectExtent l="0" t="0" r="0" b="0"/>
            <wp:docPr id="7" name="Imagen 2" descr="Volver al Ini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ver al Inicio"/>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43025" cy="476250"/>
                    </a:xfrm>
                    <a:prstGeom prst="rect">
                      <a:avLst/>
                    </a:prstGeom>
                    <a:noFill/>
                    <a:ln>
                      <a:noFill/>
                    </a:ln>
                  </pic:spPr>
                </pic:pic>
              </a:graphicData>
            </a:graphic>
          </wp:inline>
        </w:drawing>
      </w:r>
    </w:p>
    <w:p w14:paraId="3CA7E529" w14:textId="77777777" w:rsidR="00B44125" w:rsidRPr="00205C60" w:rsidRDefault="00B44125">
      <w:pPr>
        <w:jc w:val="center"/>
        <w:rPr>
          <w:rFonts w:ascii="Verdana" w:hAnsi="Verdana" w:cs="Arial"/>
          <w:b/>
          <w:sz w:val="22"/>
          <w:szCs w:val="22"/>
        </w:rPr>
      </w:pPr>
    </w:p>
    <w:p w14:paraId="3CA7E52A" w14:textId="77777777" w:rsidR="00B44125" w:rsidRPr="00205C60" w:rsidRDefault="00B44125">
      <w:pPr>
        <w:jc w:val="center"/>
        <w:rPr>
          <w:rFonts w:ascii="Verdana" w:hAnsi="Verdana" w:cs="Arial"/>
          <w:b/>
          <w:sz w:val="22"/>
          <w:szCs w:val="22"/>
        </w:rPr>
      </w:pPr>
      <w:r w:rsidRPr="00205C60">
        <w:rPr>
          <w:rFonts w:ascii="Verdana" w:hAnsi="Verdana" w:cs="Arial"/>
          <w:b/>
          <w:sz w:val="22"/>
          <w:szCs w:val="22"/>
        </w:rPr>
        <w:t>Agente Estructurador: Banco de Costa Rica</w:t>
      </w:r>
    </w:p>
    <w:p w14:paraId="3CA7E52B" w14:textId="77777777" w:rsidR="00B44125" w:rsidRPr="00205C60" w:rsidRDefault="00B44125">
      <w:pPr>
        <w:jc w:val="center"/>
        <w:rPr>
          <w:rFonts w:ascii="Verdana" w:hAnsi="Verdana" w:cs="Arial"/>
          <w:b/>
          <w:sz w:val="22"/>
          <w:szCs w:val="22"/>
        </w:rPr>
      </w:pPr>
    </w:p>
    <w:p w14:paraId="3CA7E52C" w14:textId="77777777" w:rsidR="00B44125" w:rsidRPr="00205C60" w:rsidRDefault="00066FC0">
      <w:pPr>
        <w:jc w:val="center"/>
        <w:rPr>
          <w:rFonts w:ascii="Verdana" w:hAnsi="Verdana" w:cs="Arial"/>
          <w:b/>
          <w:sz w:val="22"/>
          <w:szCs w:val="22"/>
        </w:rPr>
      </w:pPr>
      <w:r w:rsidRPr="00205C60">
        <w:rPr>
          <w:rFonts w:ascii="Verdana" w:hAnsi="Verdana" w:cs="Tahoma"/>
          <w:noProof/>
          <w:sz w:val="22"/>
          <w:szCs w:val="22"/>
          <w:lang w:val="es-CR" w:eastAsia="es-CR"/>
        </w:rPr>
        <w:drawing>
          <wp:inline distT="0" distB="0" distL="0" distR="0" wp14:anchorId="3CA7F4F3" wp14:editId="3CA7F4F4">
            <wp:extent cx="1495425" cy="581025"/>
            <wp:effectExtent l="0" t="0" r="9525" b="9525"/>
            <wp:docPr id="3" name="Imagen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5425" cy="581025"/>
                    </a:xfrm>
                    <a:prstGeom prst="rect">
                      <a:avLst/>
                    </a:prstGeom>
                    <a:noFill/>
                    <a:ln>
                      <a:noFill/>
                    </a:ln>
                  </pic:spPr>
                </pic:pic>
              </a:graphicData>
            </a:graphic>
          </wp:inline>
        </w:drawing>
      </w:r>
    </w:p>
    <w:p w14:paraId="3CA7E52D" w14:textId="77777777" w:rsidR="00B44125" w:rsidRPr="00205C60" w:rsidRDefault="00B44125">
      <w:pPr>
        <w:jc w:val="center"/>
        <w:rPr>
          <w:rFonts w:ascii="Verdana" w:hAnsi="Verdana" w:cs="Arial"/>
          <w:sz w:val="22"/>
          <w:szCs w:val="22"/>
        </w:rPr>
      </w:pPr>
    </w:p>
    <w:p w14:paraId="3CA7E52E" w14:textId="77777777" w:rsidR="00B44125" w:rsidRPr="00205C60" w:rsidRDefault="00B44125">
      <w:pPr>
        <w:jc w:val="center"/>
        <w:rPr>
          <w:rFonts w:ascii="Verdana" w:hAnsi="Verdana" w:cs="Arial"/>
          <w:b/>
          <w:sz w:val="22"/>
          <w:szCs w:val="22"/>
        </w:rPr>
      </w:pPr>
    </w:p>
    <w:p w14:paraId="3CA7E52F" w14:textId="77777777" w:rsidR="00A24E6B" w:rsidRPr="00205C60" w:rsidRDefault="00B44125">
      <w:pPr>
        <w:jc w:val="center"/>
        <w:rPr>
          <w:rFonts w:ascii="Verdana" w:hAnsi="Verdana" w:cs="Arial"/>
          <w:b/>
          <w:sz w:val="22"/>
          <w:szCs w:val="22"/>
        </w:rPr>
      </w:pPr>
      <w:r w:rsidRPr="00205C60">
        <w:rPr>
          <w:rFonts w:ascii="Verdana" w:hAnsi="Verdana" w:cs="Arial"/>
          <w:b/>
          <w:sz w:val="22"/>
          <w:szCs w:val="22"/>
        </w:rPr>
        <w:t>Puesto de Bolsa representante</w:t>
      </w:r>
      <w:r w:rsidR="00B659DC" w:rsidRPr="00205C60">
        <w:rPr>
          <w:rFonts w:ascii="Verdana" w:hAnsi="Verdana" w:cs="Arial"/>
          <w:b/>
          <w:sz w:val="22"/>
          <w:szCs w:val="22"/>
        </w:rPr>
        <w:t xml:space="preserve">: </w:t>
      </w:r>
      <w:r w:rsidRPr="00205C60">
        <w:rPr>
          <w:rFonts w:ascii="Verdana" w:hAnsi="Verdana" w:cs="Arial"/>
          <w:b/>
          <w:sz w:val="22"/>
          <w:szCs w:val="22"/>
        </w:rPr>
        <w:t xml:space="preserve">BCR </w:t>
      </w:r>
      <w:r w:rsidR="0019514E" w:rsidRPr="00205C60">
        <w:rPr>
          <w:rFonts w:ascii="Verdana" w:hAnsi="Verdana" w:cs="Arial"/>
          <w:b/>
          <w:sz w:val="22"/>
          <w:szCs w:val="22"/>
        </w:rPr>
        <w:t xml:space="preserve">Valores, S.A. </w:t>
      </w:r>
    </w:p>
    <w:p w14:paraId="3CA7E530" w14:textId="77777777" w:rsidR="009C67A1" w:rsidRPr="00205C60" w:rsidRDefault="009C67A1">
      <w:pPr>
        <w:jc w:val="center"/>
        <w:rPr>
          <w:rFonts w:ascii="Verdana" w:hAnsi="Verdana" w:cs="Arial"/>
          <w:b/>
          <w:sz w:val="22"/>
          <w:szCs w:val="22"/>
        </w:rPr>
      </w:pPr>
    </w:p>
    <w:p w14:paraId="3CA7E531" w14:textId="77777777" w:rsidR="00B44125" w:rsidRPr="00205C60" w:rsidRDefault="00B44125">
      <w:pPr>
        <w:jc w:val="center"/>
        <w:rPr>
          <w:rFonts w:ascii="Verdana" w:hAnsi="Verdana" w:cs="Arial"/>
          <w:b/>
          <w:sz w:val="22"/>
          <w:szCs w:val="22"/>
        </w:rPr>
      </w:pPr>
      <w:r w:rsidRPr="00205C60">
        <w:rPr>
          <w:rFonts w:ascii="Verdana" w:hAnsi="Verdana" w:cs="Arial"/>
          <w:b/>
          <w:sz w:val="22"/>
          <w:szCs w:val="22"/>
        </w:rPr>
        <w:t>“La autorización para realizar oferta pública no implica calificación sobre la emisión, ni la solvencia del emisor o el intermediario”</w:t>
      </w:r>
    </w:p>
    <w:p w14:paraId="3CA7E532" w14:textId="77777777" w:rsidR="00B44125" w:rsidRPr="00205C60" w:rsidRDefault="00B44125">
      <w:pPr>
        <w:pStyle w:val="Ttulo6"/>
        <w:numPr>
          <w:ilvl w:val="0"/>
          <w:numId w:val="0"/>
        </w:numPr>
        <w:ind w:left="720"/>
        <w:rPr>
          <w:rFonts w:ascii="Verdana" w:hAnsi="Verdana" w:cs="Arial"/>
          <w:sz w:val="22"/>
          <w:szCs w:val="22"/>
        </w:rPr>
      </w:pPr>
    </w:p>
    <w:p w14:paraId="3CA7E534" w14:textId="77777777" w:rsidR="00BC107A" w:rsidRPr="00205C60" w:rsidRDefault="00BC107A" w:rsidP="00BC107A">
      <w:pPr>
        <w:rPr>
          <w:rFonts w:ascii="Verdana" w:hAnsi="Verdana"/>
          <w:sz w:val="22"/>
          <w:szCs w:val="22"/>
        </w:rPr>
      </w:pPr>
    </w:p>
    <w:p w14:paraId="3CA7E535" w14:textId="72E7CE68" w:rsidR="00B44125" w:rsidRPr="00205C60" w:rsidRDefault="006D625D" w:rsidP="008C1B1A">
      <w:pPr>
        <w:jc w:val="center"/>
        <w:rPr>
          <w:rFonts w:ascii="Verdana" w:hAnsi="Verdana" w:cs="Arial"/>
          <w:b/>
          <w:sz w:val="22"/>
          <w:szCs w:val="22"/>
        </w:rPr>
      </w:pPr>
      <w:r w:rsidRPr="00205C60">
        <w:rPr>
          <w:rFonts w:ascii="Verdana" w:hAnsi="Verdana" w:cs="Arial"/>
          <w:b/>
          <w:sz w:val="22"/>
          <w:szCs w:val="22"/>
        </w:rPr>
        <w:t>02 de junio</w:t>
      </w:r>
      <w:r w:rsidR="00E819AF" w:rsidRPr="00205C60">
        <w:rPr>
          <w:rFonts w:ascii="Verdana" w:hAnsi="Verdana" w:cs="Arial"/>
          <w:b/>
          <w:sz w:val="22"/>
          <w:szCs w:val="22"/>
        </w:rPr>
        <w:t xml:space="preserve"> 20</w:t>
      </w:r>
      <w:r w:rsidR="00530484" w:rsidRPr="00205C60">
        <w:rPr>
          <w:rFonts w:ascii="Verdana" w:hAnsi="Verdana" w:cs="Arial"/>
          <w:b/>
          <w:sz w:val="22"/>
          <w:szCs w:val="22"/>
        </w:rPr>
        <w:t>2</w:t>
      </w:r>
      <w:r w:rsidR="009A6192" w:rsidRPr="00205C60">
        <w:rPr>
          <w:rFonts w:ascii="Verdana" w:hAnsi="Verdana" w:cs="Arial"/>
          <w:b/>
          <w:sz w:val="22"/>
          <w:szCs w:val="22"/>
        </w:rPr>
        <w:t>3</w:t>
      </w:r>
      <w:r w:rsidR="00BE770B" w:rsidRPr="00205C60">
        <w:rPr>
          <w:rFonts w:ascii="Verdana" w:hAnsi="Verdana" w:cs="Arial"/>
          <w:b/>
          <w:sz w:val="22"/>
          <w:szCs w:val="22"/>
        </w:rPr>
        <w:t xml:space="preserve"> </w:t>
      </w:r>
    </w:p>
    <w:p w14:paraId="3CA7E536" w14:textId="77777777" w:rsidR="00B44125" w:rsidRPr="00205C60" w:rsidRDefault="00B70BE0" w:rsidP="00B70BE0">
      <w:pPr>
        <w:jc w:val="center"/>
        <w:rPr>
          <w:rFonts w:ascii="Verdana" w:hAnsi="Verdana" w:cs="Arial"/>
          <w:b/>
          <w:sz w:val="22"/>
          <w:szCs w:val="22"/>
        </w:rPr>
      </w:pPr>
      <w:r w:rsidRPr="00205C60">
        <w:rPr>
          <w:rFonts w:ascii="Verdana" w:hAnsi="Verdana" w:cs="Arial"/>
          <w:b/>
          <w:sz w:val="22"/>
          <w:szCs w:val="22"/>
        </w:rPr>
        <w:t>San José, Costa Ric</w:t>
      </w:r>
      <w:r w:rsidR="009D0BD3" w:rsidRPr="00205C60">
        <w:rPr>
          <w:rFonts w:ascii="Verdana" w:hAnsi="Verdana" w:cs="Arial"/>
          <w:b/>
          <w:sz w:val="22"/>
          <w:szCs w:val="22"/>
        </w:rPr>
        <w:t>a</w:t>
      </w:r>
    </w:p>
    <w:p w14:paraId="3CA7E537" w14:textId="77777777" w:rsidR="00B44125" w:rsidRPr="00205C60" w:rsidRDefault="00B44125">
      <w:pPr>
        <w:pStyle w:val="Ttulo2"/>
        <w:numPr>
          <w:ilvl w:val="0"/>
          <w:numId w:val="0"/>
        </w:numPr>
        <w:jc w:val="center"/>
        <w:rPr>
          <w:rFonts w:ascii="Verdana" w:hAnsi="Verdana" w:cs="Arial"/>
          <w:sz w:val="22"/>
          <w:szCs w:val="22"/>
        </w:rPr>
      </w:pPr>
      <w:bookmarkStart w:id="1" w:name="_Toc92517681"/>
      <w:bookmarkEnd w:id="1"/>
    </w:p>
    <w:p w14:paraId="3CA7E538" w14:textId="77777777" w:rsidR="00B44125" w:rsidRPr="00205C60" w:rsidRDefault="003F43BC">
      <w:pPr>
        <w:rPr>
          <w:rFonts w:ascii="Verdana" w:hAnsi="Verdana" w:cs="Arial"/>
          <w:sz w:val="22"/>
          <w:szCs w:val="22"/>
        </w:rPr>
      </w:pPr>
      <w:r w:rsidRPr="00205C60">
        <w:rPr>
          <w:rFonts w:ascii="Verdana" w:hAnsi="Verdana" w:cs="Arial"/>
          <w:sz w:val="22"/>
          <w:szCs w:val="22"/>
        </w:rPr>
        <w:t xml:space="preserve"> </w:t>
      </w:r>
    </w:p>
    <w:p w14:paraId="3CA7E539" w14:textId="77777777" w:rsidR="00FF0E3A" w:rsidRPr="00205C60" w:rsidRDefault="00FF0E3A">
      <w:pPr>
        <w:rPr>
          <w:rFonts w:ascii="Verdana" w:hAnsi="Verdana" w:cs="Arial"/>
          <w:sz w:val="22"/>
          <w:szCs w:val="22"/>
        </w:rPr>
      </w:pPr>
    </w:p>
    <w:p w14:paraId="3CA7E53A" w14:textId="77777777" w:rsidR="0050477A" w:rsidRPr="00205C60" w:rsidRDefault="0050477A">
      <w:pPr>
        <w:jc w:val="center"/>
        <w:rPr>
          <w:rFonts w:ascii="Verdana" w:hAnsi="Verdana" w:cs="Arial"/>
          <w:b/>
          <w:bCs/>
          <w:sz w:val="22"/>
          <w:szCs w:val="22"/>
        </w:rPr>
      </w:pPr>
      <w:bookmarkStart w:id="2" w:name="_Toc64695492"/>
      <w:bookmarkStart w:id="3" w:name="_Toc64699200"/>
    </w:p>
    <w:p w14:paraId="3CA7E53B" w14:textId="77777777" w:rsidR="0050477A" w:rsidRPr="00205C60" w:rsidRDefault="0050477A">
      <w:pPr>
        <w:jc w:val="center"/>
        <w:rPr>
          <w:rFonts w:ascii="Verdana" w:hAnsi="Verdana" w:cs="Arial"/>
          <w:b/>
          <w:bCs/>
          <w:sz w:val="22"/>
          <w:szCs w:val="22"/>
        </w:rPr>
      </w:pPr>
    </w:p>
    <w:p w14:paraId="3CA7E53C" w14:textId="77777777" w:rsidR="0050477A" w:rsidRPr="00205C60" w:rsidRDefault="0050477A">
      <w:pPr>
        <w:jc w:val="center"/>
        <w:rPr>
          <w:rFonts w:ascii="Verdana" w:hAnsi="Verdana" w:cs="Arial"/>
          <w:b/>
          <w:bCs/>
          <w:sz w:val="22"/>
          <w:szCs w:val="22"/>
        </w:rPr>
      </w:pPr>
    </w:p>
    <w:p w14:paraId="3CA7E53D" w14:textId="77777777" w:rsidR="0050477A" w:rsidRPr="00205C60" w:rsidRDefault="0050477A">
      <w:pPr>
        <w:jc w:val="center"/>
        <w:rPr>
          <w:rFonts w:ascii="Verdana" w:hAnsi="Verdana" w:cs="Arial"/>
          <w:b/>
          <w:bCs/>
          <w:sz w:val="22"/>
          <w:szCs w:val="22"/>
        </w:rPr>
      </w:pPr>
    </w:p>
    <w:p w14:paraId="3CA7E53E" w14:textId="77777777" w:rsidR="0050477A" w:rsidRPr="00205C60" w:rsidRDefault="0050477A">
      <w:pPr>
        <w:jc w:val="center"/>
        <w:rPr>
          <w:rFonts w:ascii="Verdana" w:hAnsi="Verdana" w:cs="Arial"/>
          <w:b/>
          <w:bCs/>
          <w:sz w:val="22"/>
          <w:szCs w:val="22"/>
        </w:rPr>
      </w:pPr>
    </w:p>
    <w:p w14:paraId="3CA7E53F" w14:textId="77777777" w:rsidR="00B44125" w:rsidRPr="00205C60" w:rsidRDefault="00B44125">
      <w:pPr>
        <w:jc w:val="center"/>
        <w:rPr>
          <w:rFonts w:ascii="Verdana" w:hAnsi="Verdana" w:cs="Arial"/>
          <w:b/>
          <w:bCs/>
          <w:sz w:val="22"/>
          <w:szCs w:val="22"/>
        </w:rPr>
      </w:pPr>
      <w:r w:rsidRPr="00205C60">
        <w:rPr>
          <w:rFonts w:ascii="Verdana" w:hAnsi="Verdana" w:cs="Arial"/>
          <w:b/>
          <w:bCs/>
          <w:sz w:val="22"/>
          <w:szCs w:val="22"/>
        </w:rPr>
        <w:t>NOTAS IMPORTANTES PARA EL INVERSIONISTA</w:t>
      </w:r>
      <w:bookmarkEnd w:id="2"/>
      <w:bookmarkEnd w:id="3"/>
    </w:p>
    <w:p w14:paraId="3CA7E540" w14:textId="77777777" w:rsidR="00B44125" w:rsidRPr="00205C60" w:rsidRDefault="00B44125">
      <w:pPr>
        <w:ind w:right="-1"/>
        <w:jc w:val="both"/>
        <w:rPr>
          <w:rFonts w:ascii="Verdana" w:hAnsi="Verdana" w:cs="Arial"/>
          <w:sz w:val="22"/>
          <w:szCs w:val="22"/>
        </w:rPr>
      </w:pPr>
    </w:p>
    <w:p w14:paraId="3CA7E541" w14:textId="77777777" w:rsidR="00DD61CA" w:rsidRPr="00205C60" w:rsidRDefault="00DD61CA" w:rsidP="00DD61CA">
      <w:pPr>
        <w:spacing w:line="360" w:lineRule="auto"/>
        <w:ind w:right="-1"/>
        <w:jc w:val="both"/>
        <w:rPr>
          <w:rFonts w:ascii="Verdana" w:hAnsi="Verdana" w:cs="Arial"/>
          <w:sz w:val="22"/>
          <w:szCs w:val="22"/>
        </w:rPr>
      </w:pPr>
    </w:p>
    <w:p w14:paraId="3CA7E542" w14:textId="77777777" w:rsidR="00B44125" w:rsidRPr="00205C60" w:rsidRDefault="00B44125" w:rsidP="00DD61CA">
      <w:pPr>
        <w:spacing w:line="360" w:lineRule="auto"/>
        <w:ind w:right="-1"/>
        <w:jc w:val="both"/>
        <w:rPr>
          <w:rFonts w:ascii="Verdana" w:hAnsi="Verdana" w:cs="Arial"/>
          <w:sz w:val="22"/>
          <w:szCs w:val="22"/>
        </w:rPr>
      </w:pPr>
      <w:r w:rsidRPr="00205C60">
        <w:rPr>
          <w:rFonts w:ascii="Verdana" w:hAnsi="Verdana" w:cs="Arial"/>
          <w:sz w:val="22"/>
          <w:szCs w:val="22"/>
        </w:rPr>
        <w:t>Señor inversionista es su deber y derecho conocer el contenido del Prospecto antes de tomar la decisión de invertir, éste le brinda información sobre la emisión, la información relevante relativa al emisor, así como los riesgos asociados tanto a la emisión como al emisor. La información estipulada en el prospecto es de carácter vinculante para la empresa, lo que significa que ésta será responsable legalmente por la información que se consigne en el prospecto.</w:t>
      </w:r>
    </w:p>
    <w:p w14:paraId="3CA7E543" w14:textId="77777777" w:rsidR="00B44125" w:rsidRPr="00205C60" w:rsidRDefault="00B44125" w:rsidP="00DD61CA">
      <w:pPr>
        <w:spacing w:line="360" w:lineRule="auto"/>
        <w:ind w:right="-1"/>
        <w:jc w:val="both"/>
        <w:rPr>
          <w:rFonts w:ascii="Verdana" w:hAnsi="Verdana" w:cs="Arial"/>
          <w:sz w:val="22"/>
          <w:szCs w:val="22"/>
        </w:rPr>
      </w:pPr>
    </w:p>
    <w:p w14:paraId="3CA7E544" w14:textId="77777777" w:rsidR="00B44125" w:rsidRPr="00205C60" w:rsidRDefault="00B44125" w:rsidP="00DD61CA">
      <w:pPr>
        <w:spacing w:line="360" w:lineRule="auto"/>
        <w:ind w:right="-1"/>
        <w:jc w:val="both"/>
        <w:rPr>
          <w:rFonts w:ascii="Verdana" w:hAnsi="Verdana" w:cs="Arial"/>
          <w:sz w:val="22"/>
          <w:szCs w:val="22"/>
        </w:rPr>
      </w:pPr>
      <w:r w:rsidRPr="00205C60">
        <w:rPr>
          <w:rFonts w:ascii="Verdana" w:hAnsi="Verdana" w:cs="Arial"/>
          <w:sz w:val="22"/>
          <w:szCs w:val="22"/>
        </w:rPr>
        <w:t>Consulte los comunicados de hechos relevantes que realiza el emisor sobre los acontecimientos que pueden incidir en el desempeño de la empresa y los informes financieros periódicos. Complemente su análisis con la calificación de riesgo actualizada por las empresas calificadoras de riesgo.</w:t>
      </w:r>
    </w:p>
    <w:p w14:paraId="3CA7E545" w14:textId="77777777" w:rsidR="00B44125" w:rsidRPr="00205C60" w:rsidRDefault="00B44125" w:rsidP="00DD61CA">
      <w:pPr>
        <w:spacing w:line="360" w:lineRule="auto"/>
        <w:ind w:right="-1"/>
        <w:jc w:val="both"/>
        <w:rPr>
          <w:rFonts w:ascii="Verdana" w:hAnsi="Verdana" w:cs="Arial"/>
          <w:sz w:val="22"/>
          <w:szCs w:val="22"/>
        </w:rPr>
      </w:pPr>
    </w:p>
    <w:p w14:paraId="3CA7E546" w14:textId="77777777" w:rsidR="00B44125" w:rsidRPr="00205C60" w:rsidRDefault="00B44125" w:rsidP="00DD61CA">
      <w:pPr>
        <w:spacing w:line="360" w:lineRule="auto"/>
        <w:ind w:right="-1"/>
        <w:jc w:val="both"/>
        <w:rPr>
          <w:rFonts w:ascii="Verdana" w:hAnsi="Verdana" w:cs="Arial"/>
          <w:sz w:val="22"/>
          <w:szCs w:val="22"/>
        </w:rPr>
      </w:pPr>
      <w:r w:rsidRPr="00205C60">
        <w:rPr>
          <w:rFonts w:ascii="Verdana" w:hAnsi="Verdana" w:cs="Arial"/>
          <w:sz w:val="22"/>
          <w:szCs w:val="22"/>
        </w:rPr>
        <w:t>El comportamiento y desempeño de las empresas emisoras a través del tiempo no aseguran su solvencia y liquidez futuras. La inversión que realice será únicamente por su cuenta y riesgo.</w:t>
      </w:r>
    </w:p>
    <w:p w14:paraId="3CA7E547" w14:textId="77777777" w:rsidR="00B44125" w:rsidRPr="00205C60" w:rsidRDefault="00B44125" w:rsidP="00DD61CA">
      <w:pPr>
        <w:pStyle w:val="Textodebloque"/>
        <w:spacing w:line="360" w:lineRule="auto"/>
        <w:ind w:right="-1"/>
        <w:rPr>
          <w:rFonts w:ascii="Verdana" w:hAnsi="Verdana" w:cs="Arial"/>
          <w:sz w:val="22"/>
          <w:szCs w:val="22"/>
          <w:lang w:val="es-CR"/>
        </w:rPr>
      </w:pPr>
    </w:p>
    <w:p w14:paraId="3CA7E548" w14:textId="77777777" w:rsidR="00B44125" w:rsidRPr="00205C60" w:rsidRDefault="00B44125" w:rsidP="00DD61CA">
      <w:pPr>
        <w:pStyle w:val="Textodebloque"/>
        <w:spacing w:line="360" w:lineRule="auto"/>
        <w:ind w:right="-1"/>
        <w:jc w:val="both"/>
        <w:rPr>
          <w:rFonts w:ascii="Verdana" w:hAnsi="Verdana" w:cs="Arial"/>
          <w:sz w:val="22"/>
          <w:szCs w:val="22"/>
          <w:u w:val="single"/>
          <w:lang w:val="es-CR"/>
        </w:rPr>
      </w:pPr>
      <w:r w:rsidRPr="00205C60">
        <w:rPr>
          <w:rFonts w:ascii="Verdana" w:hAnsi="Verdana" w:cs="Arial"/>
          <w:sz w:val="22"/>
          <w:szCs w:val="22"/>
          <w:lang w:val="es-CR"/>
        </w:rPr>
        <w:t>La Superintendencia General de Valores no emite criterio sobre la veracidad, exactitud o suficiencia de la información contenida en este prospecto.</w:t>
      </w:r>
    </w:p>
    <w:p w14:paraId="3CA7E549" w14:textId="77777777" w:rsidR="00B44125" w:rsidRPr="00205C60" w:rsidRDefault="00B44125" w:rsidP="00DD61CA">
      <w:pPr>
        <w:pStyle w:val="CNV"/>
        <w:tabs>
          <w:tab w:val="left" w:pos="720"/>
        </w:tabs>
        <w:spacing w:line="360" w:lineRule="auto"/>
        <w:ind w:right="-1"/>
        <w:rPr>
          <w:rFonts w:ascii="Verdana" w:hAnsi="Verdana" w:cs="Arial"/>
          <w:sz w:val="22"/>
          <w:szCs w:val="22"/>
          <w:lang w:val="es-CR"/>
        </w:rPr>
      </w:pPr>
    </w:p>
    <w:p w14:paraId="3CA7E54A" w14:textId="77777777" w:rsidR="00B44125" w:rsidRPr="00205C60" w:rsidRDefault="00B44125" w:rsidP="00DD61CA">
      <w:pPr>
        <w:spacing w:line="360" w:lineRule="auto"/>
        <w:jc w:val="both"/>
        <w:rPr>
          <w:rFonts w:ascii="Verdana" w:hAnsi="Verdana" w:cs="Arial"/>
          <w:sz w:val="22"/>
          <w:szCs w:val="22"/>
        </w:rPr>
      </w:pPr>
      <w:r w:rsidRPr="00205C60">
        <w:rPr>
          <w:rFonts w:ascii="Verdana" w:hAnsi="Verdana" w:cs="Arial"/>
          <w:sz w:val="22"/>
          <w:szCs w:val="22"/>
          <w:lang w:val="es-CR"/>
        </w:rPr>
        <w:t>La Superintendencia General de Valores y quienes intervienen en el proceso de intermediación bursátil no asumen responsabilidad sobre la situación financiera de la empresa emisora.</w:t>
      </w:r>
    </w:p>
    <w:p w14:paraId="3CA7E54B" w14:textId="77777777" w:rsidR="00B44125" w:rsidRPr="00205C60" w:rsidRDefault="00B44125">
      <w:pPr>
        <w:jc w:val="both"/>
        <w:rPr>
          <w:rFonts w:ascii="Verdana" w:hAnsi="Verdana" w:cs="Arial"/>
          <w:sz w:val="22"/>
          <w:szCs w:val="22"/>
        </w:rPr>
      </w:pPr>
    </w:p>
    <w:p w14:paraId="3CA7E54C" w14:textId="77777777" w:rsidR="00B44125" w:rsidRPr="00205C60" w:rsidRDefault="00B44125">
      <w:pPr>
        <w:jc w:val="both"/>
        <w:rPr>
          <w:rFonts w:ascii="Verdana" w:hAnsi="Verdana" w:cs="Arial"/>
          <w:sz w:val="22"/>
          <w:szCs w:val="22"/>
        </w:rPr>
      </w:pPr>
    </w:p>
    <w:p w14:paraId="3CA7E54D" w14:textId="77777777" w:rsidR="00B44125" w:rsidRPr="00205C60" w:rsidRDefault="00B44125">
      <w:pPr>
        <w:jc w:val="both"/>
        <w:rPr>
          <w:rFonts w:ascii="Verdana" w:hAnsi="Verdana" w:cs="Arial"/>
          <w:sz w:val="22"/>
          <w:szCs w:val="22"/>
        </w:rPr>
      </w:pPr>
    </w:p>
    <w:p w14:paraId="3CA7E54E" w14:textId="77777777" w:rsidR="00B44125" w:rsidRPr="00205C60" w:rsidRDefault="00B44125">
      <w:pPr>
        <w:jc w:val="both"/>
        <w:rPr>
          <w:rFonts w:ascii="Verdana" w:hAnsi="Verdana" w:cs="Arial"/>
          <w:sz w:val="22"/>
          <w:szCs w:val="22"/>
        </w:rPr>
      </w:pPr>
    </w:p>
    <w:p w14:paraId="3CA7E54F" w14:textId="5AD6734E" w:rsidR="00FF0E3A" w:rsidRPr="00205C60" w:rsidRDefault="00FF0E3A">
      <w:pPr>
        <w:jc w:val="both"/>
        <w:rPr>
          <w:rFonts w:ascii="Verdana" w:hAnsi="Verdana" w:cs="Arial"/>
          <w:sz w:val="22"/>
          <w:szCs w:val="22"/>
        </w:rPr>
      </w:pPr>
    </w:p>
    <w:p w14:paraId="701259CA" w14:textId="0B0B8E27" w:rsidR="007E50B4" w:rsidRPr="00205C60" w:rsidRDefault="007E50B4">
      <w:pPr>
        <w:jc w:val="both"/>
        <w:rPr>
          <w:rFonts w:ascii="Verdana" w:hAnsi="Verdana" w:cs="Arial"/>
          <w:sz w:val="22"/>
          <w:szCs w:val="22"/>
        </w:rPr>
      </w:pPr>
    </w:p>
    <w:p w14:paraId="555913B5" w14:textId="035D9252" w:rsidR="007E50B4" w:rsidRPr="00205C60" w:rsidRDefault="007E50B4">
      <w:pPr>
        <w:jc w:val="both"/>
        <w:rPr>
          <w:rFonts w:ascii="Verdana" w:hAnsi="Verdana" w:cs="Arial"/>
          <w:sz w:val="22"/>
          <w:szCs w:val="22"/>
        </w:rPr>
      </w:pPr>
    </w:p>
    <w:p w14:paraId="37C2F3DC" w14:textId="4D120EDF" w:rsidR="00CF1B28" w:rsidRPr="00205C60" w:rsidRDefault="00CF1B28">
      <w:pPr>
        <w:jc w:val="both"/>
        <w:rPr>
          <w:rFonts w:ascii="Verdana" w:hAnsi="Verdana" w:cs="Arial"/>
          <w:sz w:val="22"/>
          <w:szCs w:val="22"/>
        </w:rPr>
      </w:pPr>
    </w:p>
    <w:p w14:paraId="48D15395" w14:textId="77777777" w:rsidR="00CF1B28" w:rsidRPr="00205C60" w:rsidRDefault="00CF1B28">
      <w:pPr>
        <w:jc w:val="both"/>
        <w:rPr>
          <w:rFonts w:ascii="Verdana" w:hAnsi="Verdana" w:cs="Arial"/>
          <w:sz w:val="22"/>
          <w:szCs w:val="22"/>
        </w:rPr>
      </w:pPr>
    </w:p>
    <w:p w14:paraId="3CA7E550" w14:textId="77777777" w:rsidR="00FF0E3A" w:rsidRPr="00205C60" w:rsidRDefault="00FF0E3A">
      <w:pPr>
        <w:jc w:val="both"/>
        <w:rPr>
          <w:rFonts w:ascii="Verdana" w:hAnsi="Verdana" w:cs="Arial"/>
          <w:sz w:val="22"/>
          <w:szCs w:val="22"/>
        </w:rPr>
      </w:pPr>
    </w:p>
    <w:p w14:paraId="3CA7E551" w14:textId="77777777" w:rsidR="00FF0E3A" w:rsidRPr="00205C60" w:rsidRDefault="00FF0E3A">
      <w:pPr>
        <w:jc w:val="both"/>
        <w:rPr>
          <w:rFonts w:ascii="Verdana" w:hAnsi="Verdana" w:cs="Arial"/>
          <w:sz w:val="22"/>
          <w:szCs w:val="22"/>
        </w:rPr>
      </w:pPr>
    </w:p>
    <w:p w14:paraId="3CA7E552" w14:textId="77777777" w:rsidR="00B44125" w:rsidRPr="00205C60" w:rsidRDefault="00B44125" w:rsidP="00546017">
      <w:pPr>
        <w:jc w:val="center"/>
        <w:rPr>
          <w:rFonts w:ascii="Verdana" w:hAnsi="Verdana" w:cs="Arial"/>
          <w:b/>
          <w:bCs/>
          <w:sz w:val="22"/>
          <w:szCs w:val="22"/>
        </w:rPr>
      </w:pPr>
      <w:bookmarkStart w:id="4" w:name="_Toc64699201"/>
      <w:bookmarkStart w:id="5" w:name="_Toc506002887"/>
      <w:bookmarkStart w:id="6" w:name="_Toc54522152"/>
      <w:bookmarkStart w:id="7" w:name="_Toc54598213"/>
      <w:bookmarkStart w:id="8" w:name="_Toc54600220"/>
      <w:bookmarkStart w:id="9" w:name="_Toc54600616"/>
      <w:bookmarkStart w:id="10" w:name="_Toc54601939"/>
      <w:bookmarkStart w:id="11" w:name="_Toc54602783"/>
      <w:bookmarkStart w:id="12" w:name="_Toc54603105"/>
      <w:bookmarkStart w:id="13" w:name="_Toc56426153"/>
      <w:r w:rsidRPr="00205C60">
        <w:rPr>
          <w:rFonts w:ascii="Verdana" w:hAnsi="Verdana" w:cs="Arial"/>
          <w:b/>
          <w:bCs/>
          <w:sz w:val="22"/>
          <w:szCs w:val="22"/>
        </w:rPr>
        <w:t>ÍNDICE</w:t>
      </w:r>
      <w:bookmarkEnd w:id="4"/>
    </w:p>
    <w:p w14:paraId="27799DD2" w14:textId="52D5FA64" w:rsidR="00AF4AC2" w:rsidRPr="00205C60" w:rsidRDefault="001333A0">
      <w:pPr>
        <w:pStyle w:val="TDC1"/>
        <w:rPr>
          <w:rFonts w:asciiTheme="minorHAnsi" w:eastAsiaTheme="minorEastAsia" w:hAnsiTheme="minorHAnsi" w:cstheme="minorBidi"/>
          <w:bCs w:val="0"/>
          <w:sz w:val="22"/>
          <w:szCs w:val="22"/>
          <w:lang w:val="es-CR" w:eastAsia="es-CR"/>
        </w:rPr>
      </w:pPr>
      <w:r w:rsidRPr="00205C60">
        <w:rPr>
          <w:rFonts w:ascii="Verdana" w:hAnsi="Verdana"/>
          <w:b/>
          <w:smallCaps/>
          <w:sz w:val="22"/>
          <w:szCs w:val="22"/>
        </w:rPr>
        <w:fldChar w:fldCharType="begin"/>
      </w:r>
      <w:r w:rsidRPr="00205C60">
        <w:rPr>
          <w:rFonts w:ascii="Verdana" w:hAnsi="Verdana"/>
          <w:b/>
          <w:smallCaps/>
          <w:sz w:val="22"/>
          <w:szCs w:val="22"/>
        </w:rPr>
        <w:instrText xml:space="preserve"> TOC \o "1-3" \h \z \u </w:instrText>
      </w:r>
      <w:r w:rsidRPr="00205C60">
        <w:rPr>
          <w:rFonts w:ascii="Verdana" w:hAnsi="Verdana"/>
          <w:b/>
          <w:smallCaps/>
          <w:sz w:val="22"/>
          <w:szCs w:val="22"/>
        </w:rPr>
        <w:fldChar w:fldCharType="separate"/>
      </w:r>
      <w:hyperlink w:anchor="_Toc104529437" w:history="1">
        <w:r w:rsidR="00AF4AC2" w:rsidRPr="00205C60">
          <w:rPr>
            <w:rStyle w:val="Hipervnculo"/>
            <w:rFonts w:ascii="Verdana" w:hAnsi="Verdana"/>
          </w:rPr>
          <w:t>CAPITULO I</w:t>
        </w:r>
        <w:r w:rsidR="00AF4AC2" w:rsidRPr="00205C60">
          <w:rPr>
            <w:webHidden/>
          </w:rPr>
          <w:tab/>
        </w:r>
        <w:r w:rsidR="00AF4AC2" w:rsidRPr="00205C60">
          <w:rPr>
            <w:webHidden/>
          </w:rPr>
          <w:fldChar w:fldCharType="begin"/>
        </w:r>
        <w:r w:rsidR="00AF4AC2" w:rsidRPr="00205C60">
          <w:rPr>
            <w:webHidden/>
          </w:rPr>
          <w:instrText xml:space="preserve"> PAGEREF _Toc104529437 \h </w:instrText>
        </w:r>
        <w:r w:rsidR="00AF4AC2" w:rsidRPr="00205C60">
          <w:rPr>
            <w:webHidden/>
          </w:rPr>
        </w:r>
        <w:r w:rsidR="00AF4AC2" w:rsidRPr="00205C60">
          <w:rPr>
            <w:webHidden/>
          </w:rPr>
          <w:fldChar w:fldCharType="separate"/>
        </w:r>
        <w:r w:rsidR="00FF2CBC" w:rsidRPr="00205C60">
          <w:rPr>
            <w:webHidden/>
          </w:rPr>
          <w:t>6</w:t>
        </w:r>
        <w:r w:rsidR="00AF4AC2" w:rsidRPr="00205C60">
          <w:rPr>
            <w:webHidden/>
          </w:rPr>
          <w:fldChar w:fldCharType="end"/>
        </w:r>
      </w:hyperlink>
    </w:p>
    <w:p w14:paraId="7FA8537B" w14:textId="5F217F5A" w:rsidR="00AF4AC2" w:rsidRPr="00205C60" w:rsidRDefault="00000000">
      <w:pPr>
        <w:pStyle w:val="TDC1"/>
        <w:rPr>
          <w:rFonts w:asciiTheme="minorHAnsi" w:eastAsiaTheme="minorEastAsia" w:hAnsiTheme="minorHAnsi" w:cstheme="minorBidi"/>
          <w:bCs w:val="0"/>
          <w:sz w:val="22"/>
          <w:szCs w:val="22"/>
          <w:lang w:val="es-CR" w:eastAsia="es-CR"/>
        </w:rPr>
      </w:pPr>
      <w:hyperlink w:anchor="_Toc104529438" w:history="1">
        <w:r w:rsidR="00AF4AC2" w:rsidRPr="00205C60">
          <w:rPr>
            <w:rStyle w:val="Hipervnculo"/>
            <w:rFonts w:ascii="Verdana" w:hAnsi="Verdana"/>
          </w:rPr>
          <w:t>CARACTERÍSTICAS DE LA EMISIÓN</w:t>
        </w:r>
        <w:r w:rsidR="00AF4AC2" w:rsidRPr="00205C60">
          <w:rPr>
            <w:webHidden/>
          </w:rPr>
          <w:tab/>
        </w:r>
        <w:r w:rsidR="00AF4AC2" w:rsidRPr="00205C60">
          <w:rPr>
            <w:webHidden/>
          </w:rPr>
          <w:fldChar w:fldCharType="begin"/>
        </w:r>
        <w:r w:rsidR="00AF4AC2" w:rsidRPr="00205C60">
          <w:rPr>
            <w:webHidden/>
          </w:rPr>
          <w:instrText xml:space="preserve"> PAGEREF _Toc104529438 \h </w:instrText>
        </w:r>
        <w:r w:rsidR="00AF4AC2" w:rsidRPr="00205C60">
          <w:rPr>
            <w:webHidden/>
          </w:rPr>
        </w:r>
        <w:r w:rsidR="00AF4AC2" w:rsidRPr="00205C60">
          <w:rPr>
            <w:webHidden/>
          </w:rPr>
          <w:fldChar w:fldCharType="separate"/>
        </w:r>
        <w:r w:rsidR="00FF2CBC" w:rsidRPr="00205C60">
          <w:rPr>
            <w:webHidden/>
          </w:rPr>
          <w:t>6</w:t>
        </w:r>
        <w:r w:rsidR="00AF4AC2" w:rsidRPr="00205C60">
          <w:rPr>
            <w:webHidden/>
          </w:rPr>
          <w:fldChar w:fldCharType="end"/>
        </w:r>
      </w:hyperlink>
    </w:p>
    <w:p w14:paraId="77979FD9" w14:textId="7287268E" w:rsidR="00AF4AC2" w:rsidRPr="00205C60" w:rsidRDefault="00000000">
      <w:pPr>
        <w:pStyle w:val="TDC2"/>
        <w:rPr>
          <w:rFonts w:asciiTheme="minorHAnsi" w:eastAsiaTheme="minorEastAsia" w:hAnsiTheme="minorHAnsi" w:cstheme="minorBidi"/>
          <w:b w:val="0"/>
          <w:sz w:val="22"/>
          <w:szCs w:val="22"/>
          <w:lang w:val="es-CR" w:eastAsia="es-CR"/>
        </w:rPr>
      </w:pPr>
      <w:hyperlink w:anchor="_Toc104529439" w:history="1">
        <w:r w:rsidR="00AF4AC2" w:rsidRPr="00205C60">
          <w:rPr>
            <w:rStyle w:val="Hipervnculo"/>
            <w:rFonts w:ascii="Verdana" w:hAnsi="Verdana"/>
          </w:rPr>
          <w:t>1.1.</w:t>
        </w:r>
        <w:r w:rsidR="00AF4AC2" w:rsidRPr="00205C60">
          <w:rPr>
            <w:rFonts w:asciiTheme="minorHAnsi" w:eastAsiaTheme="minorEastAsia" w:hAnsiTheme="minorHAnsi" w:cstheme="minorBidi"/>
            <w:b w:val="0"/>
            <w:sz w:val="22"/>
            <w:szCs w:val="22"/>
            <w:lang w:val="es-CR" w:eastAsia="es-CR"/>
          </w:rPr>
          <w:tab/>
        </w:r>
        <w:r w:rsidR="00AF4AC2" w:rsidRPr="00205C60">
          <w:rPr>
            <w:rStyle w:val="Hipervnculo"/>
            <w:rFonts w:ascii="Verdana" w:hAnsi="Verdana"/>
          </w:rPr>
          <w:t>Información sobre la emisión y la oferta</w:t>
        </w:r>
        <w:r w:rsidR="00AF4AC2" w:rsidRPr="00205C60">
          <w:rPr>
            <w:webHidden/>
          </w:rPr>
          <w:tab/>
        </w:r>
        <w:r w:rsidR="00AF4AC2" w:rsidRPr="00205C60">
          <w:rPr>
            <w:webHidden/>
          </w:rPr>
          <w:fldChar w:fldCharType="begin"/>
        </w:r>
        <w:r w:rsidR="00AF4AC2" w:rsidRPr="00205C60">
          <w:rPr>
            <w:webHidden/>
          </w:rPr>
          <w:instrText xml:space="preserve"> PAGEREF _Toc104529439 \h </w:instrText>
        </w:r>
        <w:r w:rsidR="00AF4AC2" w:rsidRPr="00205C60">
          <w:rPr>
            <w:webHidden/>
          </w:rPr>
        </w:r>
        <w:r w:rsidR="00AF4AC2" w:rsidRPr="00205C60">
          <w:rPr>
            <w:webHidden/>
          </w:rPr>
          <w:fldChar w:fldCharType="separate"/>
        </w:r>
        <w:r w:rsidR="00FF2CBC" w:rsidRPr="00205C60">
          <w:rPr>
            <w:webHidden/>
          </w:rPr>
          <w:t>6</w:t>
        </w:r>
        <w:r w:rsidR="00AF4AC2" w:rsidRPr="00205C60">
          <w:rPr>
            <w:webHidden/>
          </w:rPr>
          <w:fldChar w:fldCharType="end"/>
        </w:r>
      </w:hyperlink>
    </w:p>
    <w:p w14:paraId="0EDC45F1" w14:textId="210CFF90" w:rsidR="00AF4AC2" w:rsidRPr="00205C60" w:rsidRDefault="00000000">
      <w:pPr>
        <w:pStyle w:val="TDC2"/>
        <w:rPr>
          <w:rFonts w:asciiTheme="minorHAnsi" w:eastAsiaTheme="minorEastAsia" w:hAnsiTheme="minorHAnsi" w:cstheme="minorBidi"/>
          <w:b w:val="0"/>
          <w:sz w:val="22"/>
          <w:szCs w:val="22"/>
          <w:lang w:val="es-CR" w:eastAsia="es-CR"/>
        </w:rPr>
      </w:pPr>
      <w:hyperlink w:anchor="_Toc104529440" w:history="1">
        <w:r w:rsidR="00AF4AC2" w:rsidRPr="00205C60">
          <w:rPr>
            <w:rStyle w:val="Hipervnculo"/>
            <w:rFonts w:ascii="Verdana" w:hAnsi="Verdana"/>
          </w:rPr>
          <w:t>1.2.</w:t>
        </w:r>
        <w:r w:rsidR="00AF4AC2" w:rsidRPr="00205C60">
          <w:rPr>
            <w:rFonts w:asciiTheme="minorHAnsi" w:eastAsiaTheme="minorEastAsia" w:hAnsiTheme="minorHAnsi" w:cstheme="minorBidi"/>
            <w:b w:val="0"/>
            <w:sz w:val="22"/>
            <w:szCs w:val="22"/>
            <w:lang w:val="es-CR" w:eastAsia="es-CR"/>
          </w:rPr>
          <w:tab/>
        </w:r>
        <w:r w:rsidR="00AF4AC2" w:rsidRPr="00205C60">
          <w:rPr>
            <w:rStyle w:val="Hipervnculo"/>
            <w:rFonts w:ascii="Verdana" w:hAnsi="Verdana"/>
          </w:rPr>
          <w:t>Modificación de las emisiones:</w:t>
        </w:r>
        <w:r w:rsidR="00AF4AC2" w:rsidRPr="00205C60">
          <w:rPr>
            <w:webHidden/>
          </w:rPr>
          <w:tab/>
        </w:r>
        <w:r w:rsidR="00AF4AC2" w:rsidRPr="00205C60">
          <w:rPr>
            <w:webHidden/>
          </w:rPr>
          <w:fldChar w:fldCharType="begin"/>
        </w:r>
        <w:r w:rsidR="00AF4AC2" w:rsidRPr="00205C60">
          <w:rPr>
            <w:webHidden/>
          </w:rPr>
          <w:instrText xml:space="preserve"> PAGEREF _Toc104529440 \h </w:instrText>
        </w:r>
        <w:r w:rsidR="00AF4AC2" w:rsidRPr="00205C60">
          <w:rPr>
            <w:webHidden/>
          </w:rPr>
        </w:r>
        <w:r w:rsidR="00AF4AC2" w:rsidRPr="00205C60">
          <w:rPr>
            <w:webHidden/>
          </w:rPr>
          <w:fldChar w:fldCharType="separate"/>
        </w:r>
        <w:r w:rsidR="00FF2CBC" w:rsidRPr="00205C60">
          <w:rPr>
            <w:webHidden/>
          </w:rPr>
          <w:t>9</w:t>
        </w:r>
        <w:r w:rsidR="00AF4AC2" w:rsidRPr="00205C60">
          <w:rPr>
            <w:webHidden/>
          </w:rPr>
          <w:fldChar w:fldCharType="end"/>
        </w:r>
      </w:hyperlink>
    </w:p>
    <w:p w14:paraId="3373D6A3" w14:textId="57BB5C89" w:rsidR="00AF4AC2" w:rsidRPr="00205C60" w:rsidRDefault="00000000">
      <w:pPr>
        <w:pStyle w:val="TDC2"/>
        <w:rPr>
          <w:rFonts w:asciiTheme="minorHAnsi" w:eastAsiaTheme="minorEastAsia" w:hAnsiTheme="minorHAnsi" w:cstheme="minorBidi"/>
          <w:b w:val="0"/>
          <w:sz w:val="22"/>
          <w:szCs w:val="22"/>
          <w:lang w:val="es-CR" w:eastAsia="es-CR"/>
        </w:rPr>
      </w:pPr>
      <w:hyperlink w:anchor="_Toc104529441" w:history="1">
        <w:r w:rsidR="00AF4AC2" w:rsidRPr="00205C60">
          <w:rPr>
            <w:rStyle w:val="Hipervnculo"/>
            <w:rFonts w:ascii="Verdana" w:hAnsi="Verdana"/>
          </w:rPr>
          <w:t>1.3.</w:t>
        </w:r>
        <w:r w:rsidR="00AF4AC2" w:rsidRPr="00205C60">
          <w:rPr>
            <w:rFonts w:asciiTheme="minorHAnsi" w:eastAsiaTheme="minorEastAsia" w:hAnsiTheme="minorHAnsi" w:cstheme="minorBidi"/>
            <w:b w:val="0"/>
            <w:sz w:val="22"/>
            <w:szCs w:val="22"/>
            <w:lang w:val="es-CR" w:eastAsia="es-CR"/>
          </w:rPr>
          <w:tab/>
        </w:r>
        <w:r w:rsidR="00AF4AC2" w:rsidRPr="00205C60">
          <w:rPr>
            <w:rStyle w:val="Hipervnculo"/>
            <w:rFonts w:ascii="Verdana" w:hAnsi="Verdana"/>
          </w:rPr>
          <w:t>Calificación de riesgo</w:t>
        </w:r>
        <w:r w:rsidR="00AF4AC2" w:rsidRPr="00205C60">
          <w:rPr>
            <w:webHidden/>
          </w:rPr>
          <w:tab/>
        </w:r>
        <w:r w:rsidR="00AF4AC2" w:rsidRPr="00205C60">
          <w:rPr>
            <w:webHidden/>
          </w:rPr>
          <w:fldChar w:fldCharType="begin"/>
        </w:r>
        <w:r w:rsidR="00AF4AC2" w:rsidRPr="00205C60">
          <w:rPr>
            <w:webHidden/>
          </w:rPr>
          <w:instrText xml:space="preserve"> PAGEREF _Toc104529441 \h </w:instrText>
        </w:r>
        <w:r w:rsidR="00AF4AC2" w:rsidRPr="00205C60">
          <w:rPr>
            <w:webHidden/>
          </w:rPr>
        </w:r>
        <w:r w:rsidR="00AF4AC2" w:rsidRPr="00205C60">
          <w:rPr>
            <w:webHidden/>
          </w:rPr>
          <w:fldChar w:fldCharType="separate"/>
        </w:r>
        <w:r w:rsidR="00FF2CBC" w:rsidRPr="00205C60">
          <w:rPr>
            <w:webHidden/>
          </w:rPr>
          <w:t>10</w:t>
        </w:r>
        <w:r w:rsidR="00AF4AC2" w:rsidRPr="00205C60">
          <w:rPr>
            <w:webHidden/>
          </w:rPr>
          <w:fldChar w:fldCharType="end"/>
        </w:r>
      </w:hyperlink>
    </w:p>
    <w:p w14:paraId="7DFE0BDE" w14:textId="6464DA01" w:rsidR="00AF4AC2" w:rsidRPr="00205C60" w:rsidRDefault="00000000">
      <w:pPr>
        <w:pStyle w:val="TDC2"/>
        <w:rPr>
          <w:rFonts w:asciiTheme="minorHAnsi" w:eastAsiaTheme="minorEastAsia" w:hAnsiTheme="minorHAnsi" w:cstheme="minorBidi"/>
          <w:b w:val="0"/>
          <w:sz w:val="22"/>
          <w:szCs w:val="22"/>
          <w:lang w:val="es-CR" w:eastAsia="es-CR"/>
        </w:rPr>
      </w:pPr>
      <w:hyperlink w:anchor="_Toc104529442" w:history="1">
        <w:r w:rsidR="00AF4AC2" w:rsidRPr="00205C60">
          <w:rPr>
            <w:rStyle w:val="Hipervnculo"/>
            <w:rFonts w:ascii="Verdana" w:hAnsi="Verdana"/>
          </w:rPr>
          <w:t>1.4.</w:t>
        </w:r>
        <w:r w:rsidR="00AF4AC2" w:rsidRPr="00205C60">
          <w:rPr>
            <w:rFonts w:asciiTheme="minorHAnsi" w:eastAsiaTheme="minorEastAsia" w:hAnsiTheme="minorHAnsi" w:cstheme="minorBidi"/>
            <w:b w:val="0"/>
            <w:sz w:val="22"/>
            <w:szCs w:val="22"/>
            <w:lang w:val="es-CR" w:eastAsia="es-CR"/>
          </w:rPr>
          <w:tab/>
        </w:r>
        <w:r w:rsidR="00AF4AC2" w:rsidRPr="00205C60">
          <w:rPr>
            <w:rStyle w:val="Hipervnculo"/>
            <w:rFonts w:ascii="Verdana" w:hAnsi="Verdana"/>
          </w:rPr>
          <w:t>Propósito de las emisiones y destino de los recursos</w:t>
        </w:r>
        <w:r w:rsidR="00AF4AC2" w:rsidRPr="00205C60">
          <w:rPr>
            <w:webHidden/>
          </w:rPr>
          <w:tab/>
        </w:r>
        <w:r w:rsidR="00AF4AC2" w:rsidRPr="00205C60">
          <w:rPr>
            <w:webHidden/>
          </w:rPr>
          <w:fldChar w:fldCharType="begin"/>
        </w:r>
        <w:r w:rsidR="00AF4AC2" w:rsidRPr="00205C60">
          <w:rPr>
            <w:webHidden/>
          </w:rPr>
          <w:instrText xml:space="preserve"> PAGEREF _Toc104529442 \h </w:instrText>
        </w:r>
        <w:r w:rsidR="00AF4AC2" w:rsidRPr="00205C60">
          <w:rPr>
            <w:webHidden/>
          </w:rPr>
        </w:r>
        <w:r w:rsidR="00AF4AC2" w:rsidRPr="00205C60">
          <w:rPr>
            <w:webHidden/>
          </w:rPr>
          <w:fldChar w:fldCharType="separate"/>
        </w:r>
        <w:r w:rsidR="00FF2CBC" w:rsidRPr="00205C60">
          <w:rPr>
            <w:webHidden/>
          </w:rPr>
          <w:t>11</w:t>
        </w:r>
        <w:r w:rsidR="00AF4AC2" w:rsidRPr="00205C60">
          <w:rPr>
            <w:webHidden/>
          </w:rPr>
          <w:fldChar w:fldCharType="end"/>
        </w:r>
      </w:hyperlink>
    </w:p>
    <w:p w14:paraId="161A4FFE" w14:textId="0736FF36" w:rsidR="00AF4AC2" w:rsidRPr="00205C60" w:rsidRDefault="00000000">
      <w:pPr>
        <w:pStyle w:val="TDC2"/>
        <w:rPr>
          <w:rFonts w:asciiTheme="minorHAnsi" w:eastAsiaTheme="minorEastAsia" w:hAnsiTheme="minorHAnsi" w:cstheme="minorBidi"/>
          <w:b w:val="0"/>
          <w:sz w:val="22"/>
          <w:szCs w:val="22"/>
          <w:lang w:val="es-CR" w:eastAsia="es-CR"/>
        </w:rPr>
      </w:pPr>
      <w:hyperlink w:anchor="_Toc104529443" w:history="1">
        <w:r w:rsidR="00AF4AC2" w:rsidRPr="00205C60">
          <w:rPr>
            <w:rStyle w:val="Hipervnculo"/>
            <w:rFonts w:ascii="Verdana" w:hAnsi="Verdana"/>
          </w:rPr>
          <w:t>1.5.</w:t>
        </w:r>
        <w:r w:rsidR="00AF4AC2" w:rsidRPr="00205C60">
          <w:rPr>
            <w:rFonts w:asciiTheme="minorHAnsi" w:eastAsiaTheme="minorEastAsia" w:hAnsiTheme="minorHAnsi" w:cstheme="minorBidi"/>
            <w:b w:val="0"/>
            <w:sz w:val="22"/>
            <w:szCs w:val="22"/>
            <w:lang w:val="es-CR" w:eastAsia="es-CR"/>
          </w:rPr>
          <w:tab/>
        </w:r>
        <w:r w:rsidR="00AF4AC2" w:rsidRPr="00205C60">
          <w:rPr>
            <w:rStyle w:val="Hipervnculo"/>
            <w:rFonts w:ascii="Verdana" w:hAnsi="Verdana"/>
          </w:rPr>
          <w:t>Mecanismos de representación</w:t>
        </w:r>
        <w:r w:rsidR="00AF4AC2" w:rsidRPr="00205C60">
          <w:rPr>
            <w:webHidden/>
          </w:rPr>
          <w:tab/>
        </w:r>
        <w:r w:rsidR="00AF4AC2" w:rsidRPr="00205C60">
          <w:rPr>
            <w:webHidden/>
          </w:rPr>
          <w:fldChar w:fldCharType="begin"/>
        </w:r>
        <w:r w:rsidR="00AF4AC2" w:rsidRPr="00205C60">
          <w:rPr>
            <w:webHidden/>
          </w:rPr>
          <w:instrText xml:space="preserve"> PAGEREF _Toc104529443 \h </w:instrText>
        </w:r>
        <w:r w:rsidR="00AF4AC2" w:rsidRPr="00205C60">
          <w:rPr>
            <w:webHidden/>
          </w:rPr>
        </w:r>
        <w:r w:rsidR="00AF4AC2" w:rsidRPr="00205C60">
          <w:rPr>
            <w:webHidden/>
          </w:rPr>
          <w:fldChar w:fldCharType="separate"/>
        </w:r>
        <w:r w:rsidR="00FF2CBC" w:rsidRPr="00205C60">
          <w:rPr>
            <w:webHidden/>
          </w:rPr>
          <w:t>13</w:t>
        </w:r>
        <w:r w:rsidR="00AF4AC2" w:rsidRPr="00205C60">
          <w:rPr>
            <w:webHidden/>
          </w:rPr>
          <w:fldChar w:fldCharType="end"/>
        </w:r>
      </w:hyperlink>
    </w:p>
    <w:p w14:paraId="0A7B7EFF" w14:textId="06F2CA8D" w:rsidR="00AF4AC2" w:rsidRPr="00205C60" w:rsidRDefault="00000000">
      <w:pPr>
        <w:pStyle w:val="TDC2"/>
        <w:rPr>
          <w:rFonts w:asciiTheme="minorHAnsi" w:eastAsiaTheme="minorEastAsia" w:hAnsiTheme="minorHAnsi" w:cstheme="minorBidi"/>
          <w:b w:val="0"/>
          <w:sz w:val="22"/>
          <w:szCs w:val="22"/>
          <w:lang w:val="es-CR" w:eastAsia="es-CR"/>
        </w:rPr>
      </w:pPr>
      <w:hyperlink w:anchor="_Toc104529444" w:history="1">
        <w:r w:rsidR="00AF4AC2" w:rsidRPr="00205C60">
          <w:rPr>
            <w:rStyle w:val="Hipervnculo"/>
            <w:rFonts w:ascii="Verdana" w:hAnsi="Verdana"/>
          </w:rPr>
          <w:t>1.6.</w:t>
        </w:r>
        <w:r w:rsidR="00AF4AC2" w:rsidRPr="00205C60">
          <w:rPr>
            <w:rFonts w:asciiTheme="minorHAnsi" w:eastAsiaTheme="minorEastAsia" w:hAnsiTheme="minorHAnsi" w:cstheme="minorBidi"/>
            <w:b w:val="0"/>
            <w:sz w:val="22"/>
            <w:szCs w:val="22"/>
            <w:lang w:val="es-CR" w:eastAsia="es-CR"/>
          </w:rPr>
          <w:tab/>
        </w:r>
        <w:r w:rsidR="00AF4AC2" w:rsidRPr="00205C60">
          <w:rPr>
            <w:rStyle w:val="Hipervnculo"/>
            <w:rFonts w:ascii="Verdana" w:hAnsi="Verdana"/>
          </w:rPr>
          <w:t>Garantía</w:t>
        </w:r>
        <w:r w:rsidR="00AF4AC2" w:rsidRPr="00205C60">
          <w:rPr>
            <w:webHidden/>
          </w:rPr>
          <w:tab/>
        </w:r>
        <w:r w:rsidR="00AF4AC2" w:rsidRPr="00205C60">
          <w:rPr>
            <w:webHidden/>
          </w:rPr>
          <w:fldChar w:fldCharType="begin"/>
        </w:r>
        <w:r w:rsidR="00AF4AC2" w:rsidRPr="00205C60">
          <w:rPr>
            <w:webHidden/>
          </w:rPr>
          <w:instrText xml:space="preserve"> PAGEREF _Toc104529444 \h </w:instrText>
        </w:r>
        <w:r w:rsidR="00AF4AC2" w:rsidRPr="00205C60">
          <w:rPr>
            <w:webHidden/>
          </w:rPr>
        </w:r>
        <w:r w:rsidR="00AF4AC2" w:rsidRPr="00205C60">
          <w:rPr>
            <w:webHidden/>
          </w:rPr>
          <w:fldChar w:fldCharType="separate"/>
        </w:r>
        <w:r w:rsidR="00FF2CBC" w:rsidRPr="00205C60">
          <w:rPr>
            <w:webHidden/>
          </w:rPr>
          <w:t>13</w:t>
        </w:r>
        <w:r w:rsidR="00AF4AC2" w:rsidRPr="00205C60">
          <w:rPr>
            <w:webHidden/>
          </w:rPr>
          <w:fldChar w:fldCharType="end"/>
        </w:r>
      </w:hyperlink>
    </w:p>
    <w:p w14:paraId="3EC3A732" w14:textId="75F5424B" w:rsidR="00AF4AC2" w:rsidRPr="00205C60" w:rsidRDefault="00000000">
      <w:pPr>
        <w:pStyle w:val="TDC2"/>
        <w:rPr>
          <w:rFonts w:asciiTheme="minorHAnsi" w:eastAsiaTheme="minorEastAsia" w:hAnsiTheme="minorHAnsi" w:cstheme="minorBidi"/>
          <w:b w:val="0"/>
          <w:sz w:val="22"/>
          <w:szCs w:val="22"/>
          <w:lang w:val="es-CR" w:eastAsia="es-CR"/>
        </w:rPr>
      </w:pPr>
      <w:hyperlink w:anchor="_Toc104529445" w:history="1">
        <w:r w:rsidR="00AF4AC2" w:rsidRPr="00205C60">
          <w:rPr>
            <w:rStyle w:val="Hipervnculo"/>
            <w:rFonts w:ascii="Verdana" w:hAnsi="Verdana"/>
          </w:rPr>
          <w:t>1.7.</w:t>
        </w:r>
        <w:r w:rsidR="00AF4AC2" w:rsidRPr="00205C60">
          <w:rPr>
            <w:rFonts w:asciiTheme="minorHAnsi" w:eastAsiaTheme="minorEastAsia" w:hAnsiTheme="minorHAnsi" w:cstheme="minorBidi"/>
            <w:b w:val="0"/>
            <w:sz w:val="22"/>
            <w:szCs w:val="22"/>
            <w:lang w:val="es-CR" w:eastAsia="es-CR"/>
          </w:rPr>
          <w:tab/>
        </w:r>
        <w:r w:rsidR="00AF4AC2" w:rsidRPr="00205C60">
          <w:rPr>
            <w:rStyle w:val="Hipervnculo"/>
            <w:rFonts w:ascii="Verdana" w:hAnsi="Verdana"/>
          </w:rPr>
          <w:t>Tratamiento tributario</w:t>
        </w:r>
        <w:r w:rsidR="00AF4AC2" w:rsidRPr="00205C60">
          <w:rPr>
            <w:webHidden/>
          </w:rPr>
          <w:tab/>
        </w:r>
        <w:r w:rsidR="00AF4AC2" w:rsidRPr="00205C60">
          <w:rPr>
            <w:webHidden/>
          </w:rPr>
          <w:fldChar w:fldCharType="begin"/>
        </w:r>
        <w:r w:rsidR="00AF4AC2" w:rsidRPr="00205C60">
          <w:rPr>
            <w:webHidden/>
          </w:rPr>
          <w:instrText xml:space="preserve"> PAGEREF _Toc104529445 \h </w:instrText>
        </w:r>
        <w:r w:rsidR="00AF4AC2" w:rsidRPr="00205C60">
          <w:rPr>
            <w:webHidden/>
          </w:rPr>
        </w:r>
        <w:r w:rsidR="00AF4AC2" w:rsidRPr="00205C60">
          <w:rPr>
            <w:webHidden/>
          </w:rPr>
          <w:fldChar w:fldCharType="separate"/>
        </w:r>
        <w:r w:rsidR="00FF2CBC" w:rsidRPr="00205C60">
          <w:rPr>
            <w:webHidden/>
          </w:rPr>
          <w:t>13</w:t>
        </w:r>
        <w:r w:rsidR="00AF4AC2" w:rsidRPr="00205C60">
          <w:rPr>
            <w:webHidden/>
          </w:rPr>
          <w:fldChar w:fldCharType="end"/>
        </w:r>
      </w:hyperlink>
    </w:p>
    <w:p w14:paraId="72F20998" w14:textId="2312960F" w:rsidR="00AF4AC2" w:rsidRPr="00205C60" w:rsidRDefault="00000000">
      <w:pPr>
        <w:pStyle w:val="TDC2"/>
        <w:rPr>
          <w:rFonts w:asciiTheme="minorHAnsi" w:eastAsiaTheme="minorEastAsia" w:hAnsiTheme="minorHAnsi" w:cstheme="minorBidi"/>
          <w:b w:val="0"/>
          <w:sz w:val="22"/>
          <w:szCs w:val="22"/>
          <w:lang w:val="es-CR" w:eastAsia="es-CR"/>
        </w:rPr>
      </w:pPr>
      <w:hyperlink w:anchor="_Toc104529446" w:history="1">
        <w:r w:rsidR="00AF4AC2" w:rsidRPr="00205C60">
          <w:rPr>
            <w:rStyle w:val="Hipervnculo"/>
            <w:rFonts w:ascii="Verdana" w:hAnsi="Verdana"/>
          </w:rPr>
          <w:t>1.8.</w:t>
        </w:r>
        <w:r w:rsidR="00AF4AC2" w:rsidRPr="00205C60">
          <w:rPr>
            <w:rFonts w:asciiTheme="minorHAnsi" w:eastAsiaTheme="minorEastAsia" w:hAnsiTheme="minorHAnsi" w:cstheme="minorBidi"/>
            <w:b w:val="0"/>
            <w:sz w:val="22"/>
            <w:szCs w:val="22"/>
            <w:lang w:val="es-CR" w:eastAsia="es-CR"/>
          </w:rPr>
          <w:tab/>
        </w:r>
        <w:r w:rsidR="00AF4AC2" w:rsidRPr="00205C60">
          <w:rPr>
            <w:rStyle w:val="Hipervnculo"/>
            <w:rFonts w:ascii="Verdana" w:hAnsi="Verdana"/>
          </w:rPr>
          <w:t>Esquema de pago</w:t>
        </w:r>
        <w:r w:rsidR="00AF4AC2" w:rsidRPr="00205C60">
          <w:rPr>
            <w:webHidden/>
          </w:rPr>
          <w:tab/>
        </w:r>
        <w:r w:rsidR="00AF4AC2" w:rsidRPr="00205C60">
          <w:rPr>
            <w:webHidden/>
          </w:rPr>
          <w:fldChar w:fldCharType="begin"/>
        </w:r>
        <w:r w:rsidR="00AF4AC2" w:rsidRPr="00205C60">
          <w:rPr>
            <w:webHidden/>
          </w:rPr>
          <w:instrText xml:space="preserve"> PAGEREF _Toc104529446 \h </w:instrText>
        </w:r>
        <w:r w:rsidR="00AF4AC2" w:rsidRPr="00205C60">
          <w:rPr>
            <w:webHidden/>
          </w:rPr>
        </w:r>
        <w:r w:rsidR="00AF4AC2" w:rsidRPr="00205C60">
          <w:rPr>
            <w:webHidden/>
          </w:rPr>
          <w:fldChar w:fldCharType="separate"/>
        </w:r>
        <w:r w:rsidR="00FF2CBC" w:rsidRPr="00205C60">
          <w:rPr>
            <w:webHidden/>
          </w:rPr>
          <w:t>14</w:t>
        </w:r>
        <w:r w:rsidR="00AF4AC2" w:rsidRPr="00205C60">
          <w:rPr>
            <w:webHidden/>
          </w:rPr>
          <w:fldChar w:fldCharType="end"/>
        </w:r>
      </w:hyperlink>
    </w:p>
    <w:p w14:paraId="4A6703A7" w14:textId="554A00CD" w:rsidR="00AF4AC2" w:rsidRPr="00205C60" w:rsidRDefault="00000000">
      <w:pPr>
        <w:pStyle w:val="TDC2"/>
        <w:rPr>
          <w:rFonts w:asciiTheme="minorHAnsi" w:eastAsiaTheme="minorEastAsia" w:hAnsiTheme="minorHAnsi" w:cstheme="minorBidi"/>
          <w:b w:val="0"/>
          <w:sz w:val="22"/>
          <w:szCs w:val="22"/>
          <w:lang w:val="es-CR" w:eastAsia="es-CR"/>
        </w:rPr>
      </w:pPr>
      <w:hyperlink w:anchor="_Toc104529447" w:history="1">
        <w:r w:rsidR="00AF4AC2" w:rsidRPr="00205C60">
          <w:rPr>
            <w:rStyle w:val="Hipervnculo"/>
            <w:rFonts w:ascii="Verdana" w:hAnsi="Verdana"/>
          </w:rPr>
          <w:t>1.9.</w:t>
        </w:r>
        <w:r w:rsidR="00AF4AC2" w:rsidRPr="00205C60">
          <w:rPr>
            <w:rFonts w:asciiTheme="minorHAnsi" w:eastAsiaTheme="minorEastAsia" w:hAnsiTheme="minorHAnsi" w:cstheme="minorBidi"/>
            <w:b w:val="0"/>
            <w:sz w:val="22"/>
            <w:szCs w:val="22"/>
            <w:lang w:val="es-CR" w:eastAsia="es-CR"/>
          </w:rPr>
          <w:tab/>
        </w:r>
        <w:r w:rsidR="00AF4AC2" w:rsidRPr="00205C60">
          <w:rPr>
            <w:rStyle w:val="Hipervnculo"/>
            <w:rFonts w:ascii="Verdana" w:hAnsi="Verdana"/>
          </w:rPr>
          <w:t>Prelación de pagos</w:t>
        </w:r>
        <w:r w:rsidR="00AF4AC2" w:rsidRPr="00205C60">
          <w:rPr>
            <w:webHidden/>
          </w:rPr>
          <w:tab/>
        </w:r>
        <w:r w:rsidR="00AF4AC2" w:rsidRPr="00205C60">
          <w:rPr>
            <w:webHidden/>
          </w:rPr>
          <w:fldChar w:fldCharType="begin"/>
        </w:r>
        <w:r w:rsidR="00AF4AC2" w:rsidRPr="00205C60">
          <w:rPr>
            <w:webHidden/>
          </w:rPr>
          <w:instrText xml:space="preserve"> PAGEREF _Toc104529447 \h </w:instrText>
        </w:r>
        <w:r w:rsidR="00AF4AC2" w:rsidRPr="00205C60">
          <w:rPr>
            <w:webHidden/>
          </w:rPr>
        </w:r>
        <w:r w:rsidR="00AF4AC2" w:rsidRPr="00205C60">
          <w:rPr>
            <w:webHidden/>
          </w:rPr>
          <w:fldChar w:fldCharType="separate"/>
        </w:r>
        <w:r w:rsidR="00FF2CBC" w:rsidRPr="00205C60">
          <w:rPr>
            <w:webHidden/>
          </w:rPr>
          <w:t>14</w:t>
        </w:r>
        <w:r w:rsidR="00AF4AC2" w:rsidRPr="00205C60">
          <w:rPr>
            <w:webHidden/>
          </w:rPr>
          <w:fldChar w:fldCharType="end"/>
        </w:r>
      </w:hyperlink>
    </w:p>
    <w:p w14:paraId="6D040C2F" w14:textId="0A6805D5" w:rsidR="00AF4AC2" w:rsidRPr="00205C60" w:rsidRDefault="00000000">
      <w:pPr>
        <w:pStyle w:val="TDC2"/>
        <w:rPr>
          <w:rFonts w:asciiTheme="minorHAnsi" w:eastAsiaTheme="minorEastAsia" w:hAnsiTheme="minorHAnsi" w:cstheme="minorBidi"/>
          <w:b w:val="0"/>
          <w:sz w:val="22"/>
          <w:szCs w:val="22"/>
          <w:lang w:val="es-CR" w:eastAsia="es-CR"/>
        </w:rPr>
      </w:pPr>
      <w:hyperlink w:anchor="_Toc104529448" w:history="1">
        <w:r w:rsidR="00AF4AC2" w:rsidRPr="00205C60">
          <w:rPr>
            <w:rStyle w:val="Hipervnculo"/>
            <w:rFonts w:ascii="Verdana" w:hAnsi="Verdana"/>
          </w:rPr>
          <w:t>1.10.</w:t>
        </w:r>
        <w:r w:rsidR="00AF4AC2" w:rsidRPr="00205C60">
          <w:rPr>
            <w:rFonts w:asciiTheme="minorHAnsi" w:eastAsiaTheme="minorEastAsia" w:hAnsiTheme="minorHAnsi" w:cstheme="minorBidi"/>
            <w:b w:val="0"/>
            <w:sz w:val="22"/>
            <w:szCs w:val="22"/>
            <w:lang w:val="es-CR" w:eastAsia="es-CR"/>
          </w:rPr>
          <w:tab/>
        </w:r>
        <w:r w:rsidR="00AF4AC2" w:rsidRPr="00205C60">
          <w:rPr>
            <w:rStyle w:val="Hipervnculo"/>
            <w:rFonts w:ascii="Verdana" w:hAnsi="Verdana"/>
          </w:rPr>
          <w:t>Identificador internacional</w:t>
        </w:r>
        <w:r w:rsidR="00AF4AC2" w:rsidRPr="00205C60">
          <w:rPr>
            <w:webHidden/>
          </w:rPr>
          <w:tab/>
        </w:r>
        <w:r w:rsidR="00AF4AC2" w:rsidRPr="00205C60">
          <w:rPr>
            <w:webHidden/>
          </w:rPr>
          <w:fldChar w:fldCharType="begin"/>
        </w:r>
        <w:r w:rsidR="00AF4AC2" w:rsidRPr="00205C60">
          <w:rPr>
            <w:webHidden/>
          </w:rPr>
          <w:instrText xml:space="preserve"> PAGEREF _Toc104529448 \h </w:instrText>
        </w:r>
        <w:r w:rsidR="00AF4AC2" w:rsidRPr="00205C60">
          <w:rPr>
            <w:webHidden/>
          </w:rPr>
        </w:r>
        <w:r w:rsidR="00AF4AC2" w:rsidRPr="00205C60">
          <w:rPr>
            <w:webHidden/>
          </w:rPr>
          <w:fldChar w:fldCharType="separate"/>
        </w:r>
        <w:r w:rsidR="00FF2CBC" w:rsidRPr="00205C60">
          <w:rPr>
            <w:webHidden/>
          </w:rPr>
          <w:t>14</w:t>
        </w:r>
        <w:r w:rsidR="00AF4AC2" w:rsidRPr="00205C60">
          <w:rPr>
            <w:webHidden/>
          </w:rPr>
          <w:fldChar w:fldCharType="end"/>
        </w:r>
      </w:hyperlink>
    </w:p>
    <w:p w14:paraId="4F546434" w14:textId="65C2BB8A" w:rsidR="00AF4AC2" w:rsidRPr="00205C60" w:rsidRDefault="00000000">
      <w:pPr>
        <w:pStyle w:val="TDC2"/>
        <w:rPr>
          <w:rFonts w:asciiTheme="minorHAnsi" w:eastAsiaTheme="minorEastAsia" w:hAnsiTheme="minorHAnsi" w:cstheme="minorBidi"/>
          <w:b w:val="0"/>
          <w:sz w:val="22"/>
          <w:szCs w:val="22"/>
          <w:lang w:val="es-CR" w:eastAsia="es-CR"/>
        </w:rPr>
      </w:pPr>
      <w:hyperlink w:anchor="_Toc104529449" w:history="1">
        <w:r w:rsidR="00AF4AC2" w:rsidRPr="00205C60">
          <w:rPr>
            <w:rStyle w:val="Hipervnculo"/>
            <w:rFonts w:ascii="Verdana" w:hAnsi="Verdana"/>
          </w:rPr>
          <w:t>1.11.</w:t>
        </w:r>
        <w:r w:rsidR="00AF4AC2" w:rsidRPr="00205C60">
          <w:rPr>
            <w:rFonts w:asciiTheme="minorHAnsi" w:eastAsiaTheme="minorEastAsia" w:hAnsiTheme="minorHAnsi" w:cstheme="minorBidi"/>
            <w:b w:val="0"/>
            <w:sz w:val="22"/>
            <w:szCs w:val="22"/>
            <w:lang w:val="es-CR" w:eastAsia="es-CR"/>
          </w:rPr>
          <w:tab/>
        </w:r>
        <w:r w:rsidR="00AF4AC2" w:rsidRPr="00205C60">
          <w:rPr>
            <w:rStyle w:val="Hipervnculo"/>
            <w:rFonts w:ascii="Verdana" w:hAnsi="Verdana"/>
          </w:rPr>
          <w:t>Identificación de directores, gerentes y asesores involucrados con el proceso de oferta pública</w:t>
        </w:r>
        <w:r w:rsidR="00AF4AC2" w:rsidRPr="00205C60">
          <w:rPr>
            <w:webHidden/>
          </w:rPr>
          <w:tab/>
        </w:r>
        <w:r w:rsidR="00AF4AC2" w:rsidRPr="00205C60">
          <w:rPr>
            <w:webHidden/>
          </w:rPr>
          <w:fldChar w:fldCharType="begin"/>
        </w:r>
        <w:r w:rsidR="00AF4AC2" w:rsidRPr="00205C60">
          <w:rPr>
            <w:webHidden/>
          </w:rPr>
          <w:instrText xml:space="preserve"> PAGEREF _Toc104529449 \h </w:instrText>
        </w:r>
        <w:r w:rsidR="00AF4AC2" w:rsidRPr="00205C60">
          <w:rPr>
            <w:webHidden/>
          </w:rPr>
        </w:r>
        <w:r w:rsidR="00AF4AC2" w:rsidRPr="00205C60">
          <w:rPr>
            <w:webHidden/>
          </w:rPr>
          <w:fldChar w:fldCharType="separate"/>
        </w:r>
        <w:r w:rsidR="00FF2CBC" w:rsidRPr="00205C60">
          <w:rPr>
            <w:webHidden/>
          </w:rPr>
          <w:t>15</w:t>
        </w:r>
        <w:r w:rsidR="00AF4AC2" w:rsidRPr="00205C60">
          <w:rPr>
            <w:webHidden/>
          </w:rPr>
          <w:fldChar w:fldCharType="end"/>
        </w:r>
      </w:hyperlink>
    </w:p>
    <w:p w14:paraId="739505EA" w14:textId="0B7F4470" w:rsidR="00AF4AC2" w:rsidRPr="00205C60" w:rsidRDefault="00000000">
      <w:pPr>
        <w:pStyle w:val="TDC1"/>
        <w:rPr>
          <w:rFonts w:asciiTheme="minorHAnsi" w:eastAsiaTheme="minorEastAsia" w:hAnsiTheme="minorHAnsi" w:cstheme="minorBidi"/>
          <w:bCs w:val="0"/>
          <w:sz w:val="22"/>
          <w:szCs w:val="22"/>
          <w:lang w:val="es-CR" w:eastAsia="es-CR"/>
        </w:rPr>
      </w:pPr>
      <w:hyperlink w:anchor="_Toc104529450" w:history="1">
        <w:r w:rsidR="00AF4AC2" w:rsidRPr="00205C60">
          <w:rPr>
            <w:rStyle w:val="Hipervnculo"/>
            <w:rFonts w:ascii="Verdana" w:hAnsi="Verdana"/>
          </w:rPr>
          <w:t>CAPITULO II</w:t>
        </w:r>
        <w:r w:rsidR="00AF4AC2" w:rsidRPr="00205C60">
          <w:rPr>
            <w:webHidden/>
          </w:rPr>
          <w:tab/>
        </w:r>
        <w:r w:rsidR="00AF4AC2" w:rsidRPr="00205C60">
          <w:rPr>
            <w:webHidden/>
          </w:rPr>
          <w:fldChar w:fldCharType="begin"/>
        </w:r>
        <w:r w:rsidR="00AF4AC2" w:rsidRPr="00205C60">
          <w:rPr>
            <w:webHidden/>
          </w:rPr>
          <w:instrText xml:space="preserve"> PAGEREF _Toc104529450 \h </w:instrText>
        </w:r>
        <w:r w:rsidR="00AF4AC2" w:rsidRPr="00205C60">
          <w:rPr>
            <w:webHidden/>
          </w:rPr>
        </w:r>
        <w:r w:rsidR="00AF4AC2" w:rsidRPr="00205C60">
          <w:rPr>
            <w:webHidden/>
          </w:rPr>
          <w:fldChar w:fldCharType="separate"/>
        </w:r>
        <w:r w:rsidR="00FF2CBC" w:rsidRPr="00205C60">
          <w:rPr>
            <w:webHidden/>
          </w:rPr>
          <w:t>16</w:t>
        </w:r>
        <w:r w:rsidR="00AF4AC2" w:rsidRPr="00205C60">
          <w:rPr>
            <w:webHidden/>
          </w:rPr>
          <w:fldChar w:fldCharType="end"/>
        </w:r>
      </w:hyperlink>
    </w:p>
    <w:p w14:paraId="3710D8D8" w14:textId="05284F1E" w:rsidR="00AF4AC2" w:rsidRPr="00205C60" w:rsidRDefault="00000000">
      <w:pPr>
        <w:pStyle w:val="TDC1"/>
        <w:rPr>
          <w:rFonts w:asciiTheme="minorHAnsi" w:eastAsiaTheme="minorEastAsia" w:hAnsiTheme="minorHAnsi" w:cstheme="minorBidi"/>
          <w:bCs w:val="0"/>
          <w:sz w:val="22"/>
          <w:szCs w:val="22"/>
          <w:lang w:val="es-CR" w:eastAsia="es-CR"/>
        </w:rPr>
      </w:pPr>
      <w:hyperlink w:anchor="_Toc104529451" w:history="1">
        <w:r w:rsidR="00AF4AC2" w:rsidRPr="00205C60">
          <w:rPr>
            <w:rStyle w:val="Hipervnculo"/>
            <w:rFonts w:ascii="Verdana" w:hAnsi="Verdana"/>
          </w:rPr>
          <w:t>INFORMACIÓN ESENCIAL</w:t>
        </w:r>
        <w:r w:rsidR="00AF4AC2" w:rsidRPr="00205C60">
          <w:rPr>
            <w:webHidden/>
          </w:rPr>
          <w:tab/>
        </w:r>
        <w:r w:rsidR="00AF4AC2" w:rsidRPr="00205C60">
          <w:rPr>
            <w:webHidden/>
          </w:rPr>
          <w:fldChar w:fldCharType="begin"/>
        </w:r>
        <w:r w:rsidR="00AF4AC2" w:rsidRPr="00205C60">
          <w:rPr>
            <w:webHidden/>
          </w:rPr>
          <w:instrText xml:space="preserve"> PAGEREF _Toc104529451 \h </w:instrText>
        </w:r>
        <w:r w:rsidR="00AF4AC2" w:rsidRPr="00205C60">
          <w:rPr>
            <w:webHidden/>
          </w:rPr>
        </w:r>
        <w:r w:rsidR="00AF4AC2" w:rsidRPr="00205C60">
          <w:rPr>
            <w:webHidden/>
          </w:rPr>
          <w:fldChar w:fldCharType="separate"/>
        </w:r>
        <w:r w:rsidR="00FF2CBC" w:rsidRPr="00205C60">
          <w:rPr>
            <w:webHidden/>
          </w:rPr>
          <w:t>16</w:t>
        </w:r>
        <w:r w:rsidR="00AF4AC2" w:rsidRPr="00205C60">
          <w:rPr>
            <w:webHidden/>
          </w:rPr>
          <w:fldChar w:fldCharType="end"/>
        </w:r>
      </w:hyperlink>
    </w:p>
    <w:p w14:paraId="1C5BB39B" w14:textId="0964F5A1" w:rsidR="00AF4AC2" w:rsidRPr="00205C60" w:rsidRDefault="00000000">
      <w:pPr>
        <w:pStyle w:val="TDC2"/>
        <w:rPr>
          <w:rFonts w:asciiTheme="minorHAnsi" w:eastAsiaTheme="minorEastAsia" w:hAnsiTheme="minorHAnsi" w:cstheme="minorBidi"/>
          <w:b w:val="0"/>
          <w:sz w:val="22"/>
          <w:szCs w:val="22"/>
          <w:lang w:val="es-CR" w:eastAsia="es-CR"/>
        </w:rPr>
      </w:pPr>
      <w:hyperlink w:anchor="_Toc104529452" w:history="1">
        <w:r w:rsidR="00AF4AC2" w:rsidRPr="00205C60">
          <w:rPr>
            <w:rStyle w:val="Hipervnculo"/>
            <w:rFonts w:ascii="Verdana" w:hAnsi="Verdana"/>
          </w:rPr>
          <w:t>2.1.</w:t>
        </w:r>
        <w:r w:rsidR="00AF4AC2" w:rsidRPr="00205C60">
          <w:rPr>
            <w:rFonts w:asciiTheme="minorHAnsi" w:eastAsiaTheme="minorEastAsia" w:hAnsiTheme="minorHAnsi" w:cstheme="minorBidi"/>
            <w:b w:val="0"/>
            <w:sz w:val="22"/>
            <w:szCs w:val="22"/>
            <w:lang w:val="es-CR" w:eastAsia="es-CR"/>
          </w:rPr>
          <w:tab/>
        </w:r>
        <w:r w:rsidR="00AF4AC2" w:rsidRPr="00205C60">
          <w:rPr>
            <w:rStyle w:val="Hipervnculo"/>
            <w:rFonts w:ascii="Verdana" w:hAnsi="Verdana"/>
          </w:rPr>
          <w:t>Factores de riesgo que afectan las emisiones y la empresa</w:t>
        </w:r>
        <w:r w:rsidR="00AF4AC2" w:rsidRPr="00205C60">
          <w:rPr>
            <w:webHidden/>
          </w:rPr>
          <w:tab/>
        </w:r>
        <w:r w:rsidR="00AF4AC2" w:rsidRPr="00205C60">
          <w:rPr>
            <w:webHidden/>
          </w:rPr>
          <w:fldChar w:fldCharType="begin"/>
        </w:r>
        <w:r w:rsidR="00AF4AC2" w:rsidRPr="00205C60">
          <w:rPr>
            <w:webHidden/>
          </w:rPr>
          <w:instrText xml:space="preserve"> PAGEREF _Toc104529452 \h </w:instrText>
        </w:r>
        <w:r w:rsidR="00AF4AC2" w:rsidRPr="00205C60">
          <w:rPr>
            <w:webHidden/>
          </w:rPr>
        </w:r>
        <w:r w:rsidR="00AF4AC2" w:rsidRPr="00205C60">
          <w:rPr>
            <w:webHidden/>
          </w:rPr>
          <w:fldChar w:fldCharType="separate"/>
        </w:r>
        <w:r w:rsidR="00FF2CBC" w:rsidRPr="00205C60">
          <w:rPr>
            <w:webHidden/>
          </w:rPr>
          <w:t>16</w:t>
        </w:r>
        <w:r w:rsidR="00AF4AC2" w:rsidRPr="00205C60">
          <w:rPr>
            <w:webHidden/>
          </w:rPr>
          <w:fldChar w:fldCharType="end"/>
        </w:r>
      </w:hyperlink>
    </w:p>
    <w:p w14:paraId="050612AF" w14:textId="28FB3C3E" w:rsidR="00AF4AC2" w:rsidRPr="00205C60" w:rsidRDefault="00000000">
      <w:pPr>
        <w:pStyle w:val="TDC2"/>
        <w:rPr>
          <w:rFonts w:asciiTheme="minorHAnsi" w:eastAsiaTheme="minorEastAsia" w:hAnsiTheme="minorHAnsi" w:cstheme="minorBidi"/>
          <w:b w:val="0"/>
          <w:sz w:val="22"/>
          <w:szCs w:val="22"/>
          <w:lang w:val="es-CR" w:eastAsia="es-CR"/>
        </w:rPr>
      </w:pPr>
      <w:hyperlink w:anchor="_Toc104529453" w:history="1">
        <w:r w:rsidR="00AF4AC2" w:rsidRPr="00205C60">
          <w:rPr>
            <w:rStyle w:val="Hipervnculo"/>
            <w:rFonts w:ascii="Verdana" w:hAnsi="Verdana"/>
          </w:rPr>
          <w:t>2.1.1. Riesgos asociados a las emisiones:</w:t>
        </w:r>
        <w:r w:rsidR="00AF4AC2" w:rsidRPr="00205C60">
          <w:rPr>
            <w:webHidden/>
          </w:rPr>
          <w:tab/>
        </w:r>
        <w:r w:rsidR="00AF4AC2" w:rsidRPr="00205C60">
          <w:rPr>
            <w:webHidden/>
          </w:rPr>
          <w:fldChar w:fldCharType="begin"/>
        </w:r>
        <w:r w:rsidR="00AF4AC2" w:rsidRPr="00205C60">
          <w:rPr>
            <w:webHidden/>
          </w:rPr>
          <w:instrText xml:space="preserve"> PAGEREF _Toc104529453 \h </w:instrText>
        </w:r>
        <w:r w:rsidR="00AF4AC2" w:rsidRPr="00205C60">
          <w:rPr>
            <w:webHidden/>
          </w:rPr>
        </w:r>
        <w:r w:rsidR="00AF4AC2" w:rsidRPr="00205C60">
          <w:rPr>
            <w:webHidden/>
          </w:rPr>
          <w:fldChar w:fldCharType="separate"/>
        </w:r>
        <w:r w:rsidR="00FF2CBC" w:rsidRPr="00205C60">
          <w:rPr>
            <w:webHidden/>
          </w:rPr>
          <w:t>16</w:t>
        </w:r>
        <w:r w:rsidR="00AF4AC2" w:rsidRPr="00205C60">
          <w:rPr>
            <w:webHidden/>
          </w:rPr>
          <w:fldChar w:fldCharType="end"/>
        </w:r>
      </w:hyperlink>
    </w:p>
    <w:p w14:paraId="55078117" w14:textId="20F87013" w:rsidR="00AF4AC2" w:rsidRPr="00205C60" w:rsidRDefault="00000000">
      <w:pPr>
        <w:pStyle w:val="TDC2"/>
        <w:rPr>
          <w:rFonts w:asciiTheme="minorHAnsi" w:eastAsiaTheme="minorEastAsia" w:hAnsiTheme="minorHAnsi" w:cstheme="minorBidi"/>
          <w:b w:val="0"/>
          <w:sz w:val="22"/>
          <w:szCs w:val="22"/>
          <w:lang w:val="es-CR" w:eastAsia="es-CR"/>
        </w:rPr>
      </w:pPr>
      <w:hyperlink w:anchor="_Toc104529454" w:history="1">
        <w:r w:rsidR="00AF4AC2" w:rsidRPr="00205C60">
          <w:rPr>
            <w:rStyle w:val="Hipervnculo"/>
            <w:rFonts w:ascii="Verdana" w:hAnsi="Verdana"/>
          </w:rPr>
          <w:t>2.1.2. Riesgos relacionados con la operación de la empresa:</w:t>
        </w:r>
        <w:r w:rsidR="00AF4AC2" w:rsidRPr="00205C60">
          <w:rPr>
            <w:webHidden/>
          </w:rPr>
          <w:tab/>
        </w:r>
        <w:r w:rsidR="00AF4AC2" w:rsidRPr="00205C60">
          <w:rPr>
            <w:webHidden/>
          </w:rPr>
          <w:fldChar w:fldCharType="begin"/>
        </w:r>
        <w:r w:rsidR="00AF4AC2" w:rsidRPr="00205C60">
          <w:rPr>
            <w:webHidden/>
          </w:rPr>
          <w:instrText xml:space="preserve"> PAGEREF _Toc104529454 \h </w:instrText>
        </w:r>
        <w:r w:rsidR="00AF4AC2" w:rsidRPr="00205C60">
          <w:rPr>
            <w:webHidden/>
          </w:rPr>
        </w:r>
        <w:r w:rsidR="00AF4AC2" w:rsidRPr="00205C60">
          <w:rPr>
            <w:webHidden/>
          </w:rPr>
          <w:fldChar w:fldCharType="separate"/>
        </w:r>
        <w:r w:rsidR="00FF2CBC" w:rsidRPr="00205C60">
          <w:rPr>
            <w:webHidden/>
          </w:rPr>
          <w:t>17</w:t>
        </w:r>
        <w:r w:rsidR="00AF4AC2" w:rsidRPr="00205C60">
          <w:rPr>
            <w:webHidden/>
          </w:rPr>
          <w:fldChar w:fldCharType="end"/>
        </w:r>
      </w:hyperlink>
    </w:p>
    <w:p w14:paraId="1BF02E11" w14:textId="51299455" w:rsidR="00AF4AC2" w:rsidRPr="00205C60" w:rsidRDefault="00000000">
      <w:pPr>
        <w:pStyle w:val="TDC2"/>
        <w:rPr>
          <w:rFonts w:asciiTheme="minorHAnsi" w:eastAsiaTheme="minorEastAsia" w:hAnsiTheme="minorHAnsi" w:cstheme="minorBidi"/>
          <w:b w:val="0"/>
          <w:sz w:val="22"/>
          <w:szCs w:val="22"/>
          <w:lang w:val="es-CR" w:eastAsia="es-CR"/>
        </w:rPr>
      </w:pPr>
      <w:hyperlink w:anchor="_Toc104529455" w:history="1">
        <w:r w:rsidR="00AF4AC2" w:rsidRPr="00205C60">
          <w:rPr>
            <w:rStyle w:val="Hipervnculo"/>
            <w:rFonts w:ascii="Verdana" w:hAnsi="Verdana"/>
          </w:rPr>
          <w:t>2.1.3. Riesgos de la industria</w:t>
        </w:r>
        <w:r w:rsidR="00AF4AC2" w:rsidRPr="00205C60">
          <w:rPr>
            <w:webHidden/>
          </w:rPr>
          <w:tab/>
        </w:r>
        <w:r w:rsidR="00AF4AC2" w:rsidRPr="00205C60">
          <w:rPr>
            <w:webHidden/>
          </w:rPr>
          <w:fldChar w:fldCharType="begin"/>
        </w:r>
        <w:r w:rsidR="00AF4AC2" w:rsidRPr="00205C60">
          <w:rPr>
            <w:webHidden/>
          </w:rPr>
          <w:instrText xml:space="preserve"> PAGEREF _Toc104529455 \h </w:instrText>
        </w:r>
        <w:r w:rsidR="00AF4AC2" w:rsidRPr="00205C60">
          <w:rPr>
            <w:webHidden/>
          </w:rPr>
        </w:r>
        <w:r w:rsidR="00AF4AC2" w:rsidRPr="00205C60">
          <w:rPr>
            <w:webHidden/>
          </w:rPr>
          <w:fldChar w:fldCharType="separate"/>
        </w:r>
        <w:r w:rsidR="00FF2CBC" w:rsidRPr="00205C60">
          <w:rPr>
            <w:webHidden/>
          </w:rPr>
          <w:t>19</w:t>
        </w:r>
        <w:r w:rsidR="00AF4AC2" w:rsidRPr="00205C60">
          <w:rPr>
            <w:webHidden/>
          </w:rPr>
          <w:fldChar w:fldCharType="end"/>
        </w:r>
      </w:hyperlink>
    </w:p>
    <w:p w14:paraId="68240C6D" w14:textId="7DA28548" w:rsidR="00AF4AC2" w:rsidRPr="00205C60" w:rsidRDefault="00000000">
      <w:pPr>
        <w:pStyle w:val="TDC2"/>
        <w:tabs>
          <w:tab w:val="left" w:pos="1680"/>
        </w:tabs>
        <w:rPr>
          <w:rFonts w:asciiTheme="minorHAnsi" w:eastAsiaTheme="minorEastAsia" w:hAnsiTheme="minorHAnsi" w:cstheme="minorBidi"/>
          <w:b w:val="0"/>
          <w:sz w:val="22"/>
          <w:szCs w:val="22"/>
          <w:lang w:val="es-CR" w:eastAsia="es-CR"/>
        </w:rPr>
      </w:pPr>
      <w:hyperlink w:anchor="_Toc104529456" w:history="1">
        <w:r w:rsidR="00AF4AC2" w:rsidRPr="00205C60">
          <w:rPr>
            <w:rStyle w:val="Hipervnculo"/>
            <w:rFonts w:ascii="Verdana" w:hAnsi="Verdana"/>
          </w:rPr>
          <w:t>2.1.4.</w:t>
        </w:r>
        <w:r w:rsidR="00AF4AC2" w:rsidRPr="00205C60">
          <w:rPr>
            <w:rFonts w:asciiTheme="minorHAnsi" w:eastAsiaTheme="minorEastAsia" w:hAnsiTheme="minorHAnsi" w:cstheme="minorBidi"/>
            <w:b w:val="0"/>
            <w:sz w:val="22"/>
            <w:szCs w:val="22"/>
            <w:lang w:val="es-CR" w:eastAsia="es-CR"/>
          </w:rPr>
          <w:tab/>
        </w:r>
        <w:r w:rsidR="00AF4AC2" w:rsidRPr="00205C60">
          <w:rPr>
            <w:rStyle w:val="Hipervnculo"/>
            <w:rFonts w:ascii="Verdana" w:hAnsi="Verdana"/>
          </w:rPr>
          <w:t>Riesgos del entorno:</w:t>
        </w:r>
        <w:r w:rsidR="00AF4AC2" w:rsidRPr="00205C60">
          <w:rPr>
            <w:webHidden/>
          </w:rPr>
          <w:tab/>
        </w:r>
        <w:r w:rsidR="00AF4AC2" w:rsidRPr="00205C60">
          <w:rPr>
            <w:webHidden/>
          </w:rPr>
          <w:fldChar w:fldCharType="begin"/>
        </w:r>
        <w:r w:rsidR="00AF4AC2" w:rsidRPr="00205C60">
          <w:rPr>
            <w:webHidden/>
          </w:rPr>
          <w:instrText xml:space="preserve"> PAGEREF _Toc104529456 \h </w:instrText>
        </w:r>
        <w:r w:rsidR="00AF4AC2" w:rsidRPr="00205C60">
          <w:rPr>
            <w:webHidden/>
          </w:rPr>
        </w:r>
        <w:r w:rsidR="00AF4AC2" w:rsidRPr="00205C60">
          <w:rPr>
            <w:webHidden/>
          </w:rPr>
          <w:fldChar w:fldCharType="separate"/>
        </w:r>
        <w:r w:rsidR="00FF2CBC" w:rsidRPr="00205C60">
          <w:rPr>
            <w:webHidden/>
          </w:rPr>
          <w:t>24</w:t>
        </w:r>
        <w:r w:rsidR="00AF4AC2" w:rsidRPr="00205C60">
          <w:rPr>
            <w:webHidden/>
          </w:rPr>
          <w:fldChar w:fldCharType="end"/>
        </w:r>
      </w:hyperlink>
    </w:p>
    <w:p w14:paraId="49FDB206" w14:textId="7FBF0CB3" w:rsidR="00AF4AC2" w:rsidRPr="00205C60" w:rsidRDefault="00000000">
      <w:pPr>
        <w:pStyle w:val="TDC2"/>
        <w:tabs>
          <w:tab w:val="left" w:pos="1680"/>
        </w:tabs>
        <w:rPr>
          <w:rFonts w:asciiTheme="minorHAnsi" w:eastAsiaTheme="minorEastAsia" w:hAnsiTheme="minorHAnsi" w:cstheme="minorBidi"/>
          <w:b w:val="0"/>
          <w:sz w:val="22"/>
          <w:szCs w:val="22"/>
          <w:lang w:val="es-CR" w:eastAsia="es-CR"/>
        </w:rPr>
      </w:pPr>
      <w:hyperlink w:anchor="_Toc104529457" w:history="1">
        <w:r w:rsidR="00AF4AC2" w:rsidRPr="00205C60">
          <w:rPr>
            <w:rStyle w:val="Hipervnculo"/>
            <w:rFonts w:ascii="Verdana" w:hAnsi="Verdana"/>
          </w:rPr>
          <w:t>2.1.5.</w:t>
        </w:r>
        <w:r w:rsidR="00AF4AC2" w:rsidRPr="00205C60">
          <w:rPr>
            <w:rFonts w:asciiTheme="minorHAnsi" w:eastAsiaTheme="minorEastAsia" w:hAnsiTheme="minorHAnsi" w:cstheme="minorBidi"/>
            <w:b w:val="0"/>
            <w:sz w:val="22"/>
            <w:szCs w:val="22"/>
            <w:lang w:val="es-CR" w:eastAsia="es-CR"/>
          </w:rPr>
          <w:tab/>
        </w:r>
        <w:r w:rsidR="00AF4AC2" w:rsidRPr="00205C60">
          <w:rPr>
            <w:rStyle w:val="Hipervnculo"/>
            <w:rFonts w:ascii="Verdana" w:hAnsi="Verdana"/>
          </w:rPr>
          <w:t>Análisis de indicadores financieros</w:t>
        </w:r>
        <w:r w:rsidR="00AF4AC2" w:rsidRPr="00205C60">
          <w:rPr>
            <w:webHidden/>
          </w:rPr>
          <w:tab/>
        </w:r>
        <w:r w:rsidR="00AF4AC2" w:rsidRPr="00205C60">
          <w:rPr>
            <w:webHidden/>
          </w:rPr>
          <w:fldChar w:fldCharType="begin"/>
        </w:r>
        <w:r w:rsidR="00AF4AC2" w:rsidRPr="00205C60">
          <w:rPr>
            <w:webHidden/>
          </w:rPr>
          <w:instrText xml:space="preserve"> PAGEREF _Toc104529457 \h </w:instrText>
        </w:r>
        <w:r w:rsidR="00AF4AC2" w:rsidRPr="00205C60">
          <w:rPr>
            <w:webHidden/>
          </w:rPr>
        </w:r>
        <w:r w:rsidR="00AF4AC2" w:rsidRPr="00205C60">
          <w:rPr>
            <w:webHidden/>
          </w:rPr>
          <w:fldChar w:fldCharType="separate"/>
        </w:r>
        <w:r w:rsidR="00FF2CBC" w:rsidRPr="00205C60">
          <w:rPr>
            <w:webHidden/>
          </w:rPr>
          <w:t>26</w:t>
        </w:r>
        <w:r w:rsidR="00AF4AC2" w:rsidRPr="00205C60">
          <w:rPr>
            <w:webHidden/>
          </w:rPr>
          <w:fldChar w:fldCharType="end"/>
        </w:r>
      </w:hyperlink>
    </w:p>
    <w:p w14:paraId="24A376C2" w14:textId="0794B65C" w:rsidR="00AF4AC2" w:rsidRPr="00205C60" w:rsidRDefault="00000000">
      <w:pPr>
        <w:pStyle w:val="TDC2"/>
        <w:tabs>
          <w:tab w:val="left" w:pos="1920"/>
        </w:tabs>
        <w:rPr>
          <w:rFonts w:asciiTheme="minorHAnsi" w:eastAsiaTheme="minorEastAsia" w:hAnsiTheme="minorHAnsi" w:cstheme="minorBidi"/>
          <w:b w:val="0"/>
          <w:sz w:val="22"/>
          <w:szCs w:val="22"/>
          <w:lang w:val="es-CR" w:eastAsia="es-CR"/>
        </w:rPr>
      </w:pPr>
      <w:hyperlink w:anchor="_Toc104529458" w:history="1">
        <w:r w:rsidR="00AF4AC2" w:rsidRPr="00205C60">
          <w:rPr>
            <w:rStyle w:val="Hipervnculo"/>
            <w:rFonts w:ascii="Verdana" w:hAnsi="Verdana"/>
          </w:rPr>
          <w:t>2.1.5.1.</w:t>
        </w:r>
        <w:r w:rsidR="00AF4AC2" w:rsidRPr="00205C60">
          <w:rPr>
            <w:rFonts w:asciiTheme="minorHAnsi" w:eastAsiaTheme="minorEastAsia" w:hAnsiTheme="minorHAnsi" w:cstheme="minorBidi"/>
            <w:b w:val="0"/>
            <w:sz w:val="22"/>
            <w:szCs w:val="22"/>
            <w:lang w:val="es-CR" w:eastAsia="es-CR"/>
          </w:rPr>
          <w:tab/>
        </w:r>
        <w:r w:rsidR="00AF4AC2" w:rsidRPr="00205C60">
          <w:rPr>
            <w:rStyle w:val="Hipervnculo"/>
            <w:rFonts w:ascii="Verdana" w:hAnsi="Verdana"/>
          </w:rPr>
          <w:t>Índices de liquidez</w:t>
        </w:r>
        <w:r w:rsidR="00AF4AC2" w:rsidRPr="00205C60">
          <w:rPr>
            <w:webHidden/>
          </w:rPr>
          <w:tab/>
        </w:r>
        <w:r w:rsidR="00AF4AC2" w:rsidRPr="00205C60">
          <w:rPr>
            <w:webHidden/>
          </w:rPr>
          <w:fldChar w:fldCharType="begin"/>
        </w:r>
        <w:r w:rsidR="00AF4AC2" w:rsidRPr="00205C60">
          <w:rPr>
            <w:webHidden/>
          </w:rPr>
          <w:instrText xml:space="preserve"> PAGEREF _Toc104529458 \h </w:instrText>
        </w:r>
        <w:r w:rsidR="00AF4AC2" w:rsidRPr="00205C60">
          <w:rPr>
            <w:webHidden/>
          </w:rPr>
        </w:r>
        <w:r w:rsidR="00AF4AC2" w:rsidRPr="00205C60">
          <w:rPr>
            <w:webHidden/>
          </w:rPr>
          <w:fldChar w:fldCharType="separate"/>
        </w:r>
        <w:r w:rsidR="00FF2CBC" w:rsidRPr="00205C60">
          <w:rPr>
            <w:webHidden/>
          </w:rPr>
          <w:t>26</w:t>
        </w:r>
        <w:r w:rsidR="00AF4AC2" w:rsidRPr="00205C60">
          <w:rPr>
            <w:webHidden/>
          </w:rPr>
          <w:fldChar w:fldCharType="end"/>
        </w:r>
      </w:hyperlink>
    </w:p>
    <w:p w14:paraId="2E0FBD81" w14:textId="0EA52AC2" w:rsidR="00AF4AC2" w:rsidRPr="00205C60" w:rsidRDefault="00000000">
      <w:pPr>
        <w:pStyle w:val="TDC2"/>
        <w:tabs>
          <w:tab w:val="left" w:pos="1920"/>
        </w:tabs>
        <w:rPr>
          <w:rFonts w:asciiTheme="minorHAnsi" w:eastAsiaTheme="minorEastAsia" w:hAnsiTheme="minorHAnsi" w:cstheme="minorBidi"/>
          <w:b w:val="0"/>
          <w:sz w:val="22"/>
          <w:szCs w:val="22"/>
          <w:lang w:val="es-CR" w:eastAsia="es-CR"/>
        </w:rPr>
      </w:pPr>
      <w:hyperlink w:anchor="_Toc104529459" w:history="1">
        <w:r w:rsidR="00AF4AC2" w:rsidRPr="00205C60">
          <w:rPr>
            <w:rStyle w:val="Hipervnculo"/>
            <w:rFonts w:ascii="Verdana" w:hAnsi="Verdana"/>
          </w:rPr>
          <w:t>2.1.5.2.</w:t>
        </w:r>
        <w:r w:rsidR="00AF4AC2" w:rsidRPr="00205C60">
          <w:rPr>
            <w:rFonts w:asciiTheme="minorHAnsi" w:eastAsiaTheme="minorEastAsia" w:hAnsiTheme="minorHAnsi" w:cstheme="minorBidi"/>
            <w:b w:val="0"/>
            <w:sz w:val="22"/>
            <w:szCs w:val="22"/>
            <w:lang w:val="es-CR" w:eastAsia="es-CR"/>
          </w:rPr>
          <w:tab/>
        </w:r>
        <w:r w:rsidR="00AF4AC2" w:rsidRPr="00205C60">
          <w:rPr>
            <w:rStyle w:val="Hipervnculo"/>
            <w:rFonts w:ascii="Verdana" w:hAnsi="Verdana"/>
          </w:rPr>
          <w:t>Índices de rentabilidad</w:t>
        </w:r>
        <w:r w:rsidR="00AF4AC2" w:rsidRPr="00205C60">
          <w:rPr>
            <w:webHidden/>
          </w:rPr>
          <w:tab/>
        </w:r>
        <w:r w:rsidR="00AF4AC2" w:rsidRPr="00205C60">
          <w:rPr>
            <w:webHidden/>
          </w:rPr>
          <w:fldChar w:fldCharType="begin"/>
        </w:r>
        <w:r w:rsidR="00AF4AC2" w:rsidRPr="00205C60">
          <w:rPr>
            <w:webHidden/>
          </w:rPr>
          <w:instrText xml:space="preserve"> PAGEREF _Toc104529459 \h </w:instrText>
        </w:r>
        <w:r w:rsidR="00AF4AC2" w:rsidRPr="00205C60">
          <w:rPr>
            <w:webHidden/>
          </w:rPr>
        </w:r>
        <w:r w:rsidR="00AF4AC2" w:rsidRPr="00205C60">
          <w:rPr>
            <w:webHidden/>
          </w:rPr>
          <w:fldChar w:fldCharType="separate"/>
        </w:r>
        <w:r w:rsidR="00FF2CBC" w:rsidRPr="00205C60">
          <w:rPr>
            <w:webHidden/>
          </w:rPr>
          <w:t>27</w:t>
        </w:r>
        <w:r w:rsidR="00AF4AC2" w:rsidRPr="00205C60">
          <w:rPr>
            <w:webHidden/>
          </w:rPr>
          <w:fldChar w:fldCharType="end"/>
        </w:r>
      </w:hyperlink>
    </w:p>
    <w:p w14:paraId="2CE5CD37" w14:textId="2ADCD144" w:rsidR="00AF4AC2" w:rsidRPr="00205C60" w:rsidRDefault="00000000">
      <w:pPr>
        <w:pStyle w:val="TDC2"/>
        <w:tabs>
          <w:tab w:val="left" w:pos="1920"/>
        </w:tabs>
        <w:rPr>
          <w:rFonts w:asciiTheme="minorHAnsi" w:eastAsiaTheme="minorEastAsia" w:hAnsiTheme="minorHAnsi" w:cstheme="minorBidi"/>
          <w:b w:val="0"/>
          <w:sz w:val="22"/>
          <w:szCs w:val="22"/>
          <w:lang w:val="es-CR" w:eastAsia="es-CR"/>
        </w:rPr>
      </w:pPr>
      <w:hyperlink w:anchor="_Toc104529460" w:history="1">
        <w:r w:rsidR="00AF4AC2" w:rsidRPr="00205C60">
          <w:rPr>
            <w:rStyle w:val="Hipervnculo"/>
            <w:rFonts w:ascii="Verdana" w:hAnsi="Verdana"/>
          </w:rPr>
          <w:t>2.1.5.3.</w:t>
        </w:r>
        <w:r w:rsidR="00AF4AC2" w:rsidRPr="00205C60">
          <w:rPr>
            <w:rFonts w:asciiTheme="minorHAnsi" w:eastAsiaTheme="minorEastAsia" w:hAnsiTheme="minorHAnsi" w:cstheme="minorBidi"/>
            <w:b w:val="0"/>
            <w:sz w:val="22"/>
            <w:szCs w:val="22"/>
            <w:lang w:val="es-CR" w:eastAsia="es-CR"/>
          </w:rPr>
          <w:tab/>
        </w:r>
        <w:r w:rsidR="00AF4AC2" w:rsidRPr="00205C60">
          <w:rPr>
            <w:rStyle w:val="Hipervnculo"/>
            <w:rFonts w:ascii="Verdana" w:hAnsi="Verdana"/>
          </w:rPr>
          <w:t>Índices de actividad</w:t>
        </w:r>
        <w:r w:rsidR="00AF4AC2" w:rsidRPr="00205C60">
          <w:rPr>
            <w:webHidden/>
          </w:rPr>
          <w:tab/>
        </w:r>
        <w:r w:rsidR="00AF4AC2" w:rsidRPr="00205C60">
          <w:rPr>
            <w:webHidden/>
          </w:rPr>
          <w:fldChar w:fldCharType="begin"/>
        </w:r>
        <w:r w:rsidR="00AF4AC2" w:rsidRPr="00205C60">
          <w:rPr>
            <w:webHidden/>
          </w:rPr>
          <w:instrText xml:space="preserve"> PAGEREF _Toc104529460 \h </w:instrText>
        </w:r>
        <w:r w:rsidR="00AF4AC2" w:rsidRPr="00205C60">
          <w:rPr>
            <w:webHidden/>
          </w:rPr>
        </w:r>
        <w:r w:rsidR="00AF4AC2" w:rsidRPr="00205C60">
          <w:rPr>
            <w:webHidden/>
          </w:rPr>
          <w:fldChar w:fldCharType="separate"/>
        </w:r>
        <w:r w:rsidR="00FF2CBC" w:rsidRPr="00205C60">
          <w:rPr>
            <w:webHidden/>
          </w:rPr>
          <w:t>30</w:t>
        </w:r>
        <w:r w:rsidR="00AF4AC2" w:rsidRPr="00205C60">
          <w:rPr>
            <w:webHidden/>
          </w:rPr>
          <w:fldChar w:fldCharType="end"/>
        </w:r>
      </w:hyperlink>
    </w:p>
    <w:p w14:paraId="06FE782C" w14:textId="7C3D805B" w:rsidR="00AF4AC2" w:rsidRPr="00205C60" w:rsidRDefault="00000000">
      <w:pPr>
        <w:pStyle w:val="TDC2"/>
        <w:rPr>
          <w:rFonts w:asciiTheme="minorHAnsi" w:eastAsiaTheme="minorEastAsia" w:hAnsiTheme="minorHAnsi" w:cstheme="minorBidi"/>
          <w:b w:val="0"/>
          <w:sz w:val="22"/>
          <w:szCs w:val="22"/>
          <w:lang w:val="es-CR" w:eastAsia="es-CR"/>
        </w:rPr>
      </w:pPr>
      <w:hyperlink w:anchor="_Toc104529461" w:history="1">
        <w:r w:rsidR="00AF4AC2" w:rsidRPr="00205C60">
          <w:rPr>
            <w:rStyle w:val="Hipervnculo"/>
            <w:rFonts w:ascii="Verdana" w:hAnsi="Verdana"/>
          </w:rPr>
          <w:t>2.1.6</w:t>
        </w:r>
        <w:r w:rsidR="00AF4AC2" w:rsidRPr="00205C60">
          <w:rPr>
            <w:rFonts w:asciiTheme="minorHAnsi" w:eastAsiaTheme="minorEastAsia" w:hAnsiTheme="minorHAnsi" w:cstheme="minorBidi"/>
            <w:b w:val="0"/>
            <w:sz w:val="22"/>
            <w:szCs w:val="22"/>
            <w:lang w:val="es-CR" w:eastAsia="es-CR"/>
          </w:rPr>
          <w:tab/>
        </w:r>
        <w:r w:rsidR="00AF4AC2" w:rsidRPr="00205C60">
          <w:rPr>
            <w:rStyle w:val="Hipervnculo"/>
            <w:rFonts w:ascii="Verdana" w:hAnsi="Verdana"/>
          </w:rPr>
          <w:t>Endeudamiento y Capitalización</w:t>
        </w:r>
        <w:r w:rsidR="00AF4AC2" w:rsidRPr="00205C60">
          <w:rPr>
            <w:webHidden/>
          </w:rPr>
          <w:tab/>
        </w:r>
        <w:r w:rsidR="00AF4AC2" w:rsidRPr="00205C60">
          <w:rPr>
            <w:webHidden/>
          </w:rPr>
          <w:fldChar w:fldCharType="begin"/>
        </w:r>
        <w:r w:rsidR="00AF4AC2" w:rsidRPr="00205C60">
          <w:rPr>
            <w:webHidden/>
          </w:rPr>
          <w:instrText xml:space="preserve"> PAGEREF _Toc104529461 \h </w:instrText>
        </w:r>
        <w:r w:rsidR="00AF4AC2" w:rsidRPr="00205C60">
          <w:rPr>
            <w:webHidden/>
          </w:rPr>
        </w:r>
        <w:r w:rsidR="00AF4AC2" w:rsidRPr="00205C60">
          <w:rPr>
            <w:webHidden/>
          </w:rPr>
          <w:fldChar w:fldCharType="separate"/>
        </w:r>
        <w:r w:rsidR="00FF2CBC" w:rsidRPr="00205C60">
          <w:rPr>
            <w:webHidden/>
          </w:rPr>
          <w:t>37</w:t>
        </w:r>
        <w:r w:rsidR="00AF4AC2" w:rsidRPr="00205C60">
          <w:rPr>
            <w:webHidden/>
          </w:rPr>
          <w:fldChar w:fldCharType="end"/>
        </w:r>
      </w:hyperlink>
    </w:p>
    <w:p w14:paraId="6B54E482" w14:textId="37F81F65" w:rsidR="00AF4AC2" w:rsidRPr="00205C60" w:rsidRDefault="00000000">
      <w:pPr>
        <w:pStyle w:val="TDC2"/>
        <w:tabs>
          <w:tab w:val="left" w:pos="1920"/>
        </w:tabs>
        <w:rPr>
          <w:rFonts w:asciiTheme="minorHAnsi" w:eastAsiaTheme="minorEastAsia" w:hAnsiTheme="minorHAnsi" w:cstheme="minorBidi"/>
          <w:b w:val="0"/>
          <w:sz w:val="22"/>
          <w:szCs w:val="22"/>
          <w:lang w:val="es-CR" w:eastAsia="es-CR"/>
        </w:rPr>
      </w:pPr>
      <w:hyperlink w:anchor="_Toc104529462" w:history="1">
        <w:r w:rsidR="00AF4AC2" w:rsidRPr="00205C60">
          <w:rPr>
            <w:rStyle w:val="Hipervnculo"/>
            <w:rFonts w:ascii="Verdana" w:hAnsi="Verdana"/>
          </w:rPr>
          <w:t>2.1.6.1</w:t>
        </w:r>
        <w:r w:rsidR="00AF4AC2" w:rsidRPr="00205C60">
          <w:rPr>
            <w:rFonts w:asciiTheme="minorHAnsi" w:eastAsiaTheme="minorEastAsia" w:hAnsiTheme="minorHAnsi" w:cstheme="minorBidi"/>
            <w:b w:val="0"/>
            <w:sz w:val="22"/>
            <w:szCs w:val="22"/>
            <w:lang w:val="es-CR" w:eastAsia="es-CR"/>
          </w:rPr>
          <w:tab/>
        </w:r>
        <w:r w:rsidR="00AF4AC2" w:rsidRPr="00205C60">
          <w:rPr>
            <w:rStyle w:val="Hipervnculo"/>
            <w:rFonts w:ascii="Verdana" w:hAnsi="Verdana"/>
          </w:rPr>
          <w:t>Endeudamiento</w:t>
        </w:r>
        <w:r w:rsidR="00AF4AC2" w:rsidRPr="00205C60">
          <w:rPr>
            <w:webHidden/>
          </w:rPr>
          <w:tab/>
        </w:r>
        <w:r w:rsidR="00AF4AC2" w:rsidRPr="00205C60">
          <w:rPr>
            <w:webHidden/>
          </w:rPr>
          <w:fldChar w:fldCharType="begin"/>
        </w:r>
        <w:r w:rsidR="00AF4AC2" w:rsidRPr="00205C60">
          <w:rPr>
            <w:webHidden/>
          </w:rPr>
          <w:instrText xml:space="preserve"> PAGEREF _Toc104529462 \h </w:instrText>
        </w:r>
        <w:r w:rsidR="00AF4AC2" w:rsidRPr="00205C60">
          <w:rPr>
            <w:webHidden/>
          </w:rPr>
        </w:r>
        <w:r w:rsidR="00AF4AC2" w:rsidRPr="00205C60">
          <w:rPr>
            <w:webHidden/>
          </w:rPr>
          <w:fldChar w:fldCharType="separate"/>
        </w:r>
        <w:r w:rsidR="00FF2CBC" w:rsidRPr="00205C60">
          <w:rPr>
            <w:webHidden/>
          </w:rPr>
          <w:t>37</w:t>
        </w:r>
        <w:r w:rsidR="00AF4AC2" w:rsidRPr="00205C60">
          <w:rPr>
            <w:webHidden/>
          </w:rPr>
          <w:fldChar w:fldCharType="end"/>
        </w:r>
      </w:hyperlink>
    </w:p>
    <w:p w14:paraId="32CF35BB" w14:textId="3DD2CBD2" w:rsidR="00AF4AC2" w:rsidRPr="00205C60" w:rsidRDefault="00000000">
      <w:pPr>
        <w:pStyle w:val="TDC2"/>
        <w:tabs>
          <w:tab w:val="left" w:pos="1920"/>
        </w:tabs>
        <w:rPr>
          <w:rFonts w:asciiTheme="minorHAnsi" w:eastAsiaTheme="minorEastAsia" w:hAnsiTheme="minorHAnsi" w:cstheme="minorBidi"/>
          <w:b w:val="0"/>
          <w:sz w:val="22"/>
          <w:szCs w:val="22"/>
          <w:lang w:val="es-CR" w:eastAsia="es-CR"/>
        </w:rPr>
      </w:pPr>
      <w:hyperlink w:anchor="_Toc104529463" w:history="1">
        <w:r w:rsidR="00AF4AC2" w:rsidRPr="00205C60">
          <w:rPr>
            <w:rStyle w:val="Hipervnculo"/>
            <w:rFonts w:ascii="Verdana" w:hAnsi="Verdana"/>
          </w:rPr>
          <w:t>2.1.6.2</w:t>
        </w:r>
        <w:r w:rsidR="00AF4AC2" w:rsidRPr="00205C60">
          <w:rPr>
            <w:rFonts w:asciiTheme="minorHAnsi" w:eastAsiaTheme="minorEastAsia" w:hAnsiTheme="minorHAnsi" w:cstheme="minorBidi"/>
            <w:b w:val="0"/>
            <w:sz w:val="22"/>
            <w:szCs w:val="22"/>
            <w:lang w:val="es-CR" w:eastAsia="es-CR"/>
          </w:rPr>
          <w:tab/>
        </w:r>
        <w:r w:rsidR="00AF4AC2" w:rsidRPr="00205C60">
          <w:rPr>
            <w:rStyle w:val="Hipervnculo"/>
            <w:rFonts w:ascii="Verdana" w:hAnsi="Verdana"/>
          </w:rPr>
          <w:t>Capitalización</w:t>
        </w:r>
        <w:r w:rsidR="00AF4AC2" w:rsidRPr="00205C60">
          <w:rPr>
            <w:webHidden/>
          </w:rPr>
          <w:tab/>
        </w:r>
        <w:r w:rsidR="00AF4AC2" w:rsidRPr="00205C60">
          <w:rPr>
            <w:webHidden/>
          </w:rPr>
          <w:fldChar w:fldCharType="begin"/>
        </w:r>
        <w:r w:rsidR="00AF4AC2" w:rsidRPr="00205C60">
          <w:rPr>
            <w:webHidden/>
          </w:rPr>
          <w:instrText xml:space="preserve"> PAGEREF _Toc104529463 \h </w:instrText>
        </w:r>
        <w:r w:rsidR="00AF4AC2" w:rsidRPr="00205C60">
          <w:rPr>
            <w:webHidden/>
          </w:rPr>
        </w:r>
        <w:r w:rsidR="00AF4AC2" w:rsidRPr="00205C60">
          <w:rPr>
            <w:webHidden/>
          </w:rPr>
          <w:fldChar w:fldCharType="separate"/>
        </w:r>
        <w:r w:rsidR="00FF2CBC" w:rsidRPr="00205C60">
          <w:rPr>
            <w:webHidden/>
          </w:rPr>
          <w:t>40</w:t>
        </w:r>
        <w:r w:rsidR="00AF4AC2" w:rsidRPr="00205C60">
          <w:rPr>
            <w:webHidden/>
          </w:rPr>
          <w:fldChar w:fldCharType="end"/>
        </w:r>
      </w:hyperlink>
    </w:p>
    <w:p w14:paraId="524D0CFE" w14:textId="3ECFAFDD" w:rsidR="00AF4AC2" w:rsidRPr="00205C60" w:rsidRDefault="00000000">
      <w:pPr>
        <w:pStyle w:val="TDC1"/>
        <w:rPr>
          <w:rFonts w:asciiTheme="minorHAnsi" w:eastAsiaTheme="minorEastAsia" w:hAnsiTheme="minorHAnsi" w:cstheme="minorBidi"/>
          <w:bCs w:val="0"/>
          <w:sz w:val="22"/>
          <w:szCs w:val="22"/>
          <w:lang w:val="es-CR" w:eastAsia="es-CR"/>
        </w:rPr>
      </w:pPr>
      <w:hyperlink w:anchor="_Toc104529464" w:history="1">
        <w:r w:rsidR="00AF4AC2" w:rsidRPr="00205C60">
          <w:rPr>
            <w:rStyle w:val="Hipervnculo"/>
            <w:rFonts w:ascii="Verdana" w:hAnsi="Verdana"/>
          </w:rPr>
          <w:t>CAPITULO III</w:t>
        </w:r>
        <w:r w:rsidR="00AF4AC2" w:rsidRPr="00205C60">
          <w:rPr>
            <w:webHidden/>
          </w:rPr>
          <w:tab/>
        </w:r>
        <w:r w:rsidR="00AF4AC2" w:rsidRPr="00205C60">
          <w:rPr>
            <w:webHidden/>
          </w:rPr>
          <w:fldChar w:fldCharType="begin"/>
        </w:r>
        <w:r w:rsidR="00AF4AC2" w:rsidRPr="00205C60">
          <w:rPr>
            <w:webHidden/>
          </w:rPr>
          <w:instrText xml:space="preserve"> PAGEREF _Toc104529464 \h </w:instrText>
        </w:r>
        <w:r w:rsidR="00AF4AC2" w:rsidRPr="00205C60">
          <w:rPr>
            <w:webHidden/>
          </w:rPr>
        </w:r>
        <w:r w:rsidR="00AF4AC2" w:rsidRPr="00205C60">
          <w:rPr>
            <w:webHidden/>
          </w:rPr>
          <w:fldChar w:fldCharType="separate"/>
        </w:r>
        <w:r w:rsidR="00FF2CBC" w:rsidRPr="00205C60">
          <w:rPr>
            <w:webHidden/>
          </w:rPr>
          <w:t>42</w:t>
        </w:r>
        <w:r w:rsidR="00AF4AC2" w:rsidRPr="00205C60">
          <w:rPr>
            <w:webHidden/>
          </w:rPr>
          <w:fldChar w:fldCharType="end"/>
        </w:r>
      </w:hyperlink>
    </w:p>
    <w:p w14:paraId="70F83FBE" w14:textId="70F09AE0" w:rsidR="00AF4AC2" w:rsidRPr="00205C60" w:rsidRDefault="00000000">
      <w:pPr>
        <w:pStyle w:val="TDC1"/>
        <w:rPr>
          <w:rFonts w:asciiTheme="minorHAnsi" w:eastAsiaTheme="minorEastAsia" w:hAnsiTheme="minorHAnsi" w:cstheme="minorBidi"/>
          <w:bCs w:val="0"/>
          <w:sz w:val="22"/>
          <w:szCs w:val="22"/>
          <w:lang w:val="es-CR" w:eastAsia="es-CR"/>
        </w:rPr>
      </w:pPr>
      <w:hyperlink w:anchor="_Toc104529465" w:history="1">
        <w:r w:rsidR="00AF4AC2" w:rsidRPr="00205C60">
          <w:rPr>
            <w:rStyle w:val="Hipervnculo"/>
            <w:rFonts w:ascii="Verdana" w:hAnsi="Verdana"/>
          </w:rPr>
          <w:t>INFORMACIÓN SOBRE LA EMPRESA EMISORA</w:t>
        </w:r>
        <w:r w:rsidR="00AF4AC2" w:rsidRPr="00205C60">
          <w:rPr>
            <w:webHidden/>
          </w:rPr>
          <w:tab/>
        </w:r>
        <w:r w:rsidR="00AF4AC2" w:rsidRPr="00205C60">
          <w:rPr>
            <w:webHidden/>
          </w:rPr>
          <w:fldChar w:fldCharType="begin"/>
        </w:r>
        <w:r w:rsidR="00AF4AC2" w:rsidRPr="00205C60">
          <w:rPr>
            <w:webHidden/>
          </w:rPr>
          <w:instrText xml:space="preserve"> PAGEREF _Toc104529465 \h </w:instrText>
        </w:r>
        <w:r w:rsidR="00AF4AC2" w:rsidRPr="00205C60">
          <w:rPr>
            <w:webHidden/>
          </w:rPr>
        </w:r>
        <w:r w:rsidR="00AF4AC2" w:rsidRPr="00205C60">
          <w:rPr>
            <w:webHidden/>
          </w:rPr>
          <w:fldChar w:fldCharType="separate"/>
        </w:r>
        <w:r w:rsidR="00FF2CBC" w:rsidRPr="00205C60">
          <w:rPr>
            <w:webHidden/>
          </w:rPr>
          <w:t>42</w:t>
        </w:r>
        <w:r w:rsidR="00AF4AC2" w:rsidRPr="00205C60">
          <w:rPr>
            <w:webHidden/>
          </w:rPr>
          <w:fldChar w:fldCharType="end"/>
        </w:r>
      </w:hyperlink>
    </w:p>
    <w:p w14:paraId="7EB24332" w14:textId="153F6440" w:rsidR="00AF4AC2" w:rsidRPr="00205C60" w:rsidRDefault="00000000">
      <w:pPr>
        <w:pStyle w:val="TDC2"/>
        <w:rPr>
          <w:rFonts w:asciiTheme="minorHAnsi" w:eastAsiaTheme="minorEastAsia" w:hAnsiTheme="minorHAnsi" w:cstheme="minorBidi"/>
          <w:b w:val="0"/>
          <w:sz w:val="22"/>
          <w:szCs w:val="22"/>
          <w:lang w:val="es-CR" w:eastAsia="es-CR"/>
        </w:rPr>
      </w:pPr>
      <w:hyperlink w:anchor="_Toc104529466" w:history="1">
        <w:r w:rsidR="00AF4AC2" w:rsidRPr="00205C60">
          <w:rPr>
            <w:rStyle w:val="Hipervnculo"/>
            <w:rFonts w:ascii="Verdana" w:hAnsi="Verdana"/>
          </w:rPr>
          <w:t>3.1</w:t>
        </w:r>
        <w:r w:rsidR="00AF4AC2" w:rsidRPr="00205C60">
          <w:rPr>
            <w:rFonts w:asciiTheme="minorHAnsi" w:eastAsiaTheme="minorEastAsia" w:hAnsiTheme="minorHAnsi" w:cstheme="minorBidi"/>
            <w:b w:val="0"/>
            <w:sz w:val="22"/>
            <w:szCs w:val="22"/>
            <w:lang w:val="es-CR" w:eastAsia="es-CR"/>
          </w:rPr>
          <w:tab/>
        </w:r>
        <w:r w:rsidR="00AF4AC2" w:rsidRPr="00205C60">
          <w:rPr>
            <w:rStyle w:val="Hipervnculo"/>
            <w:rFonts w:ascii="Verdana" w:hAnsi="Verdana"/>
          </w:rPr>
          <w:t>Historia y desarrollo de la Empresa</w:t>
        </w:r>
        <w:r w:rsidR="00AF4AC2" w:rsidRPr="00205C60">
          <w:rPr>
            <w:webHidden/>
          </w:rPr>
          <w:tab/>
        </w:r>
        <w:r w:rsidR="00AF4AC2" w:rsidRPr="00205C60">
          <w:rPr>
            <w:webHidden/>
          </w:rPr>
          <w:fldChar w:fldCharType="begin"/>
        </w:r>
        <w:r w:rsidR="00AF4AC2" w:rsidRPr="00205C60">
          <w:rPr>
            <w:webHidden/>
          </w:rPr>
          <w:instrText xml:space="preserve"> PAGEREF _Toc104529466 \h </w:instrText>
        </w:r>
        <w:r w:rsidR="00AF4AC2" w:rsidRPr="00205C60">
          <w:rPr>
            <w:webHidden/>
          </w:rPr>
        </w:r>
        <w:r w:rsidR="00AF4AC2" w:rsidRPr="00205C60">
          <w:rPr>
            <w:webHidden/>
          </w:rPr>
          <w:fldChar w:fldCharType="separate"/>
        </w:r>
        <w:r w:rsidR="00FF2CBC" w:rsidRPr="00205C60">
          <w:rPr>
            <w:webHidden/>
          </w:rPr>
          <w:t>42</w:t>
        </w:r>
        <w:r w:rsidR="00AF4AC2" w:rsidRPr="00205C60">
          <w:rPr>
            <w:webHidden/>
          </w:rPr>
          <w:fldChar w:fldCharType="end"/>
        </w:r>
      </w:hyperlink>
    </w:p>
    <w:p w14:paraId="17C8DA04" w14:textId="48E9723A" w:rsidR="00AF4AC2" w:rsidRPr="00205C60" w:rsidRDefault="00000000">
      <w:pPr>
        <w:pStyle w:val="TDC2"/>
        <w:rPr>
          <w:rFonts w:asciiTheme="minorHAnsi" w:eastAsiaTheme="minorEastAsia" w:hAnsiTheme="minorHAnsi" w:cstheme="minorBidi"/>
          <w:b w:val="0"/>
          <w:sz w:val="22"/>
          <w:szCs w:val="22"/>
          <w:lang w:val="es-CR" w:eastAsia="es-CR"/>
        </w:rPr>
      </w:pPr>
      <w:hyperlink w:anchor="_Toc104529467" w:history="1">
        <w:r w:rsidR="00AF4AC2" w:rsidRPr="00205C60">
          <w:rPr>
            <w:rStyle w:val="Hipervnculo"/>
            <w:rFonts w:ascii="Verdana" w:hAnsi="Verdana"/>
          </w:rPr>
          <w:t>3.2</w:t>
        </w:r>
        <w:r w:rsidR="00AF4AC2" w:rsidRPr="00205C60">
          <w:rPr>
            <w:rFonts w:asciiTheme="minorHAnsi" w:eastAsiaTheme="minorEastAsia" w:hAnsiTheme="minorHAnsi" w:cstheme="minorBidi"/>
            <w:b w:val="0"/>
            <w:sz w:val="22"/>
            <w:szCs w:val="22"/>
            <w:lang w:val="es-CR" w:eastAsia="es-CR"/>
          </w:rPr>
          <w:tab/>
        </w:r>
        <w:r w:rsidR="00AF4AC2" w:rsidRPr="00205C60">
          <w:rPr>
            <w:rStyle w:val="Hipervnculo"/>
            <w:rFonts w:ascii="Verdana" w:hAnsi="Verdana"/>
          </w:rPr>
          <w:t>Principales actividades y servicios</w:t>
        </w:r>
        <w:r w:rsidR="00AF4AC2" w:rsidRPr="00205C60">
          <w:rPr>
            <w:webHidden/>
          </w:rPr>
          <w:tab/>
        </w:r>
        <w:r w:rsidR="00AF4AC2" w:rsidRPr="00205C60">
          <w:rPr>
            <w:webHidden/>
          </w:rPr>
          <w:fldChar w:fldCharType="begin"/>
        </w:r>
        <w:r w:rsidR="00AF4AC2" w:rsidRPr="00205C60">
          <w:rPr>
            <w:webHidden/>
          </w:rPr>
          <w:instrText xml:space="preserve"> PAGEREF _Toc104529467 \h </w:instrText>
        </w:r>
        <w:r w:rsidR="00AF4AC2" w:rsidRPr="00205C60">
          <w:rPr>
            <w:webHidden/>
          </w:rPr>
        </w:r>
        <w:r w:rsidR="00AF4AC2" w:rsidRPr="00205C60">
          <w:rPr>
            <w:webHidden/>
          </w:rPr>
          <w:fldChar w:fldCharType="separate"/>
        </w:r>
        <w:r w:rsidR="00FF2CBC" w:rsidRPr="00205C60">
          <w:rPr>
            <w:webHidden/>
          </w:rPr>
          <w:t>43</w:t>
        </w:r>
        <w:r w:rsidR="00AF4AC2" w:rsidRPr="00205C60">
          <w:rPr>
            <w:webHidden/>
          </w:rPr>
          <w:fldChar w:fldCharType="end"/>
        </w:r>
      </w:hyperlink>
    </w:p>
    <w:p w14:paraId="0F6080E1" w14:textId="25D330AB" w:rsidR="00AF4AC2" w:rsidRPr="00205C60" w:rsidRDefault="00000000">
      <w:pPr>
        <w:pStyle w:val="TDC2"/>
        <w:rPr>
          <w:rFonts w:asciiTheme="minorHAnsi" w:eastAsiaTheme="minorEastAsia" w:hAnsiTheme="minorHAnsi" w:cstheme="minorBidi"/>
          <w:b w:val="0"/>
          <w:sz w:val="22"/>
          <w:szCs w:val="22"/>
          <w:lang w:val="es-CR" w:eastAsia="es-CR"/>
        </w:rPr>
      </w:pPr>
      <w:hyperlink w:anchor="_Toc104529468" w:history="1">
        <w:r w:rsidR="00AF4AC2" w:rsidRPr="00205C60">
          <w:rPr>
            <w:rStyle w:val="Hipervnculo"/>
            <w:rFonts w:ascii="Verdana" w:hAnsi="Verdana"/>
          </w:rPr>
          <w:t>3.3</w:t>
        </w:r>
        <w:r w:rsidR="00AF4AC2" w:rsidRPr="00205C60">
          <w:rPr>
            <w:rFonts w:asciiTheme="minorHAnsi" w:eastAsiaTheme="minorEastAsia" w:hAnsiTheme="minorHAnsi" w:cstheme="minorBidi"/>
            <w:b w:val="0"/>
            <w:sz w:val="22"/>
            <w:szCs w:val="22"/>
            <w:lang w:val="es-CR" w:eastAsia="es-CR"/>
          </w:rPr>
          <w:tab/>
        </w:r>
        <w:r w:rsidR="00AF4AC2" w:rsidRPr="00205C60">
          <w:rPr>
            <w:rStyle w:val="Hipervnculo"/>
            <w:rFonts w:ascii="Verdana" w:hAnsi="Verdana"/>
          </w:rPr>
          <w:t>Características del mercado</w:t>
        </w:r>
        <w:r w:rsidR="00AF4AC2" w:rsidRPr="00205C60">
          <w:rPr>
            <w:webHidden/>
          </w:rPr>
          <w:tab/>
        </w:r>
        <w:r w:rsidR="00AF4AC2" w:rsidRPr="00205C60">
          <w:rPr>
            <w:webHidden/>
          </w:rPr>
          <w:fldChar w:fldCharType="begin"/>
        </w:r>
        <w:r w:rsidR="00AF4AC2" w:rsidRPr="00205C60">
          <w:rPr>
            <w:webHidden/>
          </w:rPr>
          <w:instrText xml:space="preserve"> PAGEREF _Toc104529468 \h </w:instrText>
        </w:r>
        <w:r w:rsidR="00AF4AC2" w:rsidRPr="00205C60">
          <w:rPr>
            <w:webHidden/>
          </w:rPr>
        </w:r>
        <w:r w:rsidR="00AF4AC2" w:rsidRPr="00205C60">
          <w:rPr>
            <w:webHidden/>
          </w:rPr>
          <w:fldChar w:fldCharType="separate"/>
        </w:r>
        <w:r w:rsidR="00FF2CBC" w:rsidRPr="00205C60">
          <w:rPr>
            <w:webHidden/>
          </w:rPr>
          <w:t>44</w:t>
        </w:r>
        <w:r w:rsidR="00AF4AC2" w:rsidRPr="00205C60">
          <w:rPr>
            <w:webHidden/>
          </w:rPr>
          <w:fldChar w:fldCharType="end"/>
        </w:r>
      </w:hyperlink>
    </w:p>
    <w:p w14:paraId="043CFEC6" w14:textId="63EF1E9A" w:rsidR="00AF4AC2" w:rsidRPr="00205C60" w:rsidRDefault="00000000">
      <w:pPr>
        <w:pStyle w:val="TDC2"/>
        <w:rPr>
          <w:rFonts w:asciiTheme="minorHAnsi" w:eastAsiaTheme="minorEastAsia" w:hAnsiTheme="minorHAnsi" w:cstheme="minorBidi"/>
          <w:b w:val="0"/>
          <w:sz w:val="22"/>
          <w:szCs w:val="22"/>
          <w:lang w:val="es-CR" w:eastAsia="es-CR"/>
        </w:rPr>
      </w:pPr>
      <w:hyperlink w:anchor="_Toc104529469" w:history="1">
        <w:r w:rsidR="00AF4AC2" w:rsidRPr="00205C60">
          <w:rPr>
            <w:rStyle w:val="Hipervnculo"/>
            <w:rFonts w:ascii="Verdana" w:hAnsi="Verdana"/>
          </w:rPr>
          <w:t>3.4</w:t>
        </w:r>
        <w:r w:rsidR="00AF4AC2" w:rsidRPr="00205C60">
          <w:rPr>
            <w:rFonts w:asciiTheme="minorHAnsi" w:eastAsiaTheme="minorEastAsia" w:hAnsiTheme="minorHAnsi" w:cstheme="minorBidi"/>
            <w:b w:val="0"/>
            <w:sz w:val="22"/>
            <w:szCs w:val="22"/>
            <w:lang w:val="es-CR" w:eastAsia="es-CR"/>
          </w:rPr>
          <w:tab/>
        </w:r>
        <w:r w:rsidR="00AF4AC2" w:rsidRPr="00205C60">
          <w:rPr>
            <w:rStyle w:val="Hipervnculo"/>
            <w:rFonts w:ascii="Verdana" w:hAnsi="Verdana"/>
          </w:rPr>
          <w:t>Principales proveedores</w:t>
        </w:r>
        <w:r w:rsidR="00AF4AC2" w:rsidRPr="00205C60">
          <w:rPr>
            <w:webHidden/>
          </w:rPr>
          <w:tab/>
        </w:r>
        <w:r w:rsidR="00AF4AC2" w:rsidRPr="00205C60">
          <w:rPr>
            <w:webHidden/>
          </w:rPr>
          <w:fldChar w:fldCharType="begin"/>
        </w:r>
        <w:r w:rsidR="00AF4AC2" w:rsidRPr="00205C60">
          <w:rPr>
            <w:webHidden/>
          </w:rPr>
          <w:instrText xml:space="preserve"> PAGEREF _Toc104529469 \h </w:instrText>
        </w:r>
        <w:r w:rsidR="00AF4AC2" w:rsidRPr="00205C60">
          <w:rPr>
            <w:webHidden/>
          </w:rPr>
        </w:r>
        <w:r w:rsidR="00AF4AC2" w:rsidRPr="00205C60">
          <w:rPr>
            <w:webHidden/>
          </w:rPr>
          <w:fldChar w:fldCharType="separate"/>
        </w:r>
        <w:r w:rsidR="00FF2CBC" w:rsidRPr="00205C60">
          <w:rPr>
            <w:webHidden/>
          </w:rPr>
          <w:t>44</w:t>
        </w:r>
        <w:r w:rsidR="00AF4AC2" w:rsidRPr="00205C60">
          <w:rPr>
            <w:webHidden/>
          </w:rPr>
          <w:fldChar w:fldCharType="end"/>
        </w:r>
      </w:hyperlink>
    </w:p>
    <w:p w14:paraId="3306ACE6" w14:textId="1793F934" w:rsidR="00AF4AC2" w:rsidRPr="00205C60" w:rsidRDefault="00000000">
      <w:pPr>
        <w:pStyle w:val="TDC2"/>
        <w:rPr>
          <w:rFonts w:asciiTheme="minorHAnsi" w:eastAsiaTheme="minorEastAsia" w:hAnsiTheme="minorHAnsi" w:cstheme="minorBidi"/>
          <w:b w:val="0"/>
          <w:sz w:val="22"/>
          <w:szCs w:val="22"/>
          <w:lang w:val="es-CR" w:eastAsia="es-CR"/>
        </w:rPr>
      </w:pPr>
      <w:hyperlink w:anchor="_Toc104529470" w:history="1">
        <w:r w:rsidR="00AF4AC2" w:rsidRPr="00205C60">
          <w:rPr>
            <w:rStyle w:val="Hipervnculo"/>
            <w:rFonts w:ascii="Verdana" w:hAnsi="Verdana"/>
          </w:rPr>
          <w:t>3.5</w:t>
        </w:r>
        <w:r w:rsidR="00AF4AC2" w:rsidRPr="00205C60">
          <w:rPr>
            <w:rFonts w:asciiTheme="minorHAnsi" w:eastAsiaTheme="minorEastAsia" w:hAnsiTheme="minorHAnsi" w:cstheme="minorBidi"/>
            <w:b w:val="0"/>
            <w:sz w:val="22"/>
            <w:szCs w:val="22"/>
            <w:lang w:val="es-CR" w:eastAsia="es-CR"/>
          </w:rPr>
          <w:tab/>
        </w:r>
        <w:r w:rsidR="00AF4AC2" w:rsidRPr="00205C60">
          <w:rPr>
            <w:rStyle w:val="Hipervnculo"/>
            <w:rFonts w:ascii="Verdana" w:hAnsi="Verdana"/>
          </w:rPr>
          <w:t>Plan de Expansión de la Generación</w:t>
        </w:r>
        <w:r w:rsidR="00AF4AC2" w:rsidRPr="00205C60">
          <w:rPr>
            <w:webHidden/>
          </w:rPr>
          <w:tab/>
        </w:r>
        <w:r w:rsidR="00AF4AC2" w:rsidRPr="00205C60">
          <w:rPr>
            <w:webHidden/>
          </w:rPr>
          <w:fldChar w:fldCharType="begin"/>
        </w:r>
        <w:r w:rsidR="00AF4AC2" w:rsidRPr="00205C60">
          <w:rPr>
            <w:webHidden/>
          </w:rPr>
          <w:instrText xml:space="preserve"> PAGEREF _Toc104529470 \h </w:instrText>
        </w:r>
        <w:r w:rsidR="00AF4AC2" w:rsidRPr="00205C60">
          <w:rPr>
            <w:webHidden/>
          </w:rPr>
        </w:r>
        <w:r w:rsidR="00AF4AC2" w:rsidRPr="00205C60">
          <w:rPr>
            <w:webHidden/>
          </w:rPr>
          <w:fldChar w:fldCharType="separate"/>
        </w:r>
        <w:r w:rsidR="00FF2CBC" w:rsidRPr="00205C60">
          <w:rPr>
            <w:webHidden/>
          </w:rPr>
          <w:t>46</w:t>
        </w:r>
        <w:r w:rsidR="00AF4AC2" w:rsidRPr="00205C60">
          <w:rPr>
            <w:webHidden/>
          </w:rPr>
          <w:fldChar w:fldCharType="end"/>
        </w:r>
      </w:hyperlink>
    </w:p>
    <w:p w14:paraId="2223CB86" w14:textId="6BEE15BE" w:rsidR="00AF4AC2" w:rsidRPr="00205C60" w:rsidRDefault="00000000">
      <w:pPr>
        <w:pStyle w:val="TDC2"/>
        <w:rPr>
          <w:rFonts w:asciiTheme="minorHAnsi" w:eastAsiaTheme="minorEastAsia" w:hAnsiTheme="minorHAnsi" w:cstheme="minorBidi"/>
          <w:b w:val="0"/>
          <w:sz w:val="22"/>
          <w:szCs w:val="22"/>
          <w:lang w:val="es-CR" w:eastAsia="es-CR"/>
        </w:rPr>
      </w:pPr>
      <w:hyperlink w:anchor="_Toc104529471" w:history="1">
        <w:r w:rsidR="00AF4AC2" w:rsidRPr="00205C60">
          <w:rPr>
            <w:rStyle w:val="Hipervnculo"/>
            <w:rFonts w:ascii="Verdana" w:hAnsi="Verdana"/>
          </w:rPr>
          <w:t>3.6</w:t>
        </w:r>
        <w:r w:rsidR="00AF4AC2" w:rsidRPr="00205C60">
          <w:rPr>
            <w:rFonts w:asciiTheme="minorHAnsi" w:eastAsiaTheme="minorEastAsia" w:hAnsiTheme="minorHAnsi" w:cstheme="minorBidi"/>
            <w:b w:val="0"/>
            <w:sz w:val="22"/>
            <w:szCs w:val="22"/>
            <w:lang w:val="es-CR" w:eastAsia="es-CR"/>
          </w:rPr>
          <w:tab/>
        </w:r>
        <w:r w:rsidR="00AF4AC2" w:rsidRPr="00205C60">
          <w:rPr>
            <w:rStyle w:val="Hipervnculo"/>
            <w:rFonts w:ascii="Verdana" w:hAnsi="Verdana"/>
          </w:rPr>
          <w:t>Datos Estadísticos de Generación en MWh</w:t>
        </w:r>
        <w:r w:rsidR="00AF4AC2" w:rsidRPr="00205C60">
          <w:rPr>
            <w:webHidden/>
          </w:rPr>
          <w:tab/>
        </w:r>
        <w:r w:rsidR="00AF4AC2" w:rsidRPr="00205C60">
          <w:rPr>
            <w:webHidden/>
          </w:rPr>
          <w:fldChar w:fldCharType="begin"/>
        </w:r>
        <w:r w:rsidR="00AF4AC2" w:rsidRPr="00205C60">
          <w:rPr>
            <w:webHidden/>
          </w:rPr>
          <w:instrText xml:space="preserve"> PAGEREF _Toc104529471 \h </w:instrText>
        </w:r>
        <w:r w:rsidR="00AF4AC2" w:rsidRPr="00205C60">
          <w:rPr>
            <w:webHidden/>
          </w:rPr>
        </w:r>
        <w:r w:rsidR="00AF4AC2" w:rsidRPr="00205C60">
          <w:rPr>
            <w:webHidden/>
          </w:rPr>
          <w:fldChar w:fldCharType="separate"/>
        </w:r>
        <w:r w:rsidR="00FF2CBC" w:rsidRPr="00205C60">
          <w:rPr>
            <w:webHidden/>
          </w:rPr>
          <w:t>46</w:t>
        </w:r>
        <w:r w:rsidR="00AF4AC2" w:rsidRPr="00205C60">
          <w:rPr>
            <w:webHidden/>
          </w:rPr>
          <w:fldChar w:fldCharType="end"/>
        </w:r>
      </w:hyperlink>
    </w:p>
    <w:p w14:paraId="52439098" w14:textId="265295C0" w:rsidR="00AF4AC2" w:rsidRPr="00205C60" w:rsidRDefault="00000000">
      <w:pPr>
        <w:pStyle w:val="TDC2"/>
        <w:rPr>
          <w:rFonts w:asciiTheme="minorHAnsi" w:eastAsiaTheme="minorEastAsia" w:hAnsiTheme="minorHAnsi" w:cstheme="minorBidi"/>
          <w:b w:val="0"/>
          <w:sz w:val="22"/>
          <w:szCs w:val="22"/>
          <w:lang w:val="es-CR" w:eastAsia="es-CR"/>
        </w:rPr>
      </w:pPr>
      <w:hyperlink w:anchor="_Toc104529472" w:history="1">
        <w:r w:rsidR="00AF4AC2" w:rsidRPr="00205C60">
          <w:rPr>
            <w:rStyle w:val="Hipervnculo"/>
            <w:rFonts w:ascii="Verdana" w:hAnsi="Verdana"/>
          </w:rPr>
          <w:t>3.7</w:t>
        </w:r>
        <w:r w:rsidR="00AF4AC2" w:rsidRPr="00205C60">
          <w:rPr>
            <w:rFonts w:asciiTheme="minorHAnsi" w:eastAsiaTheme="minorEastAsia" w:hAnsiTheme="minorHAnsi" w:cstheme="minorBidi"/>
            <w:b w:val="0"/>
            <w:sz w:val="22"/>
            <w:szCs w:val="22"/>
            <w:lang w:val="es-CR" w:eastAsia="es-CR"/>
          </w:rPr>
          <w:tab/>
        </w:r>
        <w:r w:rsidR="00AF4AC2" w:rsidRPr="00205C60">
          <w:rPr>
            <w:rStyle w:val="Hipervnculo"/>
            <w:rFonts w:ascii="Verdana" w:hAnsi="Verdana"/>
          </w:rPr>
          <w:t>Datos Estadísticos de Distribución Energía</w:t>
        </w:r>
        <w:r w:rsidR="00AF4AC2" w:rsidRPr="00205C60">
          <w:rPr>
            <w:webHidden/>
          </w:rPr>
          <w:tab/>
        </w:r>
        <w:r w:rsidR="00AF4AC2" w:rsidRPr="00205C60">
          <w:rPr>
            <w:webHidden/>
          </w:rPr>
          <w:fldChar w:fldCharType="begin"/>
        </w:r>
        <w:r w:rsidR="00AF4AC2" w:rsidRPr="00205C60">
          <w:rPr>
            <w:webHidden/>
          </w:rPr>
          <w:instrText xml:space="preserve"> PAGEREF _Toc104529472 \h </w:instrText>
        </w:r>
        <w:r w:rsidR="00AF4AC2" w:rsidRPr="00205C60">
          <w:rPr>
            <w:webHidden/>
          </w:rPr>
        </w:r>
        <w:r w:rsidR="00AF4AC2" w:rsidRPr="00205C60">
          <w:rPr>
            <w:webHidden/>
          </w:rPr>
          <w:fldChar w:fldCharType="separate"/>
        </w:r>
        <w:r w:rsidR="00FF2CBC" w:rsidRPr="00205C60">
          <w:rPr>
            <w:webHidden/>
          </w:rPr>
          <w:t>46</w:t>
        </w:r>
        <w:r w:rsidR="00AF4AC2" w:rsidRPr="00205C60">
          <w:rPr>
            <w:webHidden/>
          </w:rPr>
          <w:fldChar w:fldCharType="end"/>
        </w:r>
      </w:hyperlink>
    </w:p>
    <w:p w14:paraId="050F0AE9" w14:textId="63BFCB8B" w:rsidR="00AF4AC2" w:rsidRPr="00205C60" w:rsidRDefault="00000000">
      <w:pPr>
        <w:pStyle w:val="TDC2"/>
        <w:rPr>
          <w:rFonts w:asciiTheme="minorHAnsi" w:eastAsiaTheme="minorEastAsia" w:hAnsiTheme="minorHAnsi" w:cstheme="minorBidi"/>
          <w:b w:val="0"/>
          <w:sz w:val="22"/>
          <w:szCs w:val="22"/>
          <w:lang w:val="es-CR" w:eastAsia="es-CR"/>
        </w:rPr>
      </w:pPr>
      <w:hyperlink w:anchor="_Toc104529473" w:history="1">
        <w:r w:rsidR="00AF4AC2" w:rsidRPr="00205C60">
          <w:rPr>
            <w:rStyle w:val="Hipervnculo"/>
            <w:rFonts w:ascii="Verdana" w:hAnsi="Verdana"/>
          </w:rPr>
          <w:t>3.8</w:t>
        </w:r>
        <w:r w:rsidR="00AF4AC2" w:rsidRPr="00205C60">
          <w:rPr>
            <w:rFonts w:asciiTheme="minorHAnsi" w:eastAsiaTheme="minorEastAsia" w:hAnsiTheme="minorHAnsi" w:cstheme="minorBidi"/>
            <w:b w:val="0"/>
            <w:sz w:val="22"/>
            <w:szCs w:val="22"/>
            <w:lang w:val="es-CR" w:eastAsia="es-CR"/>
          </w:rPr>
          <w:tab/>
        </w:r>
        <w:r w:rsidR="00AF4AC2" w:rsidRPr="00205C60">
          <w:rPr>
            <w:rStyle w:val="Hipervnculo"/>
            <w:rFonts w:ascii="Verdana" w:hAnsi="Verdana"/>
          </w:rPr>
          <w:t>Datos Estadísticos de Comercialización</w:t>
        </w:r>
        <w:r w:rsidR="00AF4AC2" w:rsidRPr="00205C60">
          <w:rPr>
            <w:webHidden/>
          </w:rPr>
          <w:tab/>
        </w:r>
        <w:r w:rsidR="00AF4AC2" w:rsidRPr="00205C60">
          <w:rPr>
            <w:webHidden/>
          </w:rPr>
          <w:fldChar w:fldCharType="begin"/>
        </w:r>
        <w:r w:rsidR="00AF4AC2" w:rsidRPr="00205C60">
          <w:rPr>
            <w:webHidden/>
          </w:rPr>
          <w:instrText xml:space="preserve"> PAGEREF _Toc104529473 \h </w:instrText>
        </w:r>
        <w:r w:rsidR="00AF4AC2" w:rsidRPr="00205C60">
          <w:rPr>
            <w:webHidden/>
          </w:rPr>
        </w:r>
        <w:r w:rsidR="00AF4AC2" w:rsidRPr="00205C60">
          <w:rPr>
            <w:webHidden/>
          </w:rPr>
          <w:fldChar w:fldCharType="separate"/>
        </w:r>
        <w:r w:rsidR="00FF2CBC" w:rsidRPr="00205C60">
          <w:rPr>
            <w:webHidden/>
          </w:rPr>
          <w:t>47</w:t>
        </w:r>
        <w:r w:rsidR="00AF4AC2" w:rsidRPr="00205C60">
          <w:rPr>
            <w:webHidden/>
          </w:rPr>
          <w:fldChar w:fldCharType="end"/>
        </w:r>
      </w:hyperlink>
    </w:p>
    <w:p w14:paraId="2D225181" w14:textId="28F0022C" w:rsidR="00AF4AC2" w:rsidRPr="00205C60" w:rsidRDefault="00000000">
      <w:pPr>
        <w:pStyle w:val="TDC2"/>
        <w:rPr>
          <w:rFonts w:asciiTheme="minorHAnsi" w:eastAsiaTheme="minorEastAsia" w:hAnsiTheme="minorHAnsi" w:cstheme="minorBidi"/>
          <w:b w:val="0"/>
          <w:sz w:val="22"/>
          <w:szCs w:val="22"/>
          <w:lang w:val="es-CR" w:eastAsia="es-CR"/>
        </w:rPr>
      </w:pPr>
      <w:hyperlink w:anchor="_Toc104529474" w:history="1">
        <w:r w:rsidR="00AF4AC2" w:rsidRPr="00205C60">
          <w:rPr>
            <w:rStyle w:val="Hipervnculo"/>
            <w:rFonts w:ascii="Verdana" w:hAnsi="Verdana"/>
          </w:rPr>
          <w:t>3.9</w:t>
        </w:r>
        <w:r w:rsidR="00AF4AC2" w:rsidRPr="00205C60">
          <w:rPr>
            <w:rFonts w:asciiTheme="minorHAnsi" w:eastAsiaTheme="minorEastAsia" w:hAnsiTheme="minorHAnsi" w:cstheme="minorBidi"/>
            <w:b w:val="0"/>
            <w:sz w:val="22"/>
            <w:szCs w:val="22"/>
            <w:lang w:val="es-CR" w:eastAsia="es-CR"/>
          </w:rPr>
          <w:tab/>
        </w:r>
        <w:r w:rsidR="00AF4AC2" w:rsidRPr="00205C60">
          <w:rPr>
            <w:rStyle w:val="Hipervnculo"/>
            <w:rFonts w:ascii="Verdana" w:hAnsi="Verdana"/>
          </w:rPr>
          <w:t>Asistencia Técnica</w:t>
        </w:r>
        <w:r w:rsidR="00AF4AC2" w:rsidRPr="00205C60">
          <w:rPr>
            <w:webHidden/>
          </w:rPr>
          <w:tab/>
        </w:r>
        <w:r w:rsidR="00AF4AC2" w:rsidRPr="00205C60">
          <w:rPr>
            <w:webHidden/>
          </w:rPr>
          <w:fldChar w:fldCharType="begin"/>
        </w:r>
        <w:r w:rsidR="00AF4AC2" w:rsidRPr="00205C60">
          <w:rPr>
            <w:webHidden/>
          </w:rPr>
          <w:instrText xml:space="preserve"> PAGEREF _Toc104529474 \h </w:instrText>
        </w:r>
        <w:r w:rsidR="00AF4AC2" w:rsidRPr="00205C60">
          <w:rPr>
            <w:webHidden/>
          </w:rPr>
        </w:r>
        <w:r w:rsidR="00AF4AC2" w:rsidRPr="00205C60">
          <w:rPr>
            <w:webHidden/>
          </w:rPr>
          <w:fldChar w:fldCharType="separate"/>
        </w:r>
        <w:r w:rsidR="00FF2CBC" w:rsidRPr="00205C60">
          <w:rPr>
            <w:webHidden/>
          </w:rPr>
          <w:t>48</w:t>
        </w:r>
        <w:r w:rsidR="00AF4AC2" w:rsidRPr="00205C60">
          <w:rPr>
            <w:webHidden/>
          </w:rPr>
          <w:fldChar w:fldCharType="end"/>
        </w:r>
      </w:hyperlink>
    </w:p>
    <w:p w14:paraId="189D98EF" w14:textId="713D3ED9" w:rsidR="00AF4AC2" w:rsidRPr="00205C60" w:rsidRDefault="00000000">
      <w:pPr>
        <w:pStyle w:val="TDC2"/>
        <w:rPr>
          <w:rFonts w:asciiTheme="minorHAnsi" w:eastAsiaTheme="minorEastAsia" w:hAnsiTheme="minorHAnsi" w:cstheme="minorBidi"/>
          <w:b w:val="0"/>
          <w:sz w:val="22"/>
          <w:szCs w:val="22"/>
          <w:lang w:val="es-CR" w:eastAsia="es-CR"/>
        </w:rPr>
      </w:pPr>
      <w:hyperlink w:anchor="_Toc104529475" w:history="1">
        <w:r w:rsidR="00AF4AC2" w:rsidRPr="00205C60">
          <w:rPr>
            <w:rStyle w:val="Hipervnculo"/>
            <w:rFonts w:ascii="Verdana" w:hAnsi="Verdana"/>
          </w:rPr>
          <w:t>3.10</w:t>
        </w:r>
        <w:r w:rsidR="00AF4AC2" w:rsidRPr="00205C60">
          <w:rPr>
            <w:rFonts w:asciiTheme="minorHAnsi" w:eastAsiaTheme="minorEastAsia" w:hAnsiTheme="minorHAnsi" w:cstheme="minorBidi"/>
            <w:b w:val="0"/>
            <w:sz w:val="22"/>
            <w:szCs w:val="22"/>
            <w:lang w:val="es-CR" w:eastAsia="es-CR"/>
          </w:rPr>
          <w:tab/>
        </w:r>
        <w:r w:rsidR="00AF4AC2" w:rsidRPr="00205C60">
          <w:rPr>
            <w:rStyle w:val="Hipervnculo"/>
            <w:rFonts w:ascii="Verdana" w:hAnsi="Verdana"/>
          </w:rPr>
          <w:t>Estructura organizativa</w:t>
        </w:r>
        <w:r w:rsidR="00AF4AC2" w:rsidRPr="00205C60">
          <w:rPr>
            <w:webHidden/>
          </w:rPr>
          <w:tab/>
        </w:r>
        <w:r w:rsidR="00AF4AC2" w:rsidRPr="00205C60">
          <w:rPr>
            <w:webHidden/>
          </w:rPr>
          <w:fldChar w:fldCharType="begin"/>
        </w:r>
        <w:r w:rsidR="00AF4AC2" w:rsidRPr="00205C60">
          <w:rPr>
            <w:webHidden/>
          </w:rPr>
          <w:instrText xml:space="preserve"> PAGEREF _Toc104529475 \h </w:instrText>
        </w:r>
        <w:r w:rsidR="00AF4AC2" w:rsidRPr="00205C60">
          <w:rPr>
            <w:webHidden/>
          </w:rPr>
        </w:r>
        <w:r w:rsidR="00AF4AC2" w:rsidRPr="00205C60">
          <w:rPr>
            <w:webHidden/>
          </w:rPr>
          <w:fldChar w:fldCharType="separate"/>
        </w:r>
        <w:r w:rsidR="00FF2CBC" w:rsidRPr="00205C60">
          <w:rPr>
            <w:webHidden/>
          </w:rPr>
          <w:t>49</w:t>
        </w:r>
        <w:r w:rsidR="00AF4AC2" w:rsidRPr="00205C60">
          <w:rPr>
            <w:webHidden/>
          </w:rPr>
          <w:fldChar w:fldCharType="end"/>
        </w:r>
      </w:hyperlink>
    </w:p>
    <w:p w14:paraId="7100BED8" w14:textId="5D801BEF" w:rsidR="00AF4AC2" w:rsidRPr="00205C60" w:rsidRDefault="00000000">
      <w:pPr>
        <w:pStyle w:val="TDC2"/>
        <w:rPr>
          <w:rFonts w:asciiTheme="minorHAnsi" w:eastAsiaTheme="minorEastAsia" w:hAnsiTheme="minorHAnsi" w:cstheme="minorBidi"/>
          <w:b w:val="0"/>
          <w:sz w:val="22"/>
          <w:szCs w:val="22"/>
          <w:lang w:val="es-CR" w:eastAsia="es-CR"/>
        </w:rPr>
      </w:pPr>
      <w:hyperlink w:anchor="_Toc104529476" w:history="1">
        <w:r w:rsidR="00AF4AC2" w:rsidRPr="00205C60">
          <w:rPr>
            <w:rStyle w:val="Hipervnculo"/>
            <w:rFonts w:ascii="Verdana" w:hAnsi="Verdana"/>
          </w:rPr>
          <w:t>3.11</w:t>
        </w:r>
        <w:r w:rsidR="00AF4AC2" w:rsidRPr="00205C60">
          <w:rPr>
            <w:rFonts w:asciiTheme="minorHAnsi" w:eastAsiaTheme="minorEastAsia" w:hAnsiTheme="minorHAnsi" w:cstheme="minorBidi"/>
            <w:b w:val="0"/>
            <w:sz w:val="22"/>
            <w:szCs w:val="22"/>
            <w:lang w:val="es-CR" w:eastAsia="es-CR"/>
          </w:rPr>
          <w:tab/>
        </w:r>
        <w:r w:rsidR="00AF4AC2" w:rsidRPr="00205C60">
          <w:rPr>
            <w:rStyle w:val="Hipervnculo"/>
            <w:rFonts w:ascii="Verdana" w:hAnsi="Verdana"/>
          </w:rPr>
          <w:t>Propiedades, plantas y equipo</w:t>
        </w:r>
        <w:r w:rsidR="00AF4AC2" w:rsidRPr="00205C60">
          <w:rPr>
            <w:webHidden/>
          </w:rPr>
          <w:tab/>
        </w:r>
        <w:r w:rsidR="00AF4AC2" w:rsidRPr="00205C60">
          <w:rPr>
            <w:webHidden/>
          </w:rPr>
          <w:fldChar w:fldCharType="begin"/>
        </w:r>
        <w:r w:rsidR="00AF4AC2" w:rsidRPr="00205C60">
          <w:rPr>
            <w:webHidden/>
          </w:rPr>
          <w:instrText xml:space="preserve"> PAGEREF _Toc104529476 \h </w:instrText>
        </w:r>
        <w:r w:rsidR="00AF4AC2" w:rsidRPr="00205C60">
          <w:rPr>
            <w:webHidden/>
          </w:rPr>
        </w:r>
        <w:r w:rsidR="00AF4AC2" w:rsidRPr="00205C60">
          <w:rPr>
            <w:webHidden/>
          </w:rPr>
          <w:fldChar w:fldCharType="separate"/>
        </w:r>
        <w:r w:rsidR="00FF2CBC" w:rsidRPr="00205C60">
          <w:rPr>
            <w:webHidden/>
          </w:rPr>
          <w:t>51</w:t>
        </w:r>
        <w:r w:rsidR="00AF4AC2" w:rsidRPr="00205C60">
          <w:rPr>
            <w:webHidden/>
          </w:rPr>
          <w:fldChar w:fldCharType="end"/>
        </w:r>
      </w:hyperlink>
    </w:p>
    <w:p w14:paraId="44A6633F" w14:textId="4CE8D2E8" w:rsidR="00AF4AC2" w:rsidRPr="00205C60" w:rsidRDefault="00000000">
      <w:pPr>
        <w:pStyle w:val="TDC1"/>
        <w:rPr>
          <w:rFonts w:asciiTheme="minorHAnsi" w:eastAsiaTheme="minorEastAsia" w:hAnsiTheme="minorHAnsi" w:cstheme="minorBidi"/>
          <w:bCs w:val="0"/>
          <w:sz w:val="22"/>
          <w:szCs w:val="22"/>
          <w:lang w:val="es-CR" w:eastAsia="es-CR"/>
        </w:rPr>
      </w:pPr>
      <w:hyperlink w:anchor="_Toc104529477" w:history="1">
        <w:r w:rsidR="00AF4AC2" w:rsidRPr="00205C60">
          <w:rPr>
            <w:rStyle w:val="Hipervnculo"/>
            <w:rFonts w:ascii="Verdana" w:hAnsi="Verdana"/>
          </w:rPr>
          <w:t>CAPITULO IV</w:t>
        </w:r>
        <w:r w:rsidR="00AF4AC2" w:rsidRPr="00205C60">
          <w:rPr>
            <w:webHidden/>
          </w:rPr>
          <w:tab/>
        </w:r>
        <w:r w:rsidR="00AF4AC2" w:rsidRPr="00205C60">
          <w:rPr>
            <w:webHidden/>
          </w:rPr>
          <w:fldChar w:fldCharType="begin"/>
        </w:r>
        <w:r w:rsidR="00AF4AC2" w:rsidRPr="00205C60">
          <w:rPr>
            <w:webHidden/>
          </w:rPr>
          <w:instrText xml:space="preserve"> PAGEREF _Toc104529477 \h </w:instrText>
        </w:r>
        <w:r w:rsidR="00AF4AC2" w:rsidRPr="00205C60">
          <w:rPr>
            <w:webHidden/>
          </w:rPr>
        </w:r>
        <w:r w:rsidR="00AF4AC2" w:rsidRPr="00205C60">
          <w:rPr>
            <w:webHidden/>
          </w:rPr>
          <w:fldChar w:fldCharType="separate"/>
        </w:r>
        <w:r w:rsidR="00FF2CBC" w:rsidRPr="00205C60">
          <w:rPr>
            <w:webHidden/>
          </w:rPr>
          <w:t>56</w:t>
        </w:r>
        <w:r w:rsidR="00AF4AC2" w:rsidRPr="00205C60">
          <w:rPr>
            <w:webHidden/>
          </w:rPr>
          <w:fldChar w:fldCharType="end"/>
        </w:r>
      </w:hyperlink>
    </w:p>
    <w:p w14:paraId="3E3A4E9D" w14:textId="3936665E" w:rsidR="00AF4AC2" w:rsidRPr="00205C60" w:rsidRDefault="00000000">
      <w:pPr>
        <w:pStyle w:val="TDC1"/>
        <w:rPr>
          <w:rFonts w:asciiTheme="minorHAnsi" w:eastAsiaTheme="minorEastAsia" w:hAnsiTheme="minorHAnsi" w:cstheme="minorBidi"/>
          <w:bCs w:val="0"/>
          <w:sz w:val="22"/>
          <w:szCs w:val="22"/>
          <w:lang w:val="es-CR" w:eastAsia="es-CR"/>
        </w:rPr>
      </w:pPr>
      <w:hyperlink w:anchor="_Toc104529478" w:history="1">
        <w:r w:rsidR="00AF4AC2" w:rsidRPr="00205C60">
          <w:rPr>
            <w:rStyle w:val="Hipervnculo"/>
            <w:rFonts w:ascii="Verdana" w:hAnsi="Verdana"/>
          </w:rPr>
          <w:t>RESULTADOS DE OPERACIÓN Y FINANCIEROS E INFORMACIÓN PROSPECTIVA</w:t>
        </w:r>
        <w:r w:rsidR="00AF4AC2" w:rsidRPr="00205C60">
          <w:rPr>
            <w:webHidden/>
          </w:rPr>
          <w:tab/>
        </w:r>
        <w:r w:rsidR="00AF4AC2" w:rsidRPr="00205C60">
          <w:rPr>
            <w:webHidden/>
          </w:rPr>
          <w:fldChar w:fldCharType="begin"/>
        </w:r>
        <w:r w:rsidR="00AF4AC2" w:rsidRPr="00205C60">
          <w:rPr>
            <w:webHidden/>
          </w:rPr>
          <w:instrText xml:space="preserve"> PAGEREF _Toc104529478 \h </w:instrText>
        </w:r>
        <w:r w:rsidR="00AF4AC2" w:rsidRPr="00205C60">
          <w:rPr>
            <w:webHidden/>
          </w:rPr>
        </w:r>
        <w:r w:rsidR="00AF4AC2" w:rsidRPr="00205C60">
          <w:rPr>
            <w:webHidden/>
          </w:rPr>
          <w:fldChar w:fldCharType="separate"/>
        </w:r>
        <w:r w:rsidR="00FF2CBC" w:rsidRPr="00205C60">
          <w:rPr>
            <w:webHidden/>
          </w:rPr>
          <w:t>56</w:t>
        </w:r>
        <w:r w:rsidR="00AF4AC2" w:rsidRPr="00205C60">
          <w:rPr>
            <w:webHidden/>
          </w:rPr>
          <w:fldChar w:fldCharType="end"/>
        </w:r>
      </w:hyperlink>
    </w:p>
    <w:p w14:paraId="5DE6B7FF" w14:textId="662FDA05" w:rsidR="00AF4AC2" w:rsidRPr="00205C60" w:rsidRDefault="00000000">
      <w:pPr>
        <w:pStyle w:val="TDC2"/>
        <w:rPr>
          <w:rFonts w:asciiTheme="minorHAnsi" w:eastAsiaTheme="minorEastAsia" w:hAnsiTheme="minorHAnsi" w:cstheme="minorBidi"/>
          <w:b w:val="0"/>
          <w:sz w:val="22"/>
          <w:szCs w:val="22"/>
          <w:lang w:val="es-CR" w:eastAsia="es-CR"/>
        </w:rPr>
      </w:pPr>
      <w:hyperlink w:anchor="_Toc104529480" w:history="1">
        <w:r w:rsidR="00AF4AC2" w:rsidRPr="00205C60">
          <w:rPr>
            <w:rStyle w:val="Hipervnculo"/>
            <w:rFonts w:ascii="Verdana" w:hAnsi="Verdana"/>
          </w:rPr>
          <w:t>4.1</w:t>
        </w:r>
        <w:r w:rsidR="00AF4AC2" w:rsidRPr="00205C60">
          <w:rPr>
            <w:rFonts w:asciiTheme="minorHAnsi" w:eastAsiaTheme="minorEastAsia" w:hAnsiTheme="minorHAnsi" w:cstheme="minorBidi"/>
            <w:b w:val="0"/>
            <w:sz w:val="22"/>
            <w:szCs w:val="22"/>
            <w:lang w:val="es-CR" w:eastAsia="es-CR"/>
          </w:rPr>
          <w:tab/>
        </w:r>
        <w:r w:rsidR="00AF4AC2" w:rsidRPr="00205C60">
          <w:rPr>
            <w:rStyle w:val="Hipervnculo"/>
            <w:rFonts w:ascii="Verdana" w:hAnsi="Verdana"/>
          </w:rPr>
          <w:t>Entorno económico de la Empresa</w:t>
        </w:r>
        <w:r w:rsidR="00AF4AC2" w:rsidRPr="00205C60">
          <w:rPr>
            <w:webHidden/>
          </w:rPr>
          <w:tab/>
        </w:r>
        <w:r w:rsidR="00AF4AC2" w:rsidRPr="00205C60">
          <w:rPr>
            <w:webHidden/>
          </w:rPr>
          <w:fldChar w:fldCharType="begin"/>
        </w:r>
        <w:r w:rsidR="00AF4AC2" w:rsidRPr="00205C60">
          <w:rPr>
            <w:webHidden/>
          </w:rPr>
          <w:instrText xml:space="preserve"> PAGEREF _Toc104529480 \h </w:instrText>
        </w:r>
        <w:r w:rsidR="00AF4AC2" w:rsidRPr="00205C60">
          <w:rPr>
            <w:webHidden/>
          </w:rPr>
        </w:r>
        <w:r w:rsidR="00AF4AC2" w:rsidRPr="00205C60">
          <w:rPr>
            <w:webHidden/>
          </w:rPr>
          <w:fldChar w:fldCharType="separate"/>
        </w:r>
        <w:r w:rsidR="00FF2CBC" w:rsidRPr="00205C60">
          <w:rPr>
            <w:webHidden/>
          </w:rPr>
          <w:t>56</w:t>
        </w:r>
        <w:r w:rsidR="00AF4AC2" w:rsidRPr="00205C60">
          <w:rPr>
            <w:webHidden/>
          </w:rPr>
          <w:fldChar w:fldCharType="end"/>
        </w:r>
      </w:hyperlink>
    </w:p>
    <w:p w14:paraId="772D9F1B" w14:textId="53ACDBF7" w:rsidR="00AF4AC2" w:rsidRPr="00205C60" w:rsidRDefault="00000000">
      <w:pPr>
        <w:pStyle w:val="TDC2"/>
        <w:rPr>
          <w:rFonts w:asciiTheme="minorHAnsi" w:eastAsiaTheme="minorEastAsia" w:hAnsiTheme="minorHAnsi" w:cstheme="minorBidi"/>
          <w:b w:val="0"/>
          <w:sz w:val="22"/>
          <w:szCs w:val="22"/>
          <w:lang w:val="es-CR" w:eastAsia="es-CR"/>
        </w:rPr>
      </w:pPr>
      <w:hyperlink w:anchor="_Toc104529481" w:history="1">
        <w:r w:rsidR="00AF4AC2" w:rsidRPr="00205C60">
          <w:rPr>
            <w:rStyle w:val="Hipervnculo"/>
            <w:rFonts w:ascii="Verdana" w:hAnsi="Verdana"/>
          </w:rPr>
          <w:t>4.2</w:t>
        </w:r>
        <w:r w:rsidR="00AF4AC2" w:rsidRPr="00205C60">
          <w:rPr>
            <w:rFonts w:asciiTheme="minorHAnsi" w:eastAsiaTheme="minorEastAsia" w:hAnsiTheme="minorHAnsi" w:cstheme="minorBidi"/>
            <w:b w:val="0"/>
            <w:sz w:val="22"/>
            <w:szCs w:val="22"/>
            <w:lang w:val="es-CR" w:eastAsia="es-CR"/>
          </w:rPr>
          <w:tab/>
        </w:r>
        <w:r w:rsidR="00AF4AC2" w:rsidRPr="00205C60">
          <w:rPr>
            <w:rStyle w:val="Hipervnculo"/>
            <w:rFonts w:ascii="Verdana" w:hAnsi="Verdana"/>
          </w:rPr>
          <w:t>Resultados de Operación</w:t>
        </w:r>
        <w:r w:rsidR="00AF4AC2" w:rsidRPr="00205C60">
          <w:rPr>
            <w:webHidden/>
          </w:rPr>
          <w:tab/>
        </w:r>
        <w:r w:rsidR="00AF4AC2" w:rsidRPr="00205C60">
          <w:rPr>
            <w:webHidden/>
          </w:rPr>
          <w:fldChar w:fldCharType="begin"/>
        </w:r>
        <w:r w:rsidR="00AF4AC2" w:rsidRPr="00205C60">
          <w:rPr>
            <w:webHidden/>
          </w:rPr>
          <w:instrText xml:space="preserve"> PAGEREF _Toc104529481 \h </w:instrText>
        </w:r>
        <w:r w:rsidR="00AF4AC2" w:rsidRPr="00205C60">
          <w:rPr>
            <w:webHidden/>
          </w:rPr>
        </w:r>
        <w:r w:rsidR="00AF4AC2" w:rsidRPr="00205C60">
          <w:rPr>
            <w:webHidden/>
          </w:rPr>
          <w:fldChar w:fldCharType="separate"/>
        </w:r>
        <w:r w:rsidR="00FF2CBC" w:rsidRPr="00205C60">
          <w:rPr>
            <w:webHidden/>
          </w:rPr>
          <w:t>59</w:t>
        </w:r>
        <w:r w:rsidR="00AF4AC2" w:rsidRPr="00205C60">
          <w:rPr>
            <w:webHidden/>
          </w:rPr>
          <w:fldChar w:fldCharType="end"/>
        </w:r>
      </w:hyperlink>
    </w:p>
    <w:p w14:paraId="2C3DB71C" w14:textId="3A56FDE1" w:rsidR="00AF4AC2" w:rsidRPr="00205C60" w:rsidRDefault="00000000">
      <w:pPr>
        <w:pStyle w:val="TDC2"/>
        <w:rPr>
          <w:rFonts w:asciiTheme="minorHAnsi" w:eastAsiaTheme="minorEastAsia" w:hAnsiTheme="minorHAnsi" w:cstheme="minorBidi"/>
          <w:b w:val="0"/>
          <w:sz w:val="22"/>
          <w:szCs w:val="22"/>
          <w:lang w:val="es-CR" w:eastAsia="es-CR"/>
        </w:rPr>
      </w:pPr>
      <w:hyperlink w:anchor="_Toc104529482" w:history="1">
        <w:r w:rsidR="00AF4AC2" w:rsidRPr="00205C60">
          <w:rPr>
            <w:rStyle w:val="Hipervnculo"/>
            <w:rFonts w:ascii="Verdana" w:hAnsi="Verdana"/>
          </w:rPr>
          <w:t>4.2.1</w:t>
        </w:r>
        <w:r w:rsidR="00AF4AC2" w:rsidRPr="00205C60">
          <w:rPr>
            <w:rFonts w:asciiTheme="minorHAnsi" w:eastAsiaTheme="minorEastAsia" w:hAnsiTheme="minorHAnsi" w:cstheme="minorBidi"/>
            <w:b w:val="0"/>
            <w:sz w:val="22"/>
            <w:szCs w:val="22"/>
            <w:lang w:val="es-CR" w:eastAsia="es-CR"/>
          </w:rPr>
          <w:tab/>
        </w:r>
        <w:r w:rsidR="00AF4AC2" w:rsidRPr="00205C60">
          <w:rPr>
            <w:rStyle w:val="Hipervnculo"/>
            <w:rFonts w:ascii="Verdana" w:hAnsi="Verdana"/>
          </w:rPr>
          <w:t>Estructura de Ingresos</w:t>
        </w:r>
        <w:r w:rsidR="00AF4AC2" w:rsidRPr="00205C60">
          <w:rPr>
            <w:webHidden/>
          </w:rPr>
          <w:tab/>
        </w:r>
        <w:r w:rsidR="00AF4AC2" w:rsidRPr="00205C60">
          <w:rPr>
            <w:webHidden/>
          </w:rPr>
          <w:fldChar w:fldCharType="begin"/>
        </w:r>
        <w:r w:rsidR="00AF4AC2" w:rsidRPr="00205C60">
          <w:rPr>
            <w:webHidden/>
          </w:rPr>
          <w:instrText xml:space="preserve"> PAGEREF _Toc104529482 \h </w:instrText>
        </w:r>
        <w:r w:rsidR="00AF4AC2" w:rsidRPr="00205C60">
          <w:rPr>
            <w:webHidden/>
          </w:rPr>
        </w:r>
        <w:r w:rsidR="00AF4AC2" w:rsidRPr="00205C60">
          <w:rPr>
            <w:webHidden/>
          </w:rPr>
          <w:fldChar w:fldCharType="separate"/>
        </w:r>
        <w:r w:rsidR="00FF2CBC" w:rsidRPr="00205C60">
          <w:rPr>
            <w:webHidden/>
          </w:rPr>
          <w:t>59</w:t>
        </w:r>
        <w:r w:rsidR="00AF4AC2" w:rsidRPr="00205C60">
          <w:rPr>
            <w:webHidden/>
          </w:rPr>
          <w:fldChar w:fldCharType="end"/>
        </w:r>
      </w:hyperlink>
    </w:p>
    <w:p w14:paraId="56A68104" w14:textId="11194227" w:rsidR="00AF4AC2" w:rsidRPr="00205C60" w:rsidRDefault="00000000">
      <w:pPr>
        <w:pStyle w:val="TDC2"/>
        <w:rPr>
          <w:rFonts w:asciiTheme="minorHAnsi" w:eastAsiaTheme="minorEastAsia" w:hAnsiTheme="minorHAnsi" w:cstheme="minorBidi"/>
          <w:b w:val="0"/>
          <w:sz w:val="22"/>
          <w:szCs w:val="22"/>
          <w:lang w:val="es-CR" w:eastAsia="es-CR"/>
        </w:rPr>
      </w:pPr>
      <w:hyperlink w:anchor="_Toc104529483" w:history="1">
        <w:r w:rsidR="00AF4AC2" w:rsidRPr="00205C60">
          <w:rPr>
            <w:rStyle w:val="Hipervnculo"/>
            <w:rFonts w:ascii="Verdana" w:hAnsi="Verdana"/>
          </w:rPr>
          <w:t>4.2.2</w:t>
        </w:r>
        <w:r w:rsidR="00AF4AC2" w:rsidRPr="00205C60">
          <w:rPr>
            <w:rFonts w:asciiTheme="minorHAnsi" w:eastAsiaTheme="minorEastAsia" w:hAnsiTheme="minorHAnsi" w:cstheme="minorBidi"/>
            <w:b w:val="0"/>
            <w:sz w:val="22"/>
            <w:szCs w:val="22"/>
            <w:lang w:val="es-CR" w:eastAsia="es-CR"/>
          </w:rPr>
          <w:tab/>
        </w:r>
        <w:r w:rsidR="00AF4AC2" w:rsidRPr="00205C60">
          <w:rPr>
            <w:rStyle w:val="Hipervnculo"/>
            <w:rFonts w:ascii="Verdana" w:hAnsi="Verdana"/>
          </w:rPr>
          <w:t>Estructura de Gastos</w:t>
        </w:r>
        <w:r w:rsidR="00AF4AC2" w:rsidRPr="00205C60">
          <w:rPr>
            <w:webHidden/>
          </w:rPr>
          <w:tab/>
        </w:r>
        <w:r w:rsidR="00AF4AC2" w:rsidRPr="00205C60">
          <w:rPr>
            <w:webHidden/>
          </w:rPr>
          <w:fldChar w:fldCharType="begin"/>
        </w:r>
        <w:r w:rsidR="00AF4AC2" w:rsidRPr="00205C60">
          <w:rPr>
            <w:webHidden/>
          </w:rPr>
          <w:instrText xml:space="preserve"> PAGEREF _Toc104529483 \h </w:instrText>
        </w:r>
        <w:r w:rsidR="00AF4AC2" w:rsidRPr="00205C60">
          <w:rPr>
            <w:webHidden/>
          </w:rPr>
        </w:r>
        <w:r w:rsidR="00AF4AC2" w:rsidRPr="00205C60">
          <w:rPr>
            <w:webHidden/>
          </w:rPr>
          <w:fldChar w:fldCharType="separate"/>
        </w:r>
        <w:r w:rsidR="00FF2CBC" w:rsidRPr="00205C60">
          <w:rPr>
            <w:webHidden/>
          </w:rPr>
          <w:t>62</w:t>
        </w:r>
        <w:r w:rsidR="00AF4AC2" w:rsidRPr="00205C60">
          <w:rPr>
            <w:webHidden/>
          </w:rPr>
          <w:fldChar w:fldCharType="end"/>
        </w:r>
      </w:hyperlink>
    </w:p>
    <w:p w14:paraId="4CB05A1B" w14:textId="290608C9" w:rsidR="00AF4AC2" w:rsidRPr="00205C60" w:rsidRDefault="00000000">
      <w:pPr>
        <w:pStyle w:val="TDC2"/>
        <w:rPr>
          <w:rFonts w:asciiTheme="minorHAnsi" w:eastAsiaTheme="minorEastAsia" w:hAnsiTheme="minorHAnsi" w:cstheme="minorBidi"/>
          <w:b w:val="0"/>
          <w:sz w:val="22"/>
          <w:szCs w:val="22"/>
          <w:lang w:val="es-CR" w:eastAsia="es-CR"/>
        </w:rPr>
      </w:pPr>
      <w:hyperlink w:anchor="_Toc104529484" w:history="1">
        <w:r w:rsidR="00AF4AC2" w:rsidRPr="00205C60">
          <w:rPr>
            <w:rStyle w:val="Hipervnculo"/>
            <w:rFonts w:ascii="Verdana" w:hAnsi="Verdana"/>
          </w:rPr>
          <w:t>4.3</w:t>
        </w:r>
        <w:r w:rsidR="00AF4AC2" w:rsidRPr="00205C60">
          <w:rPr>
            <w:rFonts w:asciiTheme="minorHAnsi" w:eastAsiaTheme="minorEastAsia" w:hAnsiTheme="minorHAnsi" w:cstheme="minorBidi"/>
            <w:b w:val="0"/>
            <w:sz w:val="22"/>
            <w:szCs w:val="22"/>
            <w:lang w:val="es-CR" w:eastAsia="es-CR"/>
          </w:rPr>
          <w:tab/>
        </w:r>
        <w:r w:rsidR="00AF4AC2" w:rsidRPr="00205C60">
          <w:rPr>
            <w:rStyle w:val="Hipervnculo"/>
            <w:rFonts w:ascii="Verdana" w:hAnsi="Verdana"/>
          </w:rPr>
          <w:t>Liquidez y recursos de capital</w:t>
        </w:r>
        <w:r w:rsidR="00AF4AC2" w:rsidRPr="00205C60">
          <w:rPr>
            <w:webHidden/>
          </w:rPr>
          <w:tab/>
        </w:r>
        <w:r w:rsidR="00AF4AC2" w:rsidRPr="00205C60">
          <w:rPr>
            <w:webHidden/>
          </w:rPr>
          <w:fldChar w:fldCharType="begin"/>
        </w:r>
        <w:r w:rsidR="00AF4AC2" w:rsidRPr="00205C60">
          <w:rPr>
            <w:webHidden/>
          </w:rPr>
          <w:instrText xml:space="preserve"> PAGEREF _Toc104529484 \h </w:instrText>
        </w:r>
        <w:r w:rsidR="00AF4AC2" w:rsidRPr="00205C60">
          <w:rPr>
            <w:webHidden/>
          </w:rPr>
        </w:r>
        <w:r w:rsidR="00AF4AC2" w:rsidRPr="00205C60">
          <w:rPr>
            <w:webHidden/>
          </w:rPr>
          <w:fldChar w:fldCharType="separate"/>
        </w:r>
        <w:r w:rsidR="00FF2CBC" w:rsidRPr="00205C60">
          <w:rPr>
            <w:webHidden/>
          </w:rPr>
          <w:t>64</w:t>
        </w:r>
        <w:r w:rsidR="00AF4AC2" w:rsidRPr="00205C60">
          <w:rPr>
            <w:webHidden/>
          </w:rPr>
          <w:fldChar w:fldCharType="end"/>
        </w:r>
      </w:hyperlink>
    </w:p>
    <w:p w14:paraId="247DADFA" w14:textId="47FE817C" w:rsidR="00AF4AC2" w:rsidRPr="00205C60" w:rsidRDefault="00000000">
      <w:pPr>
        <w:pStyle w:val="TDC2"/>
        <w:rPr>
          <w:rFonts w:asciiTheme="minorHAnsi" w:eastAsiaTheme="minorEastAsia" w:hAnsiTheme="minorHAnsi" w:cstheme="minorBidi"/>
          <w:b w:val="0"/>
          <w:sz w:val="22"/>
          <w:szCs w:val="22"/>
          <w:lang w:val="es-CR" w:eastAsia="es-CR"/>
        </w:rPr>
      </w:pPr>
      <w:hyperlink w:anchor="_Toc104529485" w:history="1">
        <w:r w:rsidR="00AF4AC2" w:rsidRPr="00205C60">
          <w:rPr>
            <w:rStyle w:val="Hipervnculo"/>
            <w:rFonts w:ascii="Verdana" w:hAnsi="Verdana"/>
          </w:rPr>
          <w:t>4.4</w:t>
        </w:r>
        <w:r w:rsidR="00AF4AC2" w:rsidRPr="00205C60">
          <w:rPr>
            <w:rFonts w:asciiTheme="minorHAnsi" w:eastAsiaTheme="minorEastAsia" w:hAnsiTheme="minorHAnsi" w:cstheme="minorBidi"/>
            <w:b w:val="0"/>
            <w:sz w:val="22"/>
            <w:szCs w:val="22"/>
            <w:lang w:val="es-CR" w:eastAsia="es-CR"/>
          </w:rPr>
          <w:tab/>
        </w:r>
        <w:r w:rsidR="00AF4AC2" w:rsidRPr="00205C60">
          <w:rPr>
            <w:rStyle w:val="Hipervnculo"/>
            <w:rFonts w:ascii="Verdana" w:hAnsi="Verdana"/>
          </w:rPr>
          <w:t>Investigación y desarrollo, patentes y licencias</w:t>
        </w:r>
        <w:r w:rsidR="00AF4AC2" w:rsidRPr="00205C60">
          <w:rPr>
            <w:webHidden/>
          </w:rPr>
          <w:tab/>
        </w:r>
        <w:r w:rsidR="00AF4AC2" w:rsidRPr="00205C60">
          <w:rPr>
            <w:webHidden/>
          </w:rPr>
          <w:fldChar w:fldCharType="begin"/>
        </w:r>
        <w:r w:rsidR="00AF4AC2" w:rsidRPr="00205C60">
          <w:rPr>
            <w:webHidden/>
          </w:rPr>
          <w:instrText xml:space="preserve"> PAGEREF _Toc104529485 \h </w:instrText>
        </w:r>
        <w:r w:rsidR="00AF4AC2" w:rsidRPr="00205C60">
          <w:rPr>
            <w:webHidden/>
          </w:rPr>
        </w:r>
        <w:r w:rsidR="00AF4AC2" w:rsidRPr="00205C60">
          <w:rPr>
            <w:webHidden/>
          </w:rPr>
          <w:fldChar w:fldCharType="separate"/>
        </w:r>
        <w:r w:rsidR="00FF2CBC" w:rsidRPr="00205C60">
          <w:rPr>
            <w:webHidden/>
          </w:rPr>
          <w:t>64</w:t>
        </w:r>
        <w:r w:rsidR="00AF4AC2" w:rsidRPr="00205C60">
          <w:rPr>
            <w:webHidden/>
          </w:rPr>
          <w:fldChar w:fldCharType="end"/>
        </w:r>
      </w:hyperlink>
    </w:p>
    <w:p w14:paraId="04882671" w14:textId="10E594A9" w:rsidR="00AF4AC2" w:rsidRPr="00205C60" w:rsidRDefault="00000000">
      <w:pPr>
        <w:pStyle w:val="TDC1"/>
        <w:rPr>
          <w:rFonts w:asciiTheme="minorHAnsi" w:eastAsiaTheme="minorEastAsia" w:hAnsiTheme="minorHAnsi" w:cstheme="minorBidi"/>
          <w:bCs w:val="0"/>
          <w:sz w:val="22"/>
          <w:szCs w:val="22"/>
          <w:lang w:val="es-CR" w:eastAsia="es-CR"/>
        </w:rPr>
      </w:pPr>
      <w:hyperlink w:anchor="_Toc104529486" w:history="1">
        <w:r w:rsidR="00AF4AC2" w:rsidRPr="00205C60">
          <w:rPr>
            <w:rStyle w:val="Hipervnculo"/>
            <w:rFonts w:ascii="Verdana" w:hAnsi="Verdana"/>
          </w:rPr>
          <w:t>CAPITULO V</w:t>
        </w:r>
        <w:r w:rsidR="00AF4AC2" w:rsidRPr="00205C60">
          <w:rPr>
            <w:webHidden/>
          </w:rPr>
          <w:tab/>
        </w:r>
        <w:r w:rsidR="00AF4AC2" w:rsidRPr="00205C60">
          <w:rPr>
            <w:webHidden/>
          </w:rPr>
          <w:fldChar w:fldCharType="begin"/>
        </w:r>
        <w:r w:rsidR="00AF4AC2" w:rsidRPr="00205C60">
          <w:rPr>
            <w:webHidden/>
          </w:rPr>
          <w:instrText xml:space="preserve"> PAGEREF _Toc104529486 \h </w:instrText>
        </w:r>
        <w:r w:rsidR="00AF4AC2" w:rsidRPr="00205C60">
          <w:rPr>
            <w:webHidden/>
          </w:rPr>
        </w:r>
        <w:r w:rsidR="00AF4AC2" w:rsidRPr="00205C60">
          <w:rPr>
            <w:webHidden/>
          </w:rPr>
          <w:fldChar w:fldCharType="separate"/>
        </w:r>
        <w:r w:rsidR="00FF2CBC" w:rsidRPr="00205C60">
          <w:rPr>
            <w:webHidden/>
          </w:rPr>
          <w:t>65</w:t>
        </w:r>
        <w:r w:rsidR="00AF4AC2" w:rsidRPr="00205C60">
          <w:rPr>
            <w:webHidden/>
          </w:rPr>
          <w:fldChar w:fldCharType="end"/>
        </w:r>
      </w:hyperlink>
    </w:p>
    <w:p w14:paraId="76376FA0" w14:textId="2857471A" w:rsidR="00AF4AC2" w:rsidRPr="00205C60" w:rsidRDefault="00000000">
      <w:pPr>
        <w:pStyle w:val="TDC1"/>
        <w:rPr>
          <w:rFonts w:asciiTheme="minorHAnsi" w:eastAsiaTheme="minorEastAsia" w:hAnsiTheme="minorHAnsi" w:cstheme="minorBidi"/>
          <w:bCs w:val="0"/>
          <w:sz w:val="22"/>
          <w:szCs w:val="22"/>
          <w:lang w:val="es-CR" w:eastAsia="es-CR"/>
        </w:rPr>
      </w:pPr>
      <w:hyperlink w:anchor="_Toc104529487" w:history="1">
        <w:r w:rsidR="00AF4AC2" w:rsidRPr="00205C60">
          <w:rPr>
            <w:rStyle w:val="Hipervnculo"/>
            <w:rFonts w:ascii="Verdana" w:hAnsi="Verdana"/>
          </w:rPr>
          <w:t>DIRECTORES, PERSONAL GERENCIAL Y EMPLEADOS</w:t>
        </w:r>
        <w:r w:rsidR="00AF4AC2" w:rsidRPr="00205C60">
          <w:rPr>
            <w:webHidden/>
          </w:rPr>
          <w:tab/>
        </w:r>
        <w:r w:rsidR="00AF4AC2" w:rsidRPr="00205C60">
          <w:rPr>
            <w:webHidden/>
          </w:rPr>
          <w:fldChar w:fldCharType="begin"/>
        </w:r>
        <w:r w:rsidR="00AF4AC2" w:rsidRPr="00205C60">
          <w:rPr>
            <w:webHidden/>
          </w:rPr>
          <w:instrText xml:space="preserve"> PAGEREF _Toc104529487 \h </w:instrText>
        </w:r>
        <w:r w:rsidR="00AF4AC2" w:rsidRPr="00205C60">
          <w:rPr>
            <w:webHidden/>
          </w:rPr>
        </w:r>
        <w:r w:rsidR="00AF4AC2" w:rsidRPr="00205C60">
          <w:rPr>
            <w:webHidden/>
          </w:rPr>
          <w:fldChar w:fldCharType="separate"/>
        </w:r>
        <w:r w:rsidR="00FF2CBC" w:rsidRPr="00205C60">
          <w:rPr>
            <w:webHidden/>
          </w:rPr>
          <w:t>65</w:t>
        </w:r>
        <w:r w:rsidR="00AF4AC2" w:rsidRPr="00205C60">
          <w:rPr>
            <w:webHidden/>
          </w:rPr>
          <w:fldChar w:fldCharType="end"/>
        </w:r>
      </w:hyperlink>
    </w:p>
    <w:p w14:paraId="47C23E44" w14:textId="7B3DD0D9" w:rsidR="00AF4AC2" w:rsidRPr="00205C60" w:rsidRDefault="00000000">
      <w:pPr>
        <w:pStyle w:val="TDC2"/>
        <w:rPr>
          <w:rFonts w:asciiTheme="minorHAnsi" w:eastAsiaTheme="minorEastAsia" w:hAnsiTheme="minorHAnsi" w:cstheme="minorBidi"/>
          <w:b w:val="0"/>
          <w:sz w:val="22"/>
          <w:szCs w:val="22"/>
          <w:lang w:val="es-CR" w:eastAsia="es-CR"/>
        </w:rPr>
      </w:pPr>
      <w:hyperlink w:anchor="_Toc104529488" w:history="1">
        <w:r w:rsidR="00AF4AC2" w:rsidRPr="00205C60">
          <w:rPr>
            <w:rStyle w:val="Hipervnculo"/>
            <w:rFonts w:ascii="Verdana" w:hAnsi="Verdana"/>
          </w:rPr>
          <w:t>5.1</w:t>
        </w:r>
        <w:r w:rsidR="00AF4AC2" w:rsidRPr="00205C60">
          <w:rPr>
            <w:rFonts w:asciiTheme="minorHAnsi" w:eastAsiaTheme="minorEastAsia" w:hAnsiTheme="minorHAnsi" w:cstheme="minorBidi"/>
            <w:b w:val="0"/>
            <w:sz w:val="22"/>
            <w:szCs w:val="22"/>
            <w:lang w:val="es-CR" w:eastAsia="es-CR"/>
          </w:rPr>
          <w:tab/>
        </w:r>
        <w:r w:rsidR="00AF4AC2" w:rsidRPr="00205C60">
          <w:rPr>
            <w:rStyle w:val="Hipervnculo"/>
            <w:rFonts w:ascii="Verdana" w:hAnsi="Verdana"/>
          </w:rPr>
          <w:t>Personal Directivo</w:t>
        </w:r>
        <w:r w:rsidR="00AF4AC2" w:rsidRPr="00205C60">
          <w:rPr>
            <w:webHidden/>
          </w:rPr>
          <w:tab/>
        </w:r>
        <w:r w:rsidR="00AF4AC2" w:rsidRPr="00205C60">
          <w:rPr>
            <w:webHidden/>
          </w:rPr>
          <w:fldChar w:fldCharType="begin"/>
        </w:r>
        <w:r w:rsidR="00AF4AC2" w:rsidRPr="00205C60">
          <w:rPr>
            <w:webHidden/>
          </w:rPr>
          <w:instrText xml:space="preserve"> PAGEREF _Toc104529488 \h </w:instrText>
        </w:r>
        <w:r w:rsidR="00AF4AC2" w:rsidRPr="00205C60">
          <w:rPr>
            <w:webHidden/>
          </w:rPr>
        </w:r>
        <w:r w:rsidR="00AF4AC2" w:rsidRPr="00205C60">
          <w:rPr>
            <w:webHidden/>
          </w:rPr>
          <w:fldChar w:fldCharType="separate"/>
        </w:r>
        <w:r w:rsidR="00FF2CBC" w:rsidRPr="00205C60">
          <w:rPr>
            <w:webHidden/>
          </w:rPr>
          <w:t>65</w:t>
        </w:r>
        <w:r w:rsidR="00AF4AC2" w:rsidRPr="00205C60">
          <w:rPr>
            <w:webHidden/>
          </w:rPr>
          <w:fldChar w:fldCharType="end"/>
        </w:r>
      </w:hyperlink>
    </w:p>
    <w:p w14:paraId="01DB9B56" w14:textId="54545E66" w:rsidR="00AF4AC2" w:rsidRPr="00205C60" w:rsidRDefault="00000000">
      <w:pPr>
        <w:pStyle w:val="TDC2"/>
        <w:rPr>
          <w:rFonts w:asciiTheme="minorHAnsi" w:eastAsiaTheme="minorEastAsia" w:hAnsiTheme="minorHAnsi" w:cstheme="minorBidi"/>
          <w:b w:val="0"/>
          <w:sz w:val="22"/>
          <w:szCs w:val="22"/>
          <w:lang w:val="es-CR" w:eastAsia="es-CR"/>
        </w:rPr>
      </w:pPr>
      <w:hyperlink w:anchor="_Toc104529489" w:history="1">
        <w:r w:rsidR="00AF4AC2" w:rsidRPr="00205C60">
          <w:rPr>
            <w:rStyle w:val="Hipervnculo"/>
            <w:rFonts w:ascii="Verdana" w:hAnsi="Verdana"/>
          </w:rPr>
          <w:t>5.2</w:t>
        </w:r>
        <w:r w:rsidR="00AF4AC2" w:rsidRPr="00205C60">
          <w:rPr>
            <w:rFonts w:asciiTheme="minorHAnsi" w:eastAsiaTheme="minorEastAsia" w:hAnsiTheme="minorHAnsi" w:cstheme="minorBidi"/>
            <w:b w:val="0"/>
            <w:sz w:val="22"/>
            <w:szCs w:val="22"/>
            <w:lang w:val="es-CR" w:eastAsia="es-CR"/>
          </w:rPr>
          <w:tab/>
        </w:r>
        <w:r w:rsidR="00AF4AC2" w:rsidRPr="00205C60">
          <w:rPr>
            <w:rStyle w:val="Hipervnculo"/>
            <w:rFonts w:ascii="Verdana" w:hAnsi="Verdana"/>
          </w:rPr>
          <w:t>Personal Gerencial</w:t>
        </w:r>
        <w:r w:rsidR="00AF4AC2" w:rsidRPr="00205C60">
          <w:rPr>
            <w:webHidden/>
          </w:rPr>
          <w:tab/>
        </w:r>
        <w:r w:rsidR="00AF4AC2" w:rsidRPr="00205C60">
          <w:rPr>
            <w:webHidden/>
          </w:rPr>
          <w:fldChar w:fldCharType="begin"/>
        </w:r>
        <w:r w:rsidR="00AF4AC2" w:rsidRPr="00205C60">
          <w:rPr>
            <w:webHidden/>
          </w:rPr>
          <w:instrText xml:space="preserve"> PAGEREF _Toc104529489 \h </w:instrText>
        </w:r>
        <w:r w:rsidR="00AF4AC2" w:rsidRPr="00205C60">
          <w:rPr>
            <w:webHidden/>
          </w:rPr>
        </w:r>
        <w:r w:rsidR="00AF4AC2" w:rsidRPr="00205C60">
          <w:rPr>
            <w:webHidden/>
          </w:rPr>
          <w:fldChar w:fldCharType="separate"/>
        </w:r>
        <w:r w:rsidR="00FF2CBC" w:rsidRPr="00205C60">
          <w:rPr>
            <w:webHidden/>
          </w:rPr>
          <w:t>68</w:t>
        </w:r>
        <w:r w:rsidR="00AF4AC2" w:rsidRPr="00205C60">
          <w:rPr>
            <w:webHidden/>
          </w:rPr>
          <w:fldChar w:fldCharType="end"/>
        </w:r>
      </w:hyperlink>
    </w:p>
    <w:p w14:paraId="60E2E38B" w14:textId="127B9AA3" w:rsidR="00AF4AC2" w:rsidRPr="00205C60" w:rsidRDefault="00000000">
      <w:pPr>
        <w:pStyle w:val="TDC2"/>
        <w:rPr>
          <w:rFonts w:asciiTheme="minorHAnsi" w:eastAsiaTheme="minorEastAsia" w:hAnsiTheme="minorHAnsi" w:cstheme="minorBidi"/>
          <w:b w:val="0"/>
          <w:sz w:val="22"/>
          <w:szCs w:val="22"/>
          <w:lang w:val="es-CR" w:eastAsia="es-CR"/>
        </w:rPr>
      </w:pPr>
      <w:hyperlink w:anchor="_Toc104529490" w:history="1">
        <w:r w:rsidR="00AF4AC2" w:rsidRPr="00205C60">
          <w:rPr>
            <w:rStyle w:val="Hipervnculo"/>
            <w:rFonts w:ascii="Verdana" w:hAnsi="Verdana"/>
          </w:rPr>
          <w:t>5.3</w:t>
        </w:r>
        <w:r w:rsidR="00AF4AC2" w:rsidRPr="00205C60">
          <w:rPr>
            <w:rFonts w:asciiTheme="minorHAnsi" w:eastAsiaTheme="minorEastAsia" w:hAnsiTheme="minorHAnsi" w:cstheme="minorBidi"/>
            <w:b w:val="0"/>
            <w:sz w:val="22"/>
            <w:szCs w:val="22"/>
            <w:lang w:val="es-CR" w:eastAsia="es-CR"/>
          </w:rPr>
          <w:tab/>
        </w:r>
        <w:r w:rsidR="00AF4AC2" w:rsidRPr="00205C60">
          <w:rPr>
            <w:rStyle w:val="Hipervnculo"/>
            <w:rFonts w:ascii="Verdana" w:hAnsi="Verdana"/>
          </w:rPr>
          <w:t>De la Asamblea de Accionistas</w:t>
        </w:r>
        <w:r w:rsidR="00AF4AC2" w:rsidRPr="00205C60">
          <w:rPr>
            <w:webHidden/>
          </w:rPr>
          <w:tab/>
        </w:r>
        <w:r w:rsidR="00AF4AC2" w:rsidRPr="00205C60">
          <w:rPr>
            <w:webHidden/>
          </w:rPr>
          <w:fldChar w:fldCharType="begin"/>
        </w:r>
        <w:r w:rsidR="00AF4AC2" w:rsidRPr="00205C60">
          <w:rPr>
            <w:webHidden/>
          </w:rPr>
          <w:instrText xml:space="preserve"> PAGEREF _Toc104529490 \h </w:instrText>
        </w:r>
        <w:r w:rsidR="00AF4AC2" w:rsidRPr="00205C60">
          <w:rPr>
            <w:webHidden/>
          </w:rPr>
        </w:r>
        <w:r w:rsidR="00AF4AC2" w:rsidRPr="00205C60">
          <w:rPr>
            <w:webHidden/>
          </w:rPr>
          <w:fldChar w:fldCharType="separate"/>
        </w:r>
        <w:r w:rsidR="00FF2CBC" w:rsidRPr="00205C60">
          <w:rPr>
            <w:webHidden/>
          </w:rPr>
          <w:t>70</w:t>
        </w:r>
        <w:r w:rsidR="00AF4AC2" w:rsidRPr="00205C60">
          <w:rPr>
            <w:webHidden/>
          </w:rPr>
          <w:fldChar w:fldCharType="end"/>
        </w:r>
      </w:hyperlink>
    </w:p>
    <w:p w14:paraId="7B403944" w14:textId="30E8501E" w:rsidR="00AF4AC2" w:rsidRPr="00205C60" w:rsidRDefault="00000000">
      <w:pPr>
        <w:pStyle w:val="TDC2"/>
        <w:rPr>
          <w:rFonts w:asciiTheme="minorHAnsi" w:eastAsiaTheme="minorEastAsia" w:hAnsiTheme="minorHAnsi" w:cstheme="minorBidi"/>
          <w:b w:val="0"/>
          <w:sz w:val="22"/>
          <w:szCs w:val="22"/>
          <w:lang w:val="es-CR" w:eastAsia="es-CR"/>
        </w:rPr>
      </w:pPr>
      <w:hyperlink w:anchor="_Toc104529491" w:history="1">
        <w:r w:rsidR="00AF4AC2" w:rsidRPr="00205C60">
          <w:rPr>
            <w:rStyle w:val="Hipervnculo"/>
            <w:rFonts w:ascii="Verdana" w:hAnsi="Verdana"/>
          </w:rPr>
          <w:t>5.4</w:t>
        </w:r>
        <w:r w:rsidR="00AF4AC2" w:rsidRPr="00205C60">
          <w:rPr>
            <w:rFonts w:asciiTheme="minorHAnsi" w:eastAsiaTheme="minorEastAsia" w:hAnsiTheme="minorHAnsi" w:cstheme="minorBidi"/>
            <w:b w:val="0"/>
            <w:sz w:val="22"/>
            <w:szCs w:val="22"/>
            <w:lang w:val="es-CR" w:eastAsia="es-CR"/>
          </w:rPr>
          <w:tab/>
        </w:r>
        <w:r w:rsidR="00AF4AC2" w:rsidRPr="00205C60">
          <w:rPr>
            <w:rStyle w:val="Hipervnculo"/>
            <w:rFonts w:ascii="Verdana" w:hAnsi="Verdana"/>
          </w:rPr>
          <w:t>Comité de Auditoría:</w:t>
        </w:r>
        <w:r w:rsidR="00AF4AC2" w:rsidRPr="00205C60">
          <w:rPr>
            <w:webHidden/>
          </w:rPr>
          <w:tab/>
        </w:r>
        <w:r w:rsidR="00AF4AC2" w:rsidRPr="00205C60">
          <w:rPr>
            <w:webHidden/>
          </w:rPr>
          <w:fldChar w:fldCharType="begin"/>
        </w:r>
        <w:r w:rsidR="00AF4AC2" w:rsidRPr="00205C60">
          <w:rPr>
            <w:webHidden/>
          </w:rPr>
          <w:instrText xml:space="preserve"> PAGEREF _Toc104529491 \h </w:instrText>
        </w:r>
        <w:r w:rsidR="00AF4AC2" w:rsidRPr="00205C60">
          <w:rPr>
            <w:webHidden/>
          </w:rPr>
        </w:r>
        <w:r w:rsidR="00AF4AC2" w:rsidRPr="00205C60">
          <w:rPr>
            <w:webHidden/>
          </w:rPr>
          <w:fldChar w:fldCharType="separate"/>
        </w:r>
        <w:r w:rsidR="00FF2CBC" w:rsidRPr="00205C60">
          <w:rPr>
            <w:webHidden/>
          </w:rPr>
          <w:t>71</w:t>
        </w:r>
        <w:r w:rsidR="00AF4AC2" w:rsidRPr="00205C60">
          <w:rPr>
            <w:webHidden/>
          </w:rPr>
          <w:fldChar w:fldCharType="end"/>
        </w:r>
      </w:hyperlink>
    </w:p>
    <w:p w14:paraId="69E1DA84" w14:textId="5E496802" w:rsidR="00AF4AC2" w:rsidRPr="00205C60" w:rsidRDefault="00000000">
      <w:pPr>
        <w:pStyle w:val="TDC2"/>
        <w:rPr>
          <w:rFonts w:asciiTheme="minorHAnsi" w:eastAsiaTheme="minorEastAsia" w:hAnsiTheme="minorHAnsi" w:cstheme="minorBidi"/>
          <w:b w:val="0"/>
          <w:sz w:val="22"/>
          <w:szCs w:val="22"/>
          <w:lang w:val="es-CR" w:eastAsia="es-CR"/>
        </w:rPr>
      </w:pPr>
      <w:hyperlink w:anchor="_Toc104529492" w:history="1">
        <w:r w:rsidR="00AF4AC2" w:rsidRPr="00205C60">
          <w:rPr>
            <w:rStyle w:val="Hipervnculo"/>
            <w:rFonts w:ascii="Verdana" w:hAnsi="Verdana"/>
          </w:rPr>
          <w:t>5.5</w:t>
        </w:r>
        <w:r w:rsidR="00AF4AC2" w:rsidRPr="00205C60">
          <w:rPr>
            <w:rFonts w:asciiTheme="minorHAnsi" w:eastAsiaTheme="minorEastAsia" w:hAnsiTheme="minorHAnsi" w:cstheme="minorBidi"/>
            <w:b w:val="0"/>
            <w:sz w:val="22"/>
            <w:szCs w:val="22"/>
            <w:lang w:val="es-CR" w:eastAsia="es-CR"/>
          </w:rPr>
          <w:tab/>
        </w:r>
        <w:r w:rsidR="00AF4AC2" w:rsidRPr="00205C60">
          <w:rPr>
            <w:rStyle w:val="Hipervnculo"/>
            <w:rFonts w:ascii="Verdana" w:hAnsi="Verdana"/>
          </w:rPr>
          <w:t>Personal</w:t>
        </w:r>
        <w:r w:rsidR="00AF4AC2" w:rsidRPr="00205C60">
          <w:rPr>
            <w:webHidden/>
          </w:rPr>
          <w:tab/>
        </w:r>
        <w:r w:rsidR="00AF4AC2" w:rsidRPr="00205C60">
          <w:rPr>
            <w:webHidden/>
          </w:rPr>
          <w:fldChar w:fldCharType="begin"/>
        </w:r>
        <w:r w:rsidR="00AF4AC2" w:rsidRPr="00205C60">
          <w:rPr>
            <w:webHidden/>
          </w:rPr>
          <w:instrText xml:space="preserve"> PAGEREF _Toc104529492 \h </w:instrText>
        </w:r>
        <w:r w:rsidR="00AF4AC2" w:rsidRPr="00205C60">
          <w:rPr>
            <w:webHidden/>
          </w:rPr>
        </w:r>
        <w:r w:rsidR="00AF4AC2" w:rsidRPr="00205C60">
          <w:rPr>
            <w:webHidden/>
          </w:rPr>
          <w:fldChar w:fldCharType="separate"/>
        </w:r>
        <w:r w:rsidR="00FF2CBC" w:rsidRPr="00205C60">
          <w:rPr>
            <w:webHidden/>
          </w:rPr>
          <w:t>71</w:t>
        </w:r>
        <w:r w:rsidR="00AF4AC2" w:rsidRPr="00205C60">
          <w:rPr>
            <w:webHidden/>
          </w:rPr>
          <w:fldChar w:fldCharType="end"/>
        </w:r>
      </w:hyperlink>
    </w:p>
    <w:p w14:paraId="1888DAB0" w14:textId="417B239A" w:rsidR="00AF4AC2" w:rsidRPr="00205C60" w:rsidRDefault="00000000">
      <w:pPr>
        <w:pStyle w:val="TDC2"/>
        <w:rPr>
          <w:rFonts w:asciiTheme="minorHAnsi" w:eastAsiaTheme="minorEastAsia" w:hAnsiTheme="minorHAnsi" w:cstheme="minorBidi"/>
          <w:b w:val="0"/>
          <w:sz w:val="22"/>
          <w:szCs w:val="22"/>
          <w:lang w:val="es-CR" w:eastAsia="es-CR"/>
        </w:rPr>
      </w:pPr>
      <w:hyperlink w:anchor="_Toc104529493" w:history="1">
        <w:r w:rsidR="00AF4AC2" w:rsidRPr="00205C60">
          <w:rPr>
            <w:rStyle w:val="Hipervnculo"/>
            <w:rFonts w:ascii="Verdana" w:hAnsi="Verdana"/>
          </w:rPr>
          <w:t>5.6</w:t>
        </w:r>
        <w:r w:rsidR="00AF4AC2" w:rsidRPr="00205C60">
          <w:rPr>
            <w:rFonts w:asciiTheme="minorHAnsi" w:eastAsiaTheme="minorEastAsia" w:hAnsiTheme="minorHAnsi" w:cstheme="minorBidi"/>
            <w:b w:val="0"/>
            <w:sz w:val="22"/>
            <w:szCs w:val="22"/>
            <w:lang w:val="es-CR" w:eastAsia="es-CR"/>
          </w:rPr>
          <w:tab/>
        </w:r>
        <w:r w:rsidR="00AF4AC2" w:rsidRPr="00205C60">
          <w:rPr>
            <w:rStyle w:val="Hipervnculo"/>
            <w:rFonts w:ascii="Verdana" w:hAnsi="Verdana"/>
          </w:rPr>
          <w:t>Participación social de directores, personal gerencial y empleados</w:t>
        </w:r>
        <w:r w:rsidR="00AF4AC2" w:rsidRPr="00205C60">
          <w:rPr>
            <w:webHidden/>
          </w:rPr>
          <w:tab/>
        </w:r>
        <w:r w:rsidR="00AF4AC2" w:rsidRPr="00205C60">
          <w:rPr>
            <w:webHidden/>
          </w:rPr>
          <w:fldChar w:fldCharType="begin"/>
        </w:r>
        <w:r w:rsidR="00AF4AC2" w:rsidRPr="00205C60">
          <w:rPr>
            <w:webHidden/>
          </w:rPr>
          <w:instrText xml:space="preserve"> PAGEREF _Toc104529493 \h </w:instrText>
        </w:r>
        <w:r w:rsidR="00AF4AC2" w:rsidRPr="00205C60">
          <w:rPr>
            <w:webHidden/>
          </w:rPr>
        </w:r>
        <w:r w:rsidR="00AF4AC2" w:rsidRPr="00205C60">
          <w:rPr>
            <w:webHidden/>
          </w:rPr>
          <w:fldChar w:fldCharType="separate"/>
        </w:r>
        <w:r w:rsidR="00FF2CBC" w:rsidRPr="00205C60">
          <w:rPr>
            <w:webHidden/>
          </w:rPr>
          <w:t>72</w:t>
        </w:r>
        <w:r w:rsidR="00AF4AC2" w:rsidRPr="00205C60">
          <w:rPr>
            <w:webHidden/>
          </w:rPr>
          <w:fldChar w:fldCharType="end"/>
        </w:r>
      </w:hyperlink>
    </w:p>
    <w:p w14:paraId="553A5885" w14:textId="741FE682" w:rsidR="00AF4AC2" w:rsidRPr="00205C60" w:rsidRDefault="00000000">
      <w:pPr>
        <w:pStyle w:val="TDC2"/>
        <w:rPr>
          <w:rFonts w:asciiTheme="minorHAnsi" w:eastAsiaTheme="minorEastAsia" w:hAnsiTheme="minorHAnsi" w:cstheme="minorBidi"/>
          <w:b w:val="0"/>
          <w:sz w:val="22"/>
          <w:szCs w:val="22"/>
          <w:lang w:val="es-CR" w:eastAsia="es-CR"/>
        </w:rPr>
      </w:pPr>
      <w:hyperlink w:anchor="_Toc104529494" w:history="1">
        <w:r w:rsidR="00AF4AC2" w:rsidRPr="00205C60">
          <w:rPr>
            <w:rStyle w:val="Hipervnculo"/>
            <w:rFonts w:ascii="Verdana" w:hAnsi="Verdana"/>
          </w:rPr>
          <w:t>5.7</w:t>
        </w:r>
        <w:r w:rsidR="00AF4AC2" w:rsidRPr="00205C60">
          <w:rPr>
            <w:rFonts w:asciiTheme="minorHAnsi" w:eastAsiaTheme="minorEastAsia" w:hAnsiTheme="minorHAnsi" w:cstheme="minorBidi"/>
            <w:b w:val="0"/>
            <w:sz w:val="22"/>
            <w:szCs w:val="22"/>
            <w:lang w:val="es-CR" w:eastAsia="es-CR"/>
          </w:rPr>
          <w:tab/>
        </w:r>
        <w:r w:rsidR="00AF4AC2" w:rsidRPr="00205C60">
          <w:rPr>
            <w:rStyle w:val="Hipervnculo"/>
            <w:rFonts w:ascii="Verdana" w:hAnsi="Verdana"/>
          </w:rPr>
          <w:t>Agrupaciones Gremiales</w:t>
        </w:r>
        <w:r w:rsidR="00AF4AC2" w:rsidRPr="00205C60">
          <w:rPr>
            <w:webHidden/>
          </w:rPr>
          <w:tab/>
        </w:r>
        <w:r w:rsidR="00AF4AC2" w:rsidRPr="00205C60">
          <w:rPr>
            <w:webHidden/>
          </w:rPr>
          <w:fldChar w:fldCharType="begin"/>
        </w:r>
        <w:r w:rsidR="00AF4AC2" w:rsidRPr="00205C60">
          <w:rPr>
            <w:webHidden/>
          </w:rPr>
          <w:instrText xml:space="preserve"> PAGEREF _Toc104529494 \h </w:instrText>
        </w:r>
        <w:r w:rsidR="00AF4AC2" w:rsidRPr="00205C60">
          <w:rPr>
            <w:webHidden/>
          </w:rPr>
        </w:r>
        <w:r w:rsidR="00AF4AC2" w:rsidRPr="00205C60">
          <w:rPr>
            <w:webHidden/>
          </w:rPr>
          <w:fldChar w:fldCharType="separate"/>
        </w:r>
        <w:r w:rsidR="00FF2CBC" w:rsidRPr="00205C60">
          <w:rPr>
            <w:webHidden/>
          </w:rPr>
          <w:t>72</w:t>
        </w:r>
        <w:r w:rsidR="00AF4AC2" w:rsidRPr="00205C60">
          <w:rPr>
            <w:webHidden/>
          </w:rPr>
          <w:fldChar w:fldCharType="end"/>
        </w:r>
      </w:hyperlink>
    </w:p>
    <w:p w14:paraId="3A62C434" w14:textId="15FE567C" w:rsidR="00AF4AC2" w:rsidRPr="00205C60" w:rsidRDefault="00000000">
      <w:pPr>
        <w:pStyle w:val="TDC2"/>
        <w:rPr>
          <w:rFonts w:asciiTheme="minorHAnsi" w:eastAsiaTheme="minorEastAsia" w:hAnsiTheme="minorHAnsi" w:cstheme="minorBidi"/>
          <w:b w:val="0"/>
          <w:sz w:val="22"/>
          <w:szCs w:val="22"/>
          <w:lang w:val="es-CR" w:eastAsia="es-CR"/>
        </w:rPr>
      </w:pPr>
      <w:hyperlink w:anchor="_Toc104529495" w:history="1">
        <w:r w:rsidR="00AF4AC2" w:rsidRPr="00205C60">
          <w:rPr>
            <w:rStyle w:val="Hipervnculo"/>
            <w:rFonts w:ascii="Verdana" w:hAnsi="Verdana"/>
          </w:rPr>
          <w:t>5.8</w:t>
        </w:r>
        <w:r w:rsidR="00AF4AC2" w:rsidRPr="00205C60">
          <w:rPr>
            <w:rFonts w:asciiTheme="minorHAnsi" w:eastAsiaTheme="minorEastAsia" w:hAnsiTheme="minorHAnsi" w:cstheme="minorBidi"/>
            <w:b w:val="0"/>
            <w:sz w:val="22"/>
            <w:szCs w:val="22"/>
            <w:lang w:val="es-CR" w:eastAsia="es-CR"/>
          </w:rPr>
          <w:tab/>
        </w:r>
        <w:r w:rsidR="00AF4AC2" w:rsidRPr="00205C60">
          <w:rPr>
            <w:rStyle w:val="Hipervnculo"/>
            <w:rFonts w:ascii="Verdana" w:hAnsi="Verdana"/>
          </w:rPr>
          <w:t>Políticas Salariales y Compensatorias</w:t>
        </w:r>
        <w:r w:rsidR="00AF4AC2" w:rsidRPr="00205C60">
          <w:rPr>
            <w:webHidden/>
          </w:rPr>
          <w:tab/>
        </w:r>
        <w:r w:rsidR="00AF4AC2" w:rsidRPr="00205C60">
          <w:rPr>
            <w:webHidden/>
          </w:rPr>
          <w:fldChar w:fldCharType="begin"/>
        </w:r>
        <w:r w:rsidR="00AF4AC2" w:rsidRPr="00205C60">
          <w:rPr>
            <w:webHidden/>
          </w:rPr>
          <w:instrText xml:space="preserve"> PAGEREF _Toc104529495 \h </w:instrText>
        </w:r>
        <w:r w:rsidR="00AF4AC2" w:rsidRPr="00205C60">
          <w:rPr>
            <w:webHidden/>
          </w:rPr>
        </w:r>
        <w:r w:rsidR="00AF4AC2" w:rsidRPr="00205C60">
          <w:rPr>
            <w:webHidden/>
          </w:rPr>
          <w:fldChar w:fldCharType="separate"/>
        </w:r>
        <w:r w:rsidR="00FF2CBC" w:rsidRPr="00205C60">
          <w:rPr>
            <w:webHidden/>
          </w:rPr>
          <w:t>72</w:t>
        </w:r>
        <w:r w:rsidR="00AF4AC2" w:rsidRPr="00205C60">
          <w:rPr>
            <w:webHidden/>
          </w:rPr>
          <w:fldChar w:fldCharType="end"/>
        </w:r>
      </w:hyperlink>
    </w:p>
    <w:p w14:paraId="7A0DC937" w14:textId="1F4916D2" w:rsidR="00AF4AC2" w:rsidRPr="00205C60" w:rsidRDefault="00000000">
      <w:pPr>
        <w:pStyle w:val="TDC1"/>
        <w:rPr>
          <w:rFonts w:asciiTheme="minorHAnsi" w:eastAsiaTheme="minorEastAsia" w:hAnsiTheme="minorHAnsi" w:cstheme="minorBidi"/>
          <w:bCs w:val="0"/>
          <w:sz w:val="22"/>
          <w:szCs w:val="22"/>
          <w:lang w:val="es-CR" w:eastAsia="es-CR"/>
        </w:rPr>
      </w:pPr>
      <w:hyperlink w:anchor="_Toc104529496" w:history="1">
        <w:r w:rsidR="00AF4AC2" w:rsidRPr="00205C60">
          <w:rPr>
            <w:rStyle w:val="Hipervnculo"/>
            <w:rFonts w:ascii="Verdana" w:hAnsi="Verdana"/>
          </w:rPr>
          <w:t>CAPITULO VI</w:t>
        </w:r>
        <w:r w:rsidR="00AF4AC2" w:rsidRPr="00205C60">
          <w:rPr>
            <w:webHidden/>
          </w:rPr>
          <w:tab/>
        </w:r>
        <w:r w:rsidR="00AF4AC2" w:rsidRPr="00205C60">
          <w:rPr>
            <w:webHidden/>
          </w:rPr>
          <w:fldChar w:fldCharType="begin"/>
        </w:r>
        <w:r w:rsidR="00AF4AC2" w:rsidRPr="00205C60">
          <w:rPr>
            <w:webHidden/>
          </w:rPr>
          <w:instrText xml:space="preserve"> PAGEREF _Toc104529496 \h </w:instrText>
        </w:r>
        <w:r w:rsidR="00AF4AC2" w:rsidRPr="00205C60">
          <w:rPr>
            <w:webHidden/>
          </w:rPr>
        </w:r>
        <w:r w:rsidR="00AF4AC2" w:rsidRPr="00205C60">
          <w:rPr>
            <w:webHidden/>
          </w:rPr>
          <w:fldChar w:fldCharType="separate"/>
        </w:r>
        <w:r w:rsidR="00FF2CBC" w:rsidRPr="00205C60">
          <w:rPr>
            <w:webHidden/>
          </w:rPr>
          <w:t>74</w:t>
        </w:r>
        <w:r w:rsidR="00AF4AC2" w:rsidRPr="00205C60">
          <w:rPr>
            <w:webHidden/>
          </w:rPr>
          <w:fldChar w:fldCharType="end"/>
        </w:r>
      </w:hyperlink>
    </w:p>
    <w:p w14:paraId="7DED4A5F" w14:textId="07651775" w:rsidR="00AF4AC2" w:rsidRPr="00205C60" w:rsidRDefault="00000000">
      <w:pPr>
        <w:pStyle w:val="TDC1"/>
        <w:rPr>
          <w:rFonts w:asciiTheme="minorHAnsi" w:eastAsiaTheme="minorEastAsia" w:hAnsiTheme="minorHAnsi" w:cstheme="minorBidi"/>
          <w:bCs w:val="0"/>
          <w:sz w:val="22"/>
          <w:szCs w:val="22"/>
          <w:lang w:val="es-CR" w:eastAsia="es-CR"/>
        </w:rPr>
      </w:pPr>
      <w:hyperlink w:anchor="_Toc104529497" w:history="1">
        <w:r w:rsidR="00AF4AC2" w:rsidRPr="00205C60">
          <w:rPr>
            <w:rStyle w:val="Hipervnculo"/>
            <w:rFonts w:ascii="Verdana" w:hAnsi="Verdana"/>
          </w:rPr>
          <w:t>PARTICIPACIONES SIGNIFICATIVAS Y TRANSACCIONES CON PARTES RELACIONADAS</w:t>
        </w:r>
        <w:r w:rsidR="00AF4AC2" w:rsidRPr="00205C60">
          <w:rPr>
            <w:webHidden/>
          </w:rPr>
          <w:tab/>
        </w:r>
        <w:r w:rsidR="00AF4AC2" w:rsidRPr="00205C60">
          <w:rPr>
            <w:webHidden/>
          </w:rPr>
          <w:fldChar w:fldCharType="begin"/>
        </w:r>
        <w:r w:rsidR="00AF4AC2" w:rsidRPr="00205C60">
          <w:rPr>
            <w:webHidden/>
          </w:rPr>
          <w:instrText xml:space="preserve"> PAGEREF _Toc104529497 \h </w:instrText>
        </w:r>
        <w:r w:rsidR="00AF4AC2" w:rsidRPr="00205C60">
          <w:rPr>
            <w:webHidden/>
          </w:rPr>
        </w:r>
        <w:r w:rsidR="00AF4AC2" w:rsidRPr="00205C60">
          <w:rPr>
            <w:webHidden/>
          </w:rPr>
          <w:fldChar w:fldCharType="separate"/>
        </w:r>
        <w:r w:rsidR="00FF2CBC" w:rsidRPr="00205C60">
          <w:rPr>
            <w:webHidden/>
          </w:rPr>
          <w:t>74</w:t>
        </w:r>
        <w:r w:rsidR="00AF4AC2" w:rsidRPr="00205C60">
          <w:rPr>
            <w:webHidden/>
          </w:rPr>
          <w:fldChar w:fldCharType="end"/>
        </w:r>
      </w:hyperlink>
    </w:p>
    <w:p w14:paraId="134B2769" w14:textId="558767B3" w:rsidR="00AF4AC2" w:rsidRPr="00205C60" w:rsidRDefault="00000000">
      <w:pPr>
        <w:pStyle w:val="TDC2"/>
        <w:rPr>
          <w:rFonts w:asciiTheme="minorHAnsi" w:eastAsiaTheme="minorEastAsia" w:hAnsiTheme="minorHAnsi" w:cstheme="minorBidi"/>
          <w:b w:val="0"/>
          <w:sz w:val="22"/>
          <w:szCs w:val="22"/>
          <w:lang w:val="es-CR" w:eastAsia="es-CR"/>
        </w:rPr>
      </w:pPr>
      <w:hyperlink w:anchor="_Toc104529498" w:history="1">
        <w:r w:rsidR="00AF4AC2" w:rsidRPr="00205C60">
          <w:rPr>
            <w:rStyle w:val="Hipervnculo"/>
            <w:rFonts w:ascii="Verdana" w:hAnsi="Verdana"/>
          </w:rPr>
          <w:t>6.1</w:t>
        </w:r>
        <w:r w:rsidR="00AF4AC2" w:rsidRPr="00205C60">
          <w:rPr>
            <w:rFonts w:asciiTheme="minorHAnsi" w:eastAsiaTheme="minorEastAsia" w:hAnsiTheme="minorHAnsi" w:cstheme="minorBidi"/>
            <w:b w:val="0"/>
            <w:sz w:val="22"/>
            <w:szCs w:val="22"/>
            <w:lang w:val="es-CR" w:eastAsia="es-CR"/>
          </w:rPr>
          <w:tab/>
        </w:r>
        <w:r w:rsidR="00AF4AC2" w:rsidRPr="00205C60">
          <w:rPr>
            <w:rStyle w:val="Hipervnculo"/>
            <w:rFonts w:ascii="Verdana" w:hAnsi="Verdana"/>
          </w:rPr>
          <w:t>Participaciones significativas</w:t>
        </w:r>
        <w:r w:rsidR="00AF4AC2" w:rsidRPr="00205C60">
          <w:rPr>
            <w:webHidden/>
          </w:rPr>
          <w:tab/>
        </w:r>
        <w:r w:rsidR="00AF4AC2" w:rsidRPr="00205C60">
          <w:rPr>
            <w:webHidden/>
          </w:rPr>
          <w:fldChar w:fldCharType="begin"/>
        </w:r>
        <w:r w:rsidR="00AF4AC2" w:rsidRPr="00205C60">
          <w:rPr>
            <w:webHidden/>
          </w:rPr>
          <w:instrText xml:space="preserve"> PAGEREF _Toc104529498 \h </w:instrText>
        </w:r>
        <w:r w:rsidR="00AF4AC2" w:rsidRPr="00205C60">
          <w:rPr>
            <w:webHidden/>
          </w:rPr>
        </w:r>
        <w:r w:rsidR="00AF4AC2" w:rsidRPr="00205C60">
          <w:rPr>
            <w:webHidden/>
          </w:rPr>
          <w:fldChar w:fldCharType="separate"/>
        </w:r>
        <w:r w:rsidR="00FF2CBC" w:rsidRPr="00205C60">
          <w:rPr>
            <w:webHidden/>
          </w:rPr>
          <w:t>74</w:t>
        </w:r>
        <w:r w:rsidR="00AF4AC2" w:rsidRPr="00205C60">
          <w:rPr>
            <w:webHidden/>
          </w:rPr>
          <w:fldChar w:fldCharType="end"/>
        </w:r>
      </w:hyperlink>
    </w:p>
    <w:p w14:paraId="4533953A" w14:textId="21F0B59C" w:rsidR="00AF4AC2" w:rsidRPr="00205C60" w:rsidRDefault="00000000">
      <w:pPr>
        <w:pStyle w:val="TDC2"/>
        <w:rPr>
          <w:rFonts w:asciiTheme="minorHAnsi" w:eastAsiaTheme="minorEastAsia" w:hAnsiTheme="minorHAnsi" w:cstheme="minorBidi"/>
          <w:b w:val="0"/>
          <w:sz w:val="22"/>
          <w:szCs w:val="22"/>
          <w:lang w:val="es-CR" w:eastAsia="es-CR"/>
        </w:rPr>
      </w:pPr>
      <w:hyperlink w:anchor="_Toc104529499" w:history="1">
        <w:r w:rsidR="00AF4AC2" w:rsidRPr="00205C60">
          <w:rPr>
            <w:rStyle w:val="Hipervnculo"/>
            <w:rFonts w:ascii="Verdana" w:hAnsi="Verdana"/>
          </w:rPr>
          <w:t>6.2</w:t>
        </w:r>
        <w:r w:rsidR="00AF4AC2" w:rsidRPr="00205C60">
          <w:rPr>
            <w:rFonts w:asciiTheme="minorHAnsi" w:eastAsiaTheme="minorEastAsia" w:hAnsiTheme="minorHAnsi" w:cstheme="minorBidi"/>
            <w:b w:val="0"/>
            <w:sz w:val="22"/>
            <w:szCs w:val="22"/>
            <w:lang w:val="es-CR" w:eastAsia="es-CR"/>
          </w:rPr>
          <w:tab/>
        </w:r>
        <w:r w:rsidR="00AF4AC2" w:rsidRPr="00205C60">
          <w:rPr>
            <w:rStyle w:val="Hipervnculo"/>
            <w:rFonts w:ascii="Verdana" w:hAnsi="Verdana"/>
          </w:rPr>
          <w:t>Transacciones con partes relacionadas</w:t>
        </w:r>
        <w:r w:rsidR="00AF4AC2" w:rsidRPr="00205C60">
          <w:rPr>
            <w:webHidden/>
          </w:rPr>
          <w:tab/>
        </w:r>
        <w:r w:rsidR="00AF4AC2" w:rsidRPr="00205C60">
          <w:rPr>
            <w:webHidden/>
          </w:rPr>
          <w:fldChar w:fldCharType="begin"/>
        </w:r>
        <w:r w:rsidR="00AF4AC2" w:rsidRPr="00205C60">
          <w:rPr>
            <w:webHidden/>
          </w:rPr>
          <w:instrText xml:space="preserve"> PAGEREF _Toc104529499 \h </w:instrText>
        </w:r>
        <w:r w:rsidR="00AF4AC2" w:rsidRPr="00205C60">
          <w:rPr>
            <w:webHidden/>
          </w:rPr>
        </w:r>
        <w:r w:rsidR="00AF4AC2" w:rsidRPr="00205C60">
          <w:rPr>
            <w:webHidden/>
          </w:rPr>
          <w:fldChar w:fldCharType="separate"/>
        </w:r>
        <w:r w:rsidR="00FF2CBC" w:rsidRPr="00205C60">
          <w:rPr>
            <w:webHidden/>
          </w:rPr>
          <w:t>74</w:t>
        </w:r>
        <w:r w:rsidR="00AF4AC2" w:rsidRPr="00205C60">
          <w:rPr>
            <w:webHidden/>
          </w:rPr>
          <w:fldChar w:fldCharType="end"/>
        </w:r>
      </w:hyperlink>
    </w:p>
    <w:p w14:paraId="66F0A0BE" w14:textId="4B122678" w:rsidR="00AF4AC2" w:rsidRPr="00205C60" w:rsidRDefault="00000000">
      <w:pPr>
        <w:pStyle w:val="TDC2"/>
        <w:rPr>
          <w:rFonts w:asciiTheme="minorHAnsi" w:eastAsiaTheme="minorEastAsia" w:hAnsiTheme="minorHAnsi" w:cstheme="minorBidi"/>
          <w:b w:val="0"/>
          <w:sz w:val="22"/>
          <w:szCs w:val="22"/>
          <w:lang w:val="es-CR" w:eastAsia="es-CR"/>
        </w:rPr>
      </w:pPr>
      <w:hyperlink w:anchor="_Toc104529500" w:history="1">
        <w:r w:rsidR="00AF4AC2" w:rsidRPr="00205C60">
          <w:rPr>
            <w:rStyle w:val="Hipervnculo"/>
            <w:rFonts w:ascii="Verdana" w:hAnsi="Verdana"/>
          </w:rPr>
          <w:t>6.3</w:t>
        </w:r>
        <w:r w:rsidR="00AF4AC2" w:rsidRPr="00205C60">
          <w:rPr>
            <w:rFonts w:asciiTheme="minorHAnsi" w:eastAsiaTheme="minorEastAsia" w:hAnsiTheme="minorHAnsi" w:cstheme="minorBidi"/>
            <w:b w:val="0"/>
            <w:sz w:val="22"/>
            <w:szCs w:val="22"/>
            <w:lang w:val="es-CR" w:eastAsia="es-CR"/>
          </w:rPr>
          <w:tab/>
        </w:r>
        <w:r w:rsidR="00AF4AC2" w:rsidRPr="00205C60">
          <w:rPr>
            <w:rStyle w:val="Hipervnculo"/>
            <w:rFonts w:ascii="Verdana" w:hAnsi="Verdana"/>
          </w:rPr>
          <w:t>Participación de asesores y consejeros</w:t>
        </w:r>
        <w:r w:rsidR="00AF4AC2" w:rsidRPr="00205C60">
          <w:rPr>
            <w:webHidden/>
          </w:rPr>
          <w:tab/>
        </w:r>
        <w:r w:rsidR="00AF4AC2" w:rsidRPr="00205C60">
          <w:rPr>
            <w:webHidden/>
          </w:rPr>
          <w:fldChar w:fldCharType="begin"/>
        </w:r>
        <w:r w:rsidR="00AF4AC2" w:rsidRPr="00205C60">
          <w:rPr>
            <w:webHidden/>
          </w:rPr>
          <w:instrText xml:space="preserve"> PAGEREF _Toc104529500 \h </w:instrText>
        </w:r>
        <w:r w:rsidR="00AF4AC2" w:rsidRPr="00205C60">
          <w:rPr>
            <w:webHidden/>
          </w:rPr>
        </w:r>
        <w:r w:rsidR="00AF4AC2" w:rsidRPr="00205C60">
          <w:rPr>
            <w:webHidden/>
          </w:rPr>
          <w:fldChar w:fldCharType="separate"/>
        </w:r>
        <w:r w:rsidR="00FF2CBC" w:rsidRPr="00205C60">
          <w:rPr>
            <w:webHidden/>
          </w:rPr>
          <w:t>77</w:t>
        </w:r>
        <w:r w:rsidR="00AF4AC2" w:rsidRPr="00205C60">
          <w:rPr>
            <w:webHidden/>
          </w:rPr>
          <w:fldChar w:fldCharType="end"/>
        </w:r>
      </w:hyperlink>
    </w:p>
    <w:p w14:paraId="38538E96" w14:textId="2F8BF1B1" w:rsidR="00AF4AC2" w:rsidRPr="00205C60" w:rsidRDefault="00000000">
      <w:pPr>
        <w:pStyle w:val="TDC1"/>
        <w:rPr>
          <w:rFonts w:asciiTheme="minorHAnsi" w:eastAsiaTheme="minorEastAsia" w:hAnsiTheme="minorHAnsi" w:cstheme="minorBidi"/>
          <w:bCs w:val="0"/>
          <w:sz w:val="22"/>
          <w:szCs w:val="22"/>
          <w:lang w:val="es-CR" w:eastAsia="es-CR"/>
        </w:rPr>
      </w:pPr>
      <w:hyperlink w:anchor="_Toc104529501" w:history="1">
        <w:r w:rsidR="00AF4AC2" w:rsidRPr="00205C60">
          <w:rPr>
            <w:rStyle w:val="Hipervnculo"/>
            <w:rFonts w:ascii="Verdana" w:hAnsi="Verdana"/>
          </w:rPr>
          <w:t>CAPITULO VII</w:t>
        </w:r>
        <w:r w:rsidR="00AF4AC2" w:rsidRPr="00205C60">
          <w:rPr>
            <w:webHidden/>
          </w:rPr>
          <w:tab/>
        </w:r>
        <w:r w:rsidR="00AF4AC2" w:rsidRPr="00205C60">
          <w:rPr>
            <w:webHidden/>
          </w:rPr>
          <w:fldChar w:fldCharType="begin"/>
        </w:r>
        <w:r w:rsidR="00AF4AC2" w:rsidRPr="00205C60">
          <w:rPr>
            <w:webHidden/>
          </w:rPr>
          <w:instrText xml:space="preserve"> PAGEREF _Toc104529501 \h </w:instrText>
        </w:r>
        <w:r w:rsidR="00AF4AC2" w:rsidRPr="00205C60">
          <w:rPr>
            <w:webHidden/>
          </w:rPr>
        </w:r>
        <w:r w:rsidR="00AF4AC2" w:rsidRPr="00205C60">
          <w:rPr>
            <w:webHidden/>
          </w:rPr>
          <w:fldChar w:fldCharType="separate"/>
        </w:r>
        <w:r w:rsidR="00FF2CBC" w:rsidRPr="00205C60">
          <w:rPr>
            <w:webHidden/>
          </w:rPr>
          <w:t>78</w:t>
        </w:r>
        <w:r w:rsidR="00AF4AC2" w:rsidRPr="00205C60">
          <w:rPr>
            <w:webHidden/>
          </w:rPr>
          <w:fldChar w:fldCharType="end"/>
        </w:r>
      </w:hyperlink>
    </w:p>
    <w:p w14:paraId="3CA7E593" w14:textId="7891EA1A" w:rsidR="00237286" w:rsidRPr="00205C60" w:rsidRDefault="001333A0" w:rsidP="00237286">
      <w:pPr>
        <w:pStyle w:val="TDC1"/>
        <w:rPr>
          <w:rFonts w:ascii="Verdana" w:eastAsiaTheme="minorEastAsia" w:hAnsi="Verdana"/>
          <w:b/>
          <w:lang w:val="es-CR" w:eastAsia="es-CR"/>
        </w:rPr>
      </w:pPr>
      <w:r w:rsidRPr="00205C60">
        <w:rPr>
          <w:rFonts w:ascii="Verdana" w:hAnsi="Verdana"/>
          <w:b/>
          <w:sz w:val="22"/>
          <w:szCs w:val="22"/>
        </w:rPr>
        <w:fldChar w:fldCharType="end"/>
      </w:r>
      <w:bookmarkStart w:id="14" w:name="_Toc64699202"/>
      <w:r w:rsidR="00237286" w:rsidRPr="00205C60">
        <w:rPr>
          <w:rFonts w:ascii="Verdana" w:hAnsi="Verdana"/>
          <w:b/>
        </w:rPr>
        <w:t>INFORMACIONFINANCIERA</w:t>
      </w:r>
      <w:r w:rsidR="007B0529" w:rsidRPr="00205C60">
        <w:rPr>
          <w:rFonts w:ascii="Verdana" w:eastAsiaTheme="minorEastAsia" w:hAnsi="Verdana" w:cstheme="minorBidi"/>
          <w:b/>
          <w:lang w:val="es-CR" w:eastAsia="es-CR"/>
        </w:rPr>
        <w:t>……….</w:t>
      </w:r>
      <w:r w:rsidR="00237286" w:rsidRPr="00205C60">
        <w:rPr>
          <w:rFonts w:ascii="Verdana" w:eastAsiaTheme="minorEastAsia" w:hAnsi="Verdana" w:cstheme="minorBidi"/>
          <w:b/>
          <w:lang w:val="es-CR" w:eastAsia="es-CR"/>
        </w:rPr>
        <w:t>……………</w:t>
      </w:r>
      <w:r w:rsidR="00E45B04" w:rsidRPr="00205C60">
        <w:rPr>
          <w:rFonts w:ascii="Verdana" w:eastAsiaTheme="minorEastAsia" w:hAnsi="Verdana" w:cstheme="minorBidi"/>
          <w:b/>
          <w:lang w:val="es-CR" w:eastAsia="es-CR"/>
        </w:rPr>
        <w:t>..</w:t>
      </w:r>
      <w:r w:rsidR="0078084D" w:rsidRPr="00205C60">
        <w:rPr>
          <w:rFonts w:ascii="Verdana" w:eastAsiaTheme="minorEastAsia" w:hAnsi="Verdana" w:cstheme="minorBidi"/>
          <w:b/>
          <w:lang w:val="es-CR" w:eastAsia="es-CR"/>
        </w:rPr>
        <w:t>…….</w:t>
      </w:r>
      <w:r w:rsidR="00237286" w:rsidRPr="00205C60">
        <w:rPr>
          <w:rFonts w:ascii="Verdana" w:eastAsiaTheme="minorEastAsia" w:hAnsi="Verdana" w:cstheme="minorBidi"/>
          <w:b/>
          <w:lang w:val="es-CR" w:eastAsia="es-CR"/>
        </w:rPr>
        <w:t>……………….</w:t>
      </w:r>
      <w:r w:rsidR="007C6847" w:rsidRPr="00205C60">
        <w:rPr>
          <w:rFonts w:ascii="Verdana" w:eastAsiaTheme="minorEastAsia" w:hAnsi="Verdana"/>
          <w:b/>
          <w:lang w:val="es-CR" w:eastAsia="es-CR"/>
        </w:rPr>
        <w:t>8</w:t>
      </w:r>
      <w:r w:rsidR="00EC3BD4" w:rsidRPr="00205C60">
        <w:rPr>
          <w:rFonts w:ascii="Verdana" w:eastAsiaTheme="minorEastAsia" w:hAnsi="Verdana"/>
          <w:b/>
          <w:lang w:val="es-CR" w:eastAsia="es-CR"/>
        </w:rPr>
        <w:t>2</w:t>
      </w:r>
    </w:p>
    <w:p w14:paraId="6F6EC3EC" w14:textId="66E2E1A4" w:rsidR="0030025E" w:rsidRPr="00205C60" w:rsidRDefault="0030025E" w:rsidP="0030025E">
      <w:pPr>
        <w:ind w:firstLine="450"/>
        <w:jc w:val="both"/>
        <w:rPr>
          <w:rFonts w:ascii="Verdana" w:eastAsiaTheme="minorEastAsia" w:hAnsi="Verdana" w:cstheme="minorBidi"/>
          <w:b/>
          <w:bCs/>
          <w:noProof/>
          <w:szCs w:val="24"/>
          <w:lang w:val="es-CR" w:eastAsia="es-CR"/>
        </w:rPr>
      </w:pPr>
      <w:r w:rsidRPr="00205C60">
        <w:rPr>
          <w:rFonts w:ascii="Verdana" w:eastAsiaTheme="minorEastAsia" w:hAnsi="Verdana" w:cstheme="minorBidi"/>
          <w:b/>
          <w:bCs/>
          <w:noProof/>
          <w:szCs w:val="24"/>
          <w:lang w:val="es-CR" w:eastAsia="es-CR"/>
        </w:rPr>
        <w:t>7.1 Anexos al prospecto</w:t>
      </w:r>
      <w:r w:rsidR="00475AF6" w:rsidRPr="00205C60">
        <w:rPr>
          <w:rFonts w:ascii="Verdana" w:eastAsiaTheme="minorEastAsia" w:hAnsi="Verdana" w:cstheme="minorBidi"/>
          <w:b/>
          <w:bCs/>
          <w:noProof/>
          <w:szCs w:val="24"/>
          <w:lang w:val="es-CR" w:eastAsia="es-CR"/>
        </w:rPr>
        <w:t>…………………</w:t>
      </w:r>
      <w:r w:rsidR="00E45B04" w:rsidRPr="00205C60">
        <w:rPr>
          <w:rFonts w:ascii="Verdana" w:eastAsiaTheme="minorEastAsia" w:hAnsi="Verdana" w:cstheme="minorBidi"/>
          <w:b/>
          <w:bCs/>
          <w:noProof/>
          <w:szCs w:val="24"/>
          <w:lang w:val="es-CR" w:eastAsia="es-CR"/>
        </w:rPr>
        <w:t>……………..</w:t>
      </w:r>
      <w:r w:rsidR="00475AF6" w:rsidRPr="00205C60">
        <w:rPr>
          <w:rFonts w:ascii="Verdana" w:eastAsiaTheme="minorEastAsia" w:hAnsi="Verdana" w:cstheme="minorBidi"/>
          <w:b/>
          <w:bCs/>
          <w:noProof/>
          <w:szCs w:val="24"/>
          <w:lang w:val="es-CR" w:eastAsia="es-CR"/>
        </w:rPr>
        <w:t>…</w:t>
      </w:r>
      <w:r w:rsidR="007B0529" w:rsidRPr="00205C60">
        <w:rPr>
          <w:rFonts w:ascii="Verdana" w:eastAsiaTheme="minorEastAsia" w:hAnsi="Verdana" w:cstheme="minorBidi"/>
          <w:b/>
          <w:bCs/>
          <w:noProof/>
          <w:szCs w:val="24"/>
          <w:lang w:val="es-CR" w:eastAsia="es-CR"/>
        </w:rPr>
        <w:t>…………</w:t>
      </w:r>
      <w:r w:rsidR="00475AF6" w:rsidRPr="00205C60">
        <w:rPr>
          <w:rFonts w:ascii="Verdana" w:eastAsiaTheme="minorEastAsia" w:hAnsi="Verdana" w:cstheme="minorBidi"/>
          <w:b/>
          <w:bCs/>
          <w:noProof/>
          <w:szCs w:val="24"/>
          <w:lang w:val="es-CR" w:eastAsia="es-CR"/>
        </w:rPr>
        <w:t>…….8</w:t>
      </w:r>
      <w:r w:rsidR="00EC3BD4" w:rsidRPr="00205C60">
        <w:rPr>
          <w:rFonts w:ascii="Verdana" w:eastAsiaTheme="minorEastAsia" w:hAnsi="Verdana" w:cstheme="minorBidi"/>
          <w:b/>
          <w:bCs/>
          <w:noProof/>
          <w:szCs w:val="24"/>
          <w:lang w:val="es-CR" w:eastAsia="es-CR"/>
        </w:rPr>
        <w:t>2</w:t>
      </w:r>
    </w:p>
    <w:p w14:paraId="075F2654" w14:textId="30C672A5" w:rsidR="0030025E" w:rsidRPr="00205C60" w:rsidRDefault="0030025E" w:rsidP="0030025E">
      <w:pPr>
        <w:ind w:left="450"/>
        <w:jc w:val="both"/>
        <w:rPr>
          <w:rFonts w:ascii="Verdana" w:eastAsiaTheme="minorEastAsia" w:hAnsi="Verdana" w:cstheme="minorBidi"/>
          <w:b/>
          <w:bCs/>
          <w:noProof/>
          <w:szCs w:val="24"/>
          <w:lang w:val="es-CR" w:eastAsia="es-CR"/>
        </w:rPr>
      </w:pPr>
      <w:r w:rsidRPr="00205C60">
        <w:rPr>
          <w:rFonts w:ascii="Verdana" w:eastAsiaTheme="minorEastAsia" w:hAnsi="Verdana" w:cstheme="minorBidi"/>
          <w:b/>
          <w:bCs/>
          <w:noProof/>
          <w:szCs w:val="24"/>
          <w:lang w:val="es-CR" w:eastAsia="es-CR"/>
        </w:rPr>
        <w:t>7.2 Periodicidad de la información a los inversionistas</w:t>
      </w:r>
      <w:r w:rsidR="00475AF6" w:rsidRPr="00205C60">
        <w:rPr>
          <w:rFonts w:ascii="Verdana" w:eastAsiaTheme="minorEastAsia" w:hAnsi="Verdana" w:cstheme="minorBidi"/>
          <w:b/>
          <w:bCs/>
          <w:noProof/>
          <w:szCs w:val="24"/>
          <w:lang w:val="es-CR" w:eastAsia="es-CR"/>
        </w:rPr>
        <w:t>………</w:t>
      </w:r>
      <w:r w:rsidR="00E45B04" w:rsidRPr="00205C60">
        <w:rPr>
          <w:rFonts w:ascii="Verdana" w:eastAsiaTheme="minorEastAsia" w:hAnsi="Verdana" w:cstheme="minorBidi"/>
          <w:b/>
          <w:bCs/>
          <w:noProof/>
          <w:szCs w:val="24"/>
          <w:lang w:val="es-CR" w:eastAsia="es-CR"/>
        </w:rPr>
        <w:t>..</w:t>
      </w:r>
      <w:r w:rsidR="00475AF6" w:rsidRPr="00205C60">
        <w:rPr>
          <w:rFonts w:ascii="Verdana" w:eastAsiaTheme="minorEastAsia" w:hAnsi="Verdana" w:cstheme="minorBidi"/>
          <w:b/>
          <w:bCs/>
          <w:noProof/>
          <w:szCs w:val="24"/>
          <w:lang w:val="es-CR" w:eastAsia="es-CR"/>
        </w:rPr>
        <w:t>.8</w:t>
      </w:r>
      <w:r w:rsidR="00EC3BD4" w:rsidRPr="00205C60">
        <w:rPr>
          <w:rFonts w:ascii="Verdana" w:eastAsiaTheme="minorEastAsia" w:hAnsi="Verdana" w:cstheme="minorBidi"/>
          <w:b/>
          <w:bCs/>
          <w:noProof/>
          <w:szCs w:val="24"/>
          <w:lang w:val="es-CR" w:eastAsia="es-CR"/>
        </w:rPr>
        <w:t>2</w:t>
      </w:r>
    </w:p>
    <w:p w14:paraId="580914C6" w14:textId="77777777" w:rsidR="0030025E" w:rsidRPr="00205C60" w:rsidRDefault="0030025E" w:rsidP="0030025E">
      <w:pPr>
        <w:rPr>
          <w:rFonts w:ascii="Verdana" w:eastAsiaTheme="minorEastAsia" w:hAnsi="Verdana" w:cstheme="minorBidi"/>
          <w:b/>
          <w:bCs/>
          <w:noProof/>
          <w:szCs w:val="24"/>
          <w:lang w:val="es-CR" w:eastAsia="es-CR"/>
        </w:rPr>
      </w:pPr>
    </w:p>
    <w:p w14:paraId="3CA7E598" w14:textId="77777777" w:rsidR="005B5A89" w:rsidRPr="00205C60" w:rsidRDefault="005B5A89" w:rsidP="005B5A89">
      <w:pPr>
        <w:rPr>
          <w:rFonts w:ascii="Verdana" w:hAnsi="Verdana"/>
          <w:b/>
          <w:sz w:val="22"/>
          <w:szCs w:val="22"/>
        </w:rPr>
      </w:pPr>
    </w:p>
    <w:p w14:paraId="3CA7E599" w14:textId="77777777" w:rsidR="005B5A89" w:rsidRPr="00205C60" w:rsidRDefault="005B5A89" w:rsidP="005B5A89">
      <w:pPr>
        <w:rPr>
          <w:rFonts w:ascii="Verdana" w:hAnsi="Verdana"/>
          <w:b/>
          <w:sz w:val="22"/>
          <w:szCs w:val="22"/>
        </w:rPr>
      </w:pPr>
    </w:p>
    <w:p w14:paraId="3CA7E59A" w14:textId="77777777" w:rsidR="005B5A89" w:rsidRPr="00205C60" w:rsidRDefault="005B5A89" w:rsidP="005B5A89">
      <w:pPr>
        <w:rPr>
          <w:rFonts w:ascii="Verdana" w:hAnsi="Verdana"/>
          <w:b/>
          <w:sz w:val="22"/>
          <w:szCs w:val="22"/>
        </w:rPr>
      </w:pPr>
    </w:p>
    <w:p w14:paraId="3CA7E59B" w14:textId="77777777" w:rsidR="005B5A89" w:rsidRPr="00205C60" w:rsidRDefault="007E0F19" w:rsidP="007E0F19">
      <w:pPr>
        <w:tabs>
          <w:tab w:val="left" w:pos="3945"/>
        </w:tabs>
        <w:rPr>
          <w:rFonts w:ascii="Verdana" w:hAnsi="Verdana"/>
          <w:b/>
          <w:sz w:val="22"/>
          <w:szCs w:val="22"/>
        </w:rPr>
      </w:pPr>
      <w:r w:rsidRPr="00205C60">
        <w:rPr>
          <w:rFonts w:ascii="Verdana" w:hAnsi="Verdana"/>
          <w:b/>
          <w:sz w:val="22"/>
          <w:szCs w:val="22"/>
        </w:rPr>
        <w:tab/>
      </w:r>
    </w:p>
    <w:p w14:paraId="3CA7E59C" w14:textId="77777777" w:rsidR="0092475E" w:rsidRPr="00205C60" w:rsidRDefault="0092475E" w:rsidP="005B5A89">
      <w:pPr>
        <w:rPr>
          <w:rFonts w:ascii="Verdana" w:hAnsi="Verdana"/>
          <w:b/>
          <w:sz w:val="22"/>
          <w:szCs w:val="22"/>
        </w:rPr>
      </w:pPr>
    </w:p>
    <w:p w14:paraId="3CA7E59D" w14:textId="77777777" w:rsidR="0092475E" w:rsidRPr="00205C60" w:rsidRDefault="0092475E" w:rsidP="005B5A89">
      <w:pPr>
        <w:rPr>
          <w:rFonts w:ascii="Verdana" w:hAnsi="Verdana"/>
          <w:b/>
          <w:sz w:val="22"/>
          <w:szCs w:val="22"/>
        </w:rPr>
      </w:pPr>
    </w:p>
    <w:p w14:paraId="3CA7E59E" w14:textId="77777777" w:rsidR="005B5A89" w:rsidRPr="00205C60" w:rsidRDefault="005B5A89" w:rsidP="005B5A89">
      <w:pPr>
        <w:rPr>
          <w:rFonts w:ascii="Verdana" w:hAnsi="Verdana"/>
          <w:b/>
          <w:sz w:val="22"/>
          <w:szCs w:val="22"/>
        </w:rPr>
      </w:pPr>
    </w:p>
    <w:p w14:paraId="3CA7E59F" w14:textId="77777777" w:rsidR="00751C6A" w:rsidRPr="00205C60" w:rsidRDefault="00751C6A" w:rsidP="005B5A89">
      <w:pPr>
        <w:rPr>
          <w:rFonts w:ascii="Verdana" w:hAnsi="Verdana"/>
          <w:b/>
          <w:sz w:val="22"/>
          <w:szCs w:val="22"/>
        </w:rPr>
      </w:pPr>
    </w:p>
    <w:p w14:paraId="3CA7E5A0" w14:textId="77777777" w:rsidR="00751C6A" w:rsidRPr="00205C60" w:rsidRDefault="00751C6A" w:rsidP="005B5A89">
      <w:pPr>
        <w:rPr>
          <w:rFonts w:ascii="Verdana" w:hAnsi="Verdana"/>
          <w:b/>
          <w:sz w:val="22"/>
          <w:szCs w:val="22"/>
        </w:rPr>
      </w:pPr>
    </w:p>
    <w:p w14:paraId="3CA7E5A1" w14:textId="77777777" w:rsidR="00751C6A" w:rsidRPr="00205C60" w:rsidRDefault="00751C6A" w:rsidP="005B5A89">
      <w:pPr>
        <w:rPr>
          <w:rFonts w:ascii="Verdana" w:hAnsi="Verdana"/>
          <w:b/>
          <w:sz w:val="22"/>
          <w:szCs w:val="22"/>
        </w:rPr>
      </w:pPr>
    </w:p>
    <w:p w14:paraId="3CA7E5A2" w14:textId="77777777" w:rsidR="00751C6A" w:rsidRPr="00205C60" w:rsidRDefault="00751C6A" w:rsidP="005B5A89">
      <w:pPr>
        <w:rPr>
          <w:rFonts w:ascii="Verdana" w:hAnsi="Verdana"/>
          <w:b/>
          <w:sz w:val="22"/>
          <w:szCs w:val="22"/>
        </w:rPr>
      </w:pPr>
    </w:p>
    <w:p w14:paraId="3CA7E5A3" w14:textId="77777777" w:rsidR="00751C6A" w:rsidRPr="00205C60" w:rsidRDefault="00751C6A" w:rsidP="005B5A89">
      <w:pPr>
        <w:rPr>
          <w:rFonts w:ascii="Verdana" w:hAnsi="Verdana"/>
          <w:b/>
          <w:sz w:val="22"/>
          <w:szCs w:val="22"/>
        </w:rPr>
      </w:pPr>
    </w:p>
    <w:p w14:paraId="3CA7E5A4" w14:textId="77777777" w:rsidR="00751C6A" w:rsidRPr="00205C60" w:rsidRDefault="00751C6A" w:rsidP="005B5A89">
      <w:pPr>
        <w:rPr>
          <w:rFonts w:ascii="Verdana" w:hAnsi="Verdana"/>
          <w:b/>
          <w:sz w:val="22"/>
          <w:szCs w:val="22"/>
        </w:rPr>
      </w:pPr>
    </w:p>
    <w:p w14:paraId="3CA7E5A5" w14:textId="77777777" w:rsidR="00751C6A" w:rsidRPr="00205C60" w:rsidRDefault="00751C6A" w:rsidP="005B5A89">
      <w:pPr>
        <w:rPr>
          <w:rFonts w:ascii="Verdana" w:hAnsi="Verdana"/>
          <w:b/>
          <w:sz w:val="22"/>
          <w:szCs w:val="22"/>
        </w:rPr>
      </w:pPr>
    </w:p>
    <w:p w14:paraId="3CA7E5A6" w14:textId="77777777" w:rsidR="00751C6A" w:rsidRPr="00205C60" w:rsidRDefault="00751C6A" w:rsidP="005B5A89">
      <w:pPr>
        <w:rPr>
          <w:rFonts w:ascii="Verdana" w:hAnsi="Verdana"/>
          <w:b/>
          <w:sz w:val="22"/>
          <w:szCs w:val="22"/>
        </w:rPr>
      </w:pPr>
    </w:p>
    <w:p w14:paraId="3CA7E5A7" w14:textId="77777777" w:rsidR="00751C6A" w:rsidRPr="00205C60" w:rsidRDefault="00751C6A" w:rsidP="005B5A89">
      <w:pPr>
        <w:rPr>
          <w:rFonts w:ascii="Verdana" w:hAnsi="Verdana"/>
          <w:b/>
          <w:sz w:val="22"/>
          <w:szCs w:val="22"/>
        </w:rPr>
      </w:pPr>
    </w:p>
    <w:p w14:paraId="3CA7E5A8" w14:textId="77777777" w:rsidR="00751C6A" w:rsidRPr="00205C60" w:rsidRDefault="00751C6A" w:rsidP="005B5A89">
      <w:pPr>
        <w:rPr>
          <w:rFonts w:ascii="Verdana" w:hAnsi="Verdana"/>
          <w:b/>
          <w:sz w:val="22"/>
          <w:szCs w:val="22"/>
        </w:rPr>
      </w:pPr>
    </w:p>
    <w:p w14:paraId="3CA7E5A9" w14:textId="77777777" w:rsidR="00751C6A" w:rsidRPr="00205C60" w:rsidRDefault="00751C6A" w:rsidP="005B5A89">
      <w:pPr>
        <w:rPr>
          <w:rFonts w:ascii="Verdana" w:hAnsi="Verdana"/>
          <w:b/>
          <w:sz w:val="22"/>
          <w:szCs w:val="22"/>
        </w:rPr>
      </w:pPr>
    </w:p>
    <w:p w14:paraId="3CA7E5AA" w14:textId="77777777" w:rsidR="00751C6A" w:rsidRPr="00205C60" w:rsidRDefault="00751C6A" w:rsidP="005B5A89">
      <w:pPr>
        <w:rPr>
          <w:rFonts w:ascii="Verdana" w:hAnsi="Verdana"/>
          <w:b/>
          <w:sz w:val="22"/>
          <w:szCs w:val="22"/>
        </w:rPr>
      </w:pPr>
    </w:p>
    <w:p w14:paraId="3CA7E5AB" w14:textId="77777777" w:rsidR="00751C6A" w:rsidRPr="00205C60" w:rsidRDefault="00751C6A" w:rsidP="005B5A89">
      <w:pPr>
        <w:rPr>
          <w:rFonts w:ascii="Verdana" w:hAnsi="Verdana"/>
          <w:b/>
          <w:sz w:val="22"/>
          <w:szCs w:val="22"/>
        </w:rPr>
      </w:pPr>
    </w:p>
    <w:p w14:paraId="3CA7E5AC" w14:textId="77777777" w:rsidR="00751C6A" w:rsidRPr="00205C60" w:rsidRDefault="00751C6A" w:rsidP="005B5A89">
      <w:pPr>
        <w:rPr>
          <w:rFonts w:ascii="Verdana" w:hAnsi="Verdana"/>
          <w:b/>
          <w:sz w:val="22"/>
          <w:szCs w:val="22"/>
        </w:rPr>
      </w:pPr>
    </w:p>
    <w:p w14:paraId="3CA7E5AD" w14:textId="77777777" w:rsidR="00751C6A" w:rsidRPr="00205C60" w:rsidRDefault="00751C6A" w:rsidP="005B5A89">
      <w:pPr>
        <w:rPr>
          <w:rFonts w:ascii="Verdana" w:hAnsi="Verdana"/>
          <w:b/>
          <w:sz w:val="22"/>
          <w:szCs w:val="22"/>
        </w:rPr>
      </w:pPr>
    </w:p>
    <w:p w14:paraId="3CA7E5AE" w14:textId="77777777" w:rsidR="00C7150B" w:rsidRPr="00205C60" w:rsidRDefault="00C7150B" w:rsidP="005B5A89">
      <w:pPr>
        <w:rPr>
          <w:rFonts w:ascii="Verdana" w:hAnsi="Verdana"/>
          <w:b/>
          <w:sz w:val="22"/>
          <w:szCs w:val="22"/>
        </w:rPr>
      </w:pPr>
    </w:p>
    <w:p w14:paraId="3CA7E5AF" w14:textId="77777777" w:rsidR="00C7150B" w:rsidRPr="00205C60" w:rsidRDefault="00C7150B" w:rsidP="005B5A89">
      <w:pPr>
        <w:rPr>
          <w:rFonts w:ascii="Verdana" w:hAnsi="Verdana"/>
          <w:b/>
          <w:sz w:val="22"/>
          <w:szCs w:val="22"/>
        </w:rPr>
      </w:pPr>
    </w:p>
    <w:p w14:paraId="3CA7E5B0" w14:textId="77777777" w:rsidR="00C7150B" w:rsidRPr="00205C60" w:rsidRDefault="00C7150B" w:rsidP="005B5A89">
      <w:pPr>
        <w:rPr>
          <w:rFonts w:ascii="Verdana" w:hAnsi="Verdana"/>
          <w:b/>
          <w:sz w:val="22"/>
          <w:szCs w:val="22"/>
        </w:rPr>
      </w:pPr>
    </w:p>
    <w:p w14:paraId="3CA7E5B1" w14:textId="77777777" w:rsidR="00C7150B" w:rsidRPr="00205C60" w:rsidRDefault="00C7150B" w:rsidP="005B5A89">
      <w:pPr>
        <w:rPr>
          <w:rFonts w:ascii="Verdana" w:hAnsi="Verdana"/>
          <w:b/>
          <w:sz w:val="22"/>
          <w:szCs w:val="22"/>
        </w:rPr>
      </w:pPr>
    </w:p>
    <w:p w14:paraId="3CA7E5B2" w14:textId="77777777" w:rsidR="00C7150B" w:rsidRPr="00205C60" w:rsidRDefault="00C7150B" w:rsidP="005B5A89">
      <w:pPr>
        <w:rPr>
          <w:rFonts w:ascii="Verdana" w:hAnsi="Verdana"/>
          <w:b/>
          <w:sz w:val="22"/>
          <w:szCs w:val="22"/>
        </w:rPr>
      </w:pPr>
    </w:p>
    <w:p w14:paraId="3CA7E5B3" w14:textId="77777777" w:rsidR="00C7150B" w:rsidRPr="00205C60" w:rsidRDefault="00C7150B" w:rsidP="005B5A89">
      <w:pPr>
        <w:rPr>
          <w:rFonts w:ascii="Verdana" w:hAnsi="Verdana"/>
          <w:b/>
          <w:sz w:val="22"/>
          <w:szCs w:val="22"/>
        </w:rPr>
      </w:pPr>
    </w:p>
    <w:p w14:paraId="3CA7E5B4" w14:textId="77777777" w:rsidR="00C7150B" w:rsidRPr="00205C60" w:rsidRDefault="00C7150B" w:rsidP="005B5A89">
      <w:pPr>
        <w:rPr>
          <w:rFonts w:ascii="Verdana" w:hAnsi="Verdana"/>
          <w:b/>
          <w:sz w:val="22"/>
          <w:szCs w:val="22"/>
        </w:rPr>
      </w:pPr>
    </w:p>
    <w:p w14:paraId="3CA7E5B5" w14:textId="77777777" w:rsidR="00C7150B" w:rsidRPr="00205C60" w:rsidRDefault="00C7150B" w:rsidP="005B5A89">
      <w:pPr>
        <w:rPr>
          <w:rFonts w:ascii="Verdana" w:hAnsi="Verdana"/>
          <w:b/>
          <w:sz w:val="22"/>
          <w:szCs w:val="22"/>
        </w:rPr>
      </w:pPr>
    </w:p>
    <w:p w14:paraId="3CA7E5B6" w14:textId="77777777" w:rsidR="00C7150B" w:rsidRPr="00205C60" w:rsidRDefault="00C7150B" w:rsidP="005B5A89">
      <w:pPr>
        <w:rPr>
          <w:rFonts w:ascii="Verdana" w:hAnsi="Verdana"/>
          <w:b/>
          <w:sz w:val="22"/>
          <w:szCs w:val="22"/>
        </w:rPr>
      </w:pPr>
    </w:p>
    <w:p w14:paraId="3CA7E5B7" w14:textId="77777777" w:rsidR="00C7150B" w:rsidRPr="00205C60" w:rsidRDefault="00C7150B" w:rsidP="005B5A89">
      <w:pPr>
        <w:rPr>
          <w:rFonts w:ascii="Verdana" w:hAnsi="Verdana"/>
          <w:b/>
          <w:sz w:val="22"/>
          <w:szCs w:val="22"/>
        </w:rPr>
      </w:pPr>
    </w:p>
    <w:p w14:paraId="3CA7E5B8" w14:textId="77777777" w:rsidR="00751C6A" w:rsidRPr="00205C60" w:rsidRDefault="00751C6A" w:rsidP="005B5A89">
      <w:pPr>
        <w:rPr>
          <w:rFonts w:ascii="Verdana" w:hAnsi="Verdana"/>
          <w:b/>
          <w:sz w:val="22"/>
          <w:szCs w:val="22"/>
        </w:rPr>
      </w:pPr>
    </w:p>
    <w:p w14:paraId="3CA7E5B9" w14:textId="77777777" w:rsidR="007E23CC" w:rsidRPr="00205C60" w:rsidRDefault="007E23CC" w:rsidP="005B5A89">
      <w:pPr>
        <w:rPr>
          <w:rFonts w:ascii="Verdana" w:hAnsi="Verdana"/>
          <w:b/>
          <w:sz w:val="22"/>
          <w:szCs w:val="22"/>
        </w:rPr>
      </w:pPr>
    </w:p>
    <w:p w14:paraId="3CA7E5BA" w14:textId="77777777" w:rsidR="00FF0E3A" w:rsidRPr="00205C60" w:rsidRDefault="00FF0E3A" w:rsidP="005B5A89">
      <w:pPr>
        <w:rPr>
          <w:rFonts w:ascii="Verdana" w:hAnsi="Verdana"/>
          <w:b/>
          <w:sz w:val="22"/>
          <w:szCs w:val="22"/>
        </w:rPr>
      </w:pPr>
    </w:p>
    <w:p w14:paraId="3CA7E5BB" w14:textId="77777777" w:rsidR="00FF0E3A" w:rsidRPr="00205C60" w:rsidRDefault="00FF0E3A" w:rsidP="005B5A89">
      <w:pPr>
        <w:rPr>
          <w:rFonts w:ascii="Verdana" w:hAnsi="Verdana"/>
          <w:b/>
          <w:sz w:val="22"/>
          <w:szCs w:val="22"/>
        </w:rPr>
      </w:pPr>
    </w:p>
    <w:p w14:paraId="3CA7E5BC" w14:textId="77777777" w:rsidR="003E6650" w:rsidRPr="00205C60" w:rsidRDefault="003E6650" w:rsidP="005B5A89">
      <w:pPr>
        <w:rPr>
          <w:rFonts w:ascii="Verdana" w:hAnsi="Verdana"/>
          <w:b/>
          <w:sz w:val="22"/>
          <w:szCs w:val="22"/>
        </w:rPr>
      </w:pPr>
    </w:p>
    <w:p w14:paraId="3CA7E5BD" w14:textId="77777777" w:rsidR="003E6650" w:rsidRPr="00205C60" w:rsidRDefault="003E6650" w:rsidP="005B5A89">
      <w:pPr>
        <w:rPr>
          <w:rFonts w:ascii="Verdana" w:hAnsi="Verdana"/>
          <w:b/>
          <w:sz w:val="22"/>
          <w:szCs w:val="22"/>
        </w:rPr>
      </w:pPr>
    </w:p>
    <w:p w14:paraId="3CA7E5C3" w14:textId="77777777" w:rsidR="00B44125" w:rsidRPr="00205C60" w:rsidRDefault="00B44125" w:rsidP="00B00B62">
      <w:pPr>
        <w:pStyle w:val="Ttulo1"/>
        <w:numPr>
          <w:ilvl w:val="0"/>
          <w:numId w:val="0"/>
        </w:numPr>
        <w:jc w:val="center"/>
        <w:rPr>
          <w:rFonts w:ascii="Verdana" w:hAnsi="Verdana" w:cs="Arial"/>
          <w:bCs/>
          <w:sz w:val="22"/>
          <w:szCs w:val="22"/>
        </w:rPr>
      </w:pPr>
      <w:bookmarkStart w:id="15" w:name="_Toc104529437"/>
      <w:r w:rsidRPr="00205C60">
        <w:rPr>
          <w:rFonts w:ascii="Verdana" w:hAnsi="Verdana" w:cs="Arial"/>
          <w:bCs/>
          <w:sz w:val="22"/>
          <w:szCs w:val="22"/>
        </w:rPr>
        <w:t>CAPITULO I</w:t>
      </w:r>
      <w:bookmarkStart w:id="16" w:name="_Toc64695493"/>
      <w:bookmarkEnd w:id="15"/>
    </w:p>
    <w:p w14:paraId="3CA7E5C4" w14:textId="77777777" w:rsidR="00B44125" w:rsidRPr="00205C60" w:rsidRDefault="00B44125">
      <w:pPr>
        <w:pStyle w:val="Ttulo1"/>
        <w:numPr>
          <w:ilvl w:val="0"/>
          <w:numId w:val="0"/>
        </w:numPr>
        <w:jc w:val="center"/>
        <w:rPr>
          <w:rFonts w:ascii="Verdana" w:hAnsi="Verdana" w:cs="Arial"/>
          <w:bCs/>
          <w:sz w:val="22"/>
          <w:szCs w:val="22"/>
        </w:rPr>
      </w:pPr>
      <w:bookmarkStart w:id="17" w:name="_Toc104529438"/>
      <w:r w:rsidRPr="00205C60">
        <w:rPr>
          <w:rFonts w:ascii="Verdana" w:hAnsi="Verdana" w:cs="Arial"/>
          <w:bCs/>
          <w:sz w:val="22"/>
          <w:szCs w:val="22"/>
        </w:rPr>
        <w:t>CARACTERÍSTICAS DE LA EMISIÓN</w:t>
      </w:r>
      <w:bookmarkEnd w:id="5"/>
      <w:bookmarkEnd w:id="6"/>
      <w:bookmarkEnd w:id="7"/>
      <w:bookmarkEnd w:id="8"/>
      <w:bookmarkEnd w:id="9"/>
      <w:bookmarkEnd w:id="10"/>
      <w:bookmarkEnd w:id="11"/>
      <w:bookmarkEnd w:id="12"/>
      <w:bookmarkEnd w:id="13"/>
      <w:bookmarkEnd w:id="14"/>
      <w:bookmarkEnd w:id="16"/>
      <w:bookmarkEnd w:id="17"/>
    </w:p>
    <w:p w14:paraId="3CA7E5C5" w14:textId="77777777" w:rsidR="00B00B62" w:rsidRPr="00205C60" w:rsidRDefault="00B00B62">
      <w:pPr>
        <w:rPr>
          <w:rFonts w:ascii="Verdana" w:hAnsi="Verdana" w:cs="Arial"/>
          <w:sz w:val="22"/>
          <w:szCs w:val="22"/>
        </w:rPr>
      </w:pPr>
    </w:p>
    <w:p w14:paraId="3CA7E5C6" w14:textId="77777777" w:rsidR="00DB5038" w:rsidRPr="00205C60" w:rsidRDefault="00DB5038">
      <w:pPr>
        <w:rPr>
          <w:rFonts w:ascii="Verdana" w:hAnsi="Verdana" w:cs="Arial"/>
          <w:sz w:val="22"/>
          <w:szCs w:val="22"/>
        </w:rPr>
      </w:pPr>
    </w:p>
    <w:p w14:paraId="3CA7E5C7" w14:textId="77777777" w:rsidR="00051F09" w:rsidRPr="00205C60" w:rsidRDefault="00051F09" w:rsidP="00882F32">
      <w:pPr>
        <w:pStyle w:val="Ttulo2"/>
        <w:numPr>
          <w:ilvl w:val="1"/>
          <w:numId w:val="18"/>
        </w:numPr>
        <w:rPr>
          <w:rFonts w:ascii="Verdana" w:hAnsi="Verdana" w:cs="Arial"/>
          <w:sz w:val="22"/>
          <w:szCs w:val="22"/>
        </w:rPr>
      </w:pPr>
      <w:r w:rsidRPr="00205C60">
        <w:rPr>
          <w:rFonts w:ascii="Verdana" w:hAnsi="Verdana" w:cs="Arial"/>
          <w:sz w:val="22"/>
          <w:szCs w:val="22"/>
        </w:rPr>
        <w:t xml:space="preserve">  </w:t>
      </w:r>
      <w:bookmarkStart w:id="18" w:name="_Toc104529439"/>
      <w:r w:rsidRPr="00205C60">
        <w:rPr>
          <w:rFonts w:ascii="Verdana" w:hAnsi="Verdana" w:cs="Arial"/>
          <w:sz w:val="22"/>
          <w:szCs w:val="22"/>
        </w:rPr>
        <w:t>Información sobre la emisión y la oferta</w:t>
      </w:r>
      <w:bookmarkEnd w:id="18"/>
    </w:p>
    <w:p w14:paraId="3CA7E5C8" w14:textId="77777777" w:rsidR="00731454" w:rsidRPr="00205C60" w:rsidRDefault="00731454" w:rsidP="008D0232">
      <w:pPr>
        <w:rPr>
          <w:rFonts w:ascii="Verdana" w:hAnsi="Verdana" w:cs="Arial"/>
          <w:sz w:val="22"/>
          <w:szCs w:val="22"/>
        </w:rPr>
      </w:pPr>
    </w:p>
    <w:p w14:paraId="3CA7E5C9" w14:textId="77777777" w:rsidR="008D0232" w:rsidRPr="00205C60" w:rsidRDefault="008D0232" w:rsidP="008D0232">
      <w:pPr>
        <w:rPr>
          <w:rFonts w:ascii="Verdana" w:hAnsi="Verdana" w:cs="Arial"/>
          <w:sz w:val="22"/>
          <w:szCs w:val="22"/>
        </w:rPr>
      </w:pPr>
      <w:r w:rsidRPr="00205C60">
        <w:rPr>
          <w:rFonts w:ascii="Verdana" w:hAnsi="Verdana" w:cs="Arial"/>
          <w:sz w:val="22"/>
          <w:szCs w:val="22"/>
        </w:rPr>
        <w:t>Las características del</w:t>
      </w:r>
      <w:r w:rsidR="00237F6D" w:rsidRPr="00205C60">
        <w:rPr>
          <w:rFonts w:ascii="Verdana" w:hAnsi="Verdana" w:cs="Arial"/>
          <w:sz w:val="22"/>
          <w:szCs w:val="22"/>
        </w:rPr>
        <w:t xml:space="preserve"> Programa de </w:t>
      </w:r>
      <w:r w:rsidRPr="00205C60">
        <w:rPr>
          <w:rFonts w:ascii="Verdana" w:hAnsi="Verdana" w:cs="Arial"/>
          <w:sz w:val="22"/>
          <w:szCs w:val="22"/>
        </w:rPr>
        <w:t>Emisi</w:t>
      </w:r>
      <w:r w:rsidR="00237F6D" w:rsidRPr="00205C60">
        <w:rPr>
          <w:rFonts w:ascii="Verdana" w:hAnsi="Verdana" w:cs="Arial"/>
          <w:sz w:val="22"/>
          <w:szCs w:val="22"/>
        </w:rPr>
        <w:t>ones</w:t>
      </w:r>
      <w:r w:rsidRPr="00205C60">
        <w:rPr>
          <w:rFonts w:ascii="Verdana" w:hAnsi="Verdana" w:cs="Arial"/>
          <w:sz w:val="22"/>
          <w:szCs w:val="22"/>
        </w:rPr>
        <w:t xml:space="preserve"> de Bonos Estandarizados Serie B se detallan a continuación:</w:t>
      </w:r>
    </w:p>
    <w:p w14:paraId="3CA7E5CA" w14:textId="77777777" w:rsidR="00DB5038" w:rsidRPr="00205C60" w:rsidRDefault="00DB5038" w:rsidP="008D0232">
      <w:pPr>
        <w:rPr>
          <w:rFonts w:ascii="Verdana" w:hAnsi="Verdana" w:cs="Arial"/>
          <w:sz w:val="22"/>
          <w:szCs w:val="22"/>
        </w:rPr>
      </w:pPr>
    </w:p>
    <w:p w14:paraId="3CA7E5CB" w14:textId="77777777" w:rsidR="00303CD5" w:rsidRPr="00205C60" w:rsidRDefault="00303CD5" w:rsidP="008D0232">
      <w:pPr>
        <w:jc w:val="both"/>
        <w:rPr>
          <w:rFonts w:ascii="Verdana" w:hAnsi="Verdana"/>
          <w:sz w:val="22"/>
          <w:szCs w:val="22"/>
        </w:rPr>
      </w:pPr>
    </w:p>
    <w:tbl>
      <w:tblPr>
        <w:tblW w:w="39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83"/>
        <w:gridCol w:w="4148"/>
      </w:tblGrid>
      <w:tr w:rsidR="008D0232" w:rsidRPr="00205C60" w14:paraId="3CA7E5CE" w14:textId="77777777" w:rsidTr="00B00B62">
        <w:trPr>
          <w:trHeight w:val="263"/>
          <w:jc w:val="center"/>
        </w:trPr>
        <w:tc>
          <w:tcPr>
            <w:tcW w:w="2132" w:type="pct"/>
            <w:tcBorders>
              <w:top w:val="single" w:sz="4" w:space="0" w:color="auto"/>
            </w:tcBorders>
            <w:shd w:val="clear" w:color="auto" w:fill="auto"/>
            <w:vAlign w:val="center"/>
          </w:tcPr>
          <w:p w14:paraId="3CA7E5CC" w14:textId="77777777" w:rsidR="008D0232" w:rsidRPr="00205C60" w:rsidRDefault="00C1345E" w:rsidP="00B00B62">
            <w:pPr>
              <w:ind w:left="-15"/>
              <w:rPr>
                <w:rFonts w:ascii="Verdana" w:hAnsi="Verdana" w:cs="Arial"/>
                <w:sz w:val="22"/>
                <w:szCs w:val="22"/>
              </w:rPr>
            </w:pPr>
            <w:r w:rsidRPr="00205C60">
              <w:rPr>
                <w:rFonts w:ascii="Verdana" w:hAnsi="Verdana" w:cs="Arial"/>
                <w:sz w:val="22"/>
                <w:szCs w:val="22"/>
              </w:rPr>
              <w:t>TIPO DE EMISIONES</w:t>
            </w:r>
          </w:p>
        </w:tc>
        <w:tc>
          <w:tcPr>
            <w:tcW w:w="2868" w:type="pct"/>
            <w:tcBorders>
              <w:top w:val="single" w:sz="4" w:space="0" w:color="auto"/>
            </w:tcBorders>
            <w:shd w:val="clear" w:color="auto" w:fill="auto"/>
            <w:vAlign w:val="center"/>
          </w:tcPr>
          <w:p w14:paraId="3CA7E5CD" w14:textId="77777777" w:rsidR="008D0232" w:rsidRPr="00205C60" w:rsidRDefault="00871C8A" w:rsidP="00B00B62">
            <w:pPr>
              <w:ind w:right="200"/>
              <w:rPr>
                <w:rFonts w:ascii="Verdana" w:hAnsi="Verdana" w:cs="Arial"/>
                <w:sz w:val="22"/>
                <w:szCs w:val="22"/>
              </w:rPr>
            </w:pPr>
            <w:r w:rsidRPr="00205C60">
              <w:rPr>
                <w:rFonts w:ascii="Verdana" w:hAnsi="Verdana" w:cs="Arial"/>
                <w:sz w:val="22"/>
                <w:szCs w:val="22"/>
              </w:rPr>
              <w:t>BONOS</w:t>
            </w:r>
          </w:p>
        </w:tc>
      </w:tr>
      <w:tr w:rsidR="008D0232" w:rsidRPr="00205C60" w14:paraId="3CA7E5D1" w14:textId="77777777" w:rsidTr="00B00B62">
        <w:trPr>
          <w:trHeight w:val="263"/>
          <w:jc w:val="center"/>
        </w:trPr>
        <w:tc>
          <w:tcPr>
            <w:tcW w:w="2132" w:type="pct"/>
            <w:tcBorders>
              <w:top w:val="single" w:sz="4" w:space="0" w:color="FFFFFF"/>
            </w:tcBorders>
            <w:shd w:val="clear" w:color="auto" w:fill="auto"/>
            <w:vAlign w:val="center"/>
          </w:tcPr>
          <w:p w14:paraId="3CA7E5CF" w14:textId="77777777" w:rsidR="008D0232" w:rsidRPr="00205C60" w:rsidRDefault="008D0232" w:rsidP="00B00B62">
            <w:pPr>
              <w:ind w:left="-70" w:firstLine="55"/>
              <w:rPr>
                <w:rFonts w:ascii="Verdana" w:hAnsi="Verdana" w:cs="Arial"/>
                <w:sz w:val="22"/>
                <w:szCs w:val="22"/>
              </w:rPr>
            </w:pPr>
            <w:r w:rsidRPr="00205C60">
              <w:rPr>
                <w:rFonts w:ascii="Verdana" w:hAnsi="Verdana" w:cs="Arial"/>
                <w:sz w:val="22"/>
                <w:szCs w:val="22"/>
              </w:rPr>
              <w:t>S</w:t>
            </w:r>
            <w:r w:rsidR="00B30275" w:rsidRPr="00205C60">
              <w:rPr>
                <w:rFonts w:ascii="Verdana" w:hAnsi="Verdana" w:cs="Arial"/>
                <w:sz w:val="22"/>
                <w:szCs w:val="22"/>
              </w:rPr>
              <w:t>ERIES</w:t>
            </w:r>
            <w:r w:rsidRPr="00205C60">
              <w:rPr>
                <w:rFonts w:ascii="Verdana" w:hAnsi="Verdana" w:cs="Arial"/>
                <w:sz w:val="22"/>
                <w:szCs w:val="22"/>
              </w:rPr>
              <w:t xml:space="preserve"> </w:t>
            </w:r>
            <w:r w:rsidRPr="00205C60">
              <w:rPr>
                <w:rFonts w:ascii="Verdana" w:hAnsi="Verdana" w:cs="Arial"/>
                <w:sz w:val="22"/>
                <w:szCs w:val="22"/>
                <w:vertAlign w:val="subscript"/>
              </w:rPr>
              <w:t>1</w:t>
            </w:r>
          </w:p>
        </w:tc>
        <w:tc>
          <w:tcPr>
            <w:tcW w:w="2868" w:type="pct"/>
            <w:tcBorders>
              <w:top w:val="single" w:sz="4" w:space="0" w:color="FFFFFF"/>
            </w:tcBorders>
            <w:shd w:val="clear" w:color="auto" w:fill="auto"/>
            <w:vAlign w:val="center"/>
          </w:tcPr>
          <w:p w14:paraId="3CA7E5D0" w14:textId="77777777" w:rsidR="008D0232" w:rsidRPr="00205C60" w:rsidRDefault="008D0232" w:rsidP="00B00B62">
            <w:pPr>
              <w:ind w:right="200"/>
              <w:rPr>
                <w:rFonts w:ascii="Verdana" w:hAnsi="Verdana" w:cs="Arial"/>
                <w:sz w:val="22"/>
                <w:szCs w:val="22"/>
              </w:rPr>
            </w:pPr>
            <w:r w:rsidRPr="00205C60">
              <w:rPr>
                <w:rFonts w:ascii="Verdana" w:hAnsi="Verdana" w:cs="Arial"/>
                <w:sz w:val="22"/>
                <w:szCs w:val="22"/>
              </w:rPr>
              <w:t>A definirse previo a la colocación de cada serie mediante comunicado de Hecho Relevante</w:t>
            </w:r>
          </w:p>
        </w:tc>
      </w:tr>
      <w:tr w:rsidR="008D0232" w:rsidRPr="00205C60" w14:paraId="3CA7E5D4" w14:textId="77777777" w:rsidTr="00B00B62">
        <w:trPr>
          <w:trHeight w:val="263"/>
          <w:jc w:val="center"/>
        </w:trPr>
        <w:tc>
          <w:tcPr>
            <w:tcW w:w="2132" w:type="pct"/>
            <w:tcBorders>
              <w:top w:val="single" w:sz="4" w:space="0" w:color="FFFFFF"/>
            </w:tcBorders>
            <w:shd w:val="clear" w:color="auto" w:fill="auto"/>
            <w:vAlign w:val="center"/>
          </w:tcPr>
          <w:p w14:paraId="3CA7E5D2" w14:textId="77777777" w:rsidR="008D0232" w:rsidRPr="00205C60" w:rsidRDefault="008D0232" w:rsidP="00B00B62">
            <w:pPr>
              <w:ind w:left="-70" w:firstLine="70"/>
              <w:rPr>
                <w:rFonts w:ascii="Verdana" w:hAnsi="Verdana" w:cs="Arial"/>
                <w:sz w:val="22"/>
                <w:szCs w:val="22"/>
              </w:rPr>
            </w:pPr>
            <w:r w:rsidRPr="00205C60">
              <w:rPr>
                <w:rFonts w:ascii="Verdana" w:hAnsi="Verdana" w:cs="Arial"/>
                <w:sz w:val="22"/>
                <w:szCs w:val="22"/>
              </w:rPr>
              <w:t>C</w:t>
            </w:r>
            <w:r w:rsidR="00B30275" w:rsidRPr="00205C60">
              <w:rPr>
                <w:rFonts w:ascii="Verdana" w:hAnsi="Verdana" w:cs="Arial"/>
                <w:sz w:val="22"/>
                <w:szCs w:val="22"/>
              </w:rPr>
              <w:t>ODIGO</w:t>
            </w:r>
            <w:r w:rsidRPr="00205C60">
              <w:rPr>
                <w:rFonts w:ascii="Verdana" w:hAnsi="Verdana" w:cs="Arial"/>
                <w:sz w:val="22"/>
                <w:szCs w:val="22"/>
              </w:rPr>
              <w:t xml:space="preserve"> ISIN </w:t>
            </w:r>
            <w:r w:rsidRPr="00205C60">
              <w:rPr>
                <w:rFonts w:ascii="Verdana" w:hAnsi="Verdana" w:cs="Arial"/>
                <w:sz w:val="22"/>
                <w:szCs w:val="22"/>
                <w:vertAlign w:val="subscript"/>
              </w:rPr>
              <w:t>1</w:t>
            </w:r>
          </w:p>
        </w:tc>
        <w:tc>
          <w:tcPr>
            <w:tcW w:w="2868" w:type="pct"/>
            <w:tcBorders>
              <w:top w:val="single" w:sz="4" w:space="0" w:color="FFFFFF"/>
            </w:tcBorders>
            <w:shd w:val="clear" w:color="auto" w:fill="auto"/>
            <w:vAlign w:val="center"/>
          </w:tcPr>
          <w:p w14:paraId="3CA7E5D3" w14:textId="77777777" w:rsidR="008D0232" w:rsidRPr="00205C60" w:rsidRDefault="008D0232" w:rsidP="00B00B62">
            <w:pPr>
              <w:ind w:right="80"/>
              <w:rPr>
                <w:rFonts w:ascii="Verdana" w:hAnsi="Verdana" w:cs="Arial"/>
                <w:sz w:val="22"/>
                <w:szCs w:val="22"/>
              </w:rPr>
            </w:pPr>
            <w:r w:rsidRPr="00205C60">
              <w:rPr>
                <w:rFonts w:ascii="Verdana" w:hAnsi="Verdana" w:cs="Arial"/>
                <w:sz w:val="22"/>
                <w:szCs w:val="22"/>
              </w:rPr>
              <w:t>A definirse previo a la colocación de cada serie mediante comunicado de Hecho Relevante</w:t>
            </w:r>
          </w:p>
        </w:tc>
      </w:tr>
      <w:tr w:rsidR="008D0232" w:rsidRPr="00205C60" w14:paraId="3CA7E5D7" w14:textId="77777777" w:rsidTr="00B00B62">
        <w:trPr>
          <w:trHeight w:val="263"/>
          <w:jc w:val="center"/>
        </w:trPr>
        <w:tc>
          <w:tcPr>
            <w:tcW w:w="2132" w:type="pct"/>
            <w:tcBorders>
              <w:top w:val="single" w:sz="4" w:space="0" w:color="FFFFFF"/>
            </w:tcBorders>
            <w:shd w:val="clear" w:color="auto" w:fill="auto"/>
            <w:vAlign w:val="center"/>
          </w:tcPr>
          <w:p w14:paraId="3CA7E5D5" w14:textId="77777777" w:rsidR="008D0232" w:rsidRPr="00205C60" w:rsidRDefault="008D0232" w:rsidP="00B00B62">
            <w:pPr>
              <w:ind w:left="-70" w:firstLine="70"/>
              <w:rPr>
                <w:rFonts w:ascii="Verdana" w:hAnsi="Verdana" w:cs="Arial"/>
                <w:sz w:val="22"/>
                <w:szCs w:val="22"/>
              </w:rPr>
            </w:pPr>
            <w:r w:rsidRPr="00205C60">
              <w:rPr>
                <w:rFonts w:ascii="Verdana" w:hAnsi="Verdana" w:cs="Arial"/>
                <w:sz w:val="22"/>
                <w:szCs w:val="22"/>
              </w:rPr>
              <w:t>N</w:t>
            </w:r>
            <w:r w:rsidR="00B30275" w:rsidRPr="00205C60">
              <w:rPr>
                <w:rFonts w:ascii="Verdana" w:hAnsi="Verdana" w:cs="Arial"/>
                <w:sz w:val="22"/>
                <w:szCs w:val="22"/>
              </w:rPr>
              <w:t>EMOTECNICO</w:t>
            </w:r>
            <w:r w:rsidRPr="00205C60">
              <w:rPr>
                <w:rFonts w:ascii="Verdana" w:hAnsi="Verdana" w:cs="Arial"/>
                <w:sz w:val="22"/>
                <w:szCs w:val="22"/>
              </w:rPr>
              <w:t xml:space="preserve"> </w:t>
            </w:r>
            <w:r w:rsidRPr="00205C60">
              <w:rPr>
                <w:rFonts w:ascii="Verdana" w:hAnsi="Verdana" w:cs="Arial"/>
                <w:sz w:val="22"/>
                <w:szCs w:val="22"/>
                <w:vertAlign w:val="subscript"/>
              </w:rPr>
              <w:t>1</w:t>
            </w:r>
          </w:p>
        </w:tc>
        <w:tc>
          <w:tcPr>
            <w:tcW w:w="2868" w:type="pct"/>
            <w:tcBorders>
              <w:top w:val="single" w:sz="4" w:space="0" w:color="FFFFFF"/>
            </w:tcBorders>
            <w:shd w:val="clear" w:color="auto" w:fill="auto"/>
            <w:vAlign w:val="center"/>
          </w:tcPr>
          <w:p w14:paraId="3CA7E5D6" w14:textId="77777777" w:rsidR="008D0232" w:rsidRPr="00205C60" w:rsidRDefault="008D0232" w:rsidP="00B00B62">
            <w:pPr>
              <w:ind w:right="80"/>
              <w:rPr>
                <w:rFonts w:ascii="Verdana" w:hAnsi="Verdana" w:cs="Arial"/>
                <w:sz w:val="22"/>
                <w:szCs w:val="22"/>
              </w:rPr>
            </w:pPr>
            <w:r w:rsidRPr="00205C60">
              <w:rPr>
                <w:rFonts w:ascii="Verdana" w:hAnsi="Verdana" w:cs="Arial"/>
                <w:sz w:val="22"/>
                <w:szCs w:val="22"/>
              </w:rPr>
              <w:t>A definirse previo a la colocación de cada serie mediante comunicado de Hecho Relevante</w:t>
            </w:r>
          </w:p>
        </w:tc>
      </w:tr>
      <w:tr w:rsidR="008D0232" w:rsidRPr="00205C60" w14:paraId="3CA7E5DA" w14:textId="77777777" w:rsidTr="00B00B62">
        <w:trPr>
          <w:trHeight w:val="263"/>
          <w:jc w:val="center"/>
        </w:trPr>
        <w:tc>
          <w:tcPr>
            <w:tcW w:w="2132" w:type="pct"/>
            <w:tcBorders>
              <w:top w:val="single" w:sz="4" w:space="0" w:color="FFFFFF"/>
            </w:tcBorders>
            <w:shd w:val="clear" w:color="auto" w:fill="auto"/>
            <w:vAlign w:val="center"/>
          </w:tcPr>
          <w:p w14:paraId="3CA7E5D8" w14:textId="77777777" w:rsidR="008D0232" w:rsidRPr="00205C60" w:rsidRDefault="00B30275" w:rsidP="00B00B62">
            <w:pPr>
              <w:ind w:left="-70" w:firstLine="70"/>
              <w:rPr>
                <w:rFonts w:ascii="Verdana" w:hAnsi="Verdana" w:cs="Arial"/>
                <w:sz w:val="22"/>
                <w:szCs w:val="22"/>
              </w:rPr>
            </w:pPr>
            <w:r w:rsidRPr="00205C60">
              <w:rPr>
                <w:rFonts w:ascii="Verdana" w:hAnsi="Verdana" w:cs="Arial"/>
                <w:sz w:val="22"/>
                <w:szCs w:val="22"/>
              </w:rPr>
              <w:t>MONTO GLOBAL DEL PROGRAMA</w:t>
            </w:r>
          </w:p>
        </w:tc>
        <w:tc>
          <w:tcPr>
            <w:tcW w:w="2868" w:type="pct"/>
            <w:tcBorders>
              <w:top w:val="single" w:sz="4" w:space="0" w:color="FFFFFF"/>
            </w:tcBorders>
            <w:shd w:val="clear" w:color="auto" w:fill="auto"/>
            <w:vAlign w:val="center"/>
          </w:tcPr>
          <w:p w14:paraId="3CA7E5D9" w14:textId="77777777" w:rsidR="008D0232" w:rsidRPr="00205C60" w:rsidRDefault="008D0232" w:rsidP="00B00B62">
            <w:pPr>
              <w:ind w:right="320"/>
              <w:rPr>
                <w:rFonts w:ascii="Verdana" w:hAnsi="Verdana" w:cs="Arial"/>
                <w:sz w:val="22"/>
                <w:szCs w:val="22"/>
              </w:rPr>
            </w:pPr>
            <w:r w:rsidRPr="00205C60">
              <w:rPr>
                <w:rFonts w:ascii="Verdana" w:hAnsi="Verdana" w:cs="Arial"/>
                <w:sz w:val="22"/>
                <w:szCs w:val="22"/>
              </w:rPr>
              <w:t>USD 106.000.000,00 o su equivalente en colones</w:t>
            </w:r>
          </w:p>
        </w:tc>
      </w:tr>
      <w:tr w:rsidR="008D0232" w:rsidRPr="00205C60" w14:paraId="3CA7E5DD" w14:textId="77777777" w:rsidTr="00B00B62">
        <w:trPr>
          <w:trHeight w:val="263"/>
          <w:jc w:val="center"/>
        </w:trPr>
        <w:tc>
          <w:tcPr>
            <w:tcW w:w="2132" w:type="pct"/>
            <w:tcBorders>
              <w:top w:val="single" w:sz="4" w:space="0" w:color="FFFFFF"/>
            </w:tcBorders>
            <w:shd w:val="clear" w:color="auto" w:fill="auto"/>
            <w:vAlign w:val="center"/>
          </w:tcPr>
          <w:p w14:paraId="3CA7E5DB" w14:textId="77777777" w:rsidR="008D0232" w:rsidRPr="00205C60" w:rsidRDefault="008D0232" w:rsidP="00B00B62">
            <w:pPr>
              <w:ind w:left="-70" w:firstLine="70"/>
              <w:rPr>
                <w:rFonts w:ascii="Verdana" w:hAnsi="Verdana" w:cs="Arial"/>
                <w:sz w:val="22"/>
                <w:szCs w:val="22"/>
              </w:rPr>
            </w:pPr>
            <w:r w:rsidRPr="00205C60">
              <w:rPr>
                <w:rFonts w:ascii="Verdana" w:hAnsi="Verdana" w:cs="Arial"/>
                <w:sz w:val="22"/>
                <w:szCs w:val="22"/>
              </w:rPr>
              <w:t>N</w:t>
            </w:r>
            <w:r w:rsidR="00B30275" w:rsidRPr="00205C60">
              <w:rPr>
                <w:rFonts w:ascii="Verdana" w:hAnsi="Verdana" w:cs="Arial"/>
                <w:sz w:val="22"/>
                <w:szCs w:val="22"/>
              </w:rPr>
              <w:t>OMBRE DE LA SERIE</w:t>
            </w:r>
            <w:r w:rsidRPr="00205C60">
              <w:rPr>
                <w:rFonts w:ascii="Verdana" w:hAnsi="Verdana" w:cs="Arial"/>
                <w:sz w:val="22"/>
                <w:szCs w:val="22"/>
              </w:rPr>
              <w:t xml:space="preserve"> </w:t>
            </w:r>
            <w:r w:rsidRPr="00205C60">
              <w:rPr>
                <w:rFonts w:ascii="Verdana" w:hAnsi="Verdana" w:cs="Arial"/>
                <w:sz w:val="22"/>
                <w:szCs w:val="22"/>
                <w:vertAlign w:val="subscript"/>
              </w:rPr>
              <w:t>1</w:t>
            </w:r>
          </w:p>
        </w:tc>
        <w:tc>
          <w:tcPr>
            <w:tcW w:w="2868" w:type="pct"/>
            <w:tcBorders>
              <w:top w:val="single" w:sz="4" w:space="0" w:color="FFFFFF"/>
            </w:tcBorders>
            <w:shd w:val="clear" w:color="auto" w:fill="auto"/>
            <w:vAlign w:val="center"/>
          </w:tcPr>
          <w:p w14:paraId="3CA7E5DC" w14:textId="77777777" w:rsidR="008D0232" w:rsidRPr="00205C60" w:rsidRDefault="008D0232" w:rsidP="00B00B62">
            <w:pPr>
              <w:ind w:right="80"/>
              <w:rPr>
                <w:rFonts w:ascii="Verdana" w:hAnsi="Verdana" w:cs="Arial"/>
                <w:sz w:val="22"/>
                <w:szCs w:val="22"/>
              </w:rPr>
            </w:pPr>
            <w:r w:rsidRPr="00205C60">
              <w:rPr>
                <w:rFonts w:ascii="Verdana" w:hAnsi="Verdana" w:cs="Arial"/>
                <w:sz w:val="22"/>
                <w:szCs w:val="22"/>
              </w:rPr>
              <w:t>A definirse previo a la colocación de cada serie mediante comunicado de Hecho Relevante</w:t>
            </w:r>
          </w:p>
        </w:tc>
      </w:tr>
      <w:tr w:rsidR="008D0232" w:rsidRPr="00205C60" w14:paraId="3CA7E5E0" w14:textId="77777777" w:rsidTr="00B00B62">
        <w:trPr>
          <w:trHeight w:val="263"/>
          <w:jc w:val="center"/>
        </w:trPr>
        <w:tc>
          <w:tcPr>
            <w:tcW w:w="2132" w:type="pct"/>
            <w:tcBorders>
              <w:top w:val="single" w:sz="4" w:space="0" w:color="FFFFFF"/>
            </w:tcBorders>
            <w:shd w:val="clear" w:color="auto" w:fill="auto"/>
            <w:vAlign w:val="center"/>
          </w:tcPr>
          <w:p w14:paraId="3CA7E5DE" w14:textId="77777777" w:rsidR="008D0232" w:rsidRPr="00205C60" w:rsidRDefault="008D0232" w:rsidP="00B00B62">
            <w:pPr>
              <w:ind w:left="-70" w:firstLine="70"/>
              <w:rPr>
                <w:rFonts w:ascii="Verdana" w:hAnsi="Verdana" w:cs="Arial"/>
                <w:sz w:val="22"/>
                <w:szCs w:val="22"/>
              </w:rPr>
            </w:pPr>
            <w:r w:rsidRPr="00205C60">
              <w:rPr>
                <w:rFonts w:ascii="Verdana" w:hAnsi="Verdana" w:cs="Arial"/>
                <w:sz w:val="22"/>
                <w:szCs w:val="22"/>
              </w:rPr>
              <w:t>M</w:t>
            </w:r>
            <w:r w:rsidR="00B30275" w:rsidRPr="00205C60">
              <w:rPr>
                <w:rFonts w:ascii="Verdana" w:hAnsi="Verdana" w:cs="Arial"/>
                <w:sz w:val="22"/>
                <w:szCs w:val="22"/>
              </w:rPr>
              <w:t>ONTO DE CADA EMISION</w:t>
            </w:r>
            <w:r w:rsidRPr="00205C60">
              <w:rPr>
                <w:rFonts w:ascii="Verdana" w:hAnsi="Verdana" w:cs="Arial"/>
                <w:sz w:val="22"/>
                <w:szCs w:val="22"/>
              </w:rPr>
              <w:t xml:space="preserve"> </w:t>
            </w:r>
            <w:r w:rsidRPr="00205C60">
              <w:rPr>
                <w:rFonts w:ascii="Verdana" w:hAnsi="Verdana" w:cs="Arial"/>
                <w:sz w:val="22"/>
                <w:szCs w:val="22"/>
                <w:vertAlign w:val="subscript"/>
              </w:rPr>
              <w:t>1</w:t>
            </w:r>
          </w:p>
        </w:tc>
        <w:tc>
          <w:tcPr>
            <w:tcW w:w="2868" w:type="pct"/>
            <w:tcBorders>
              <w:top w:val="single" w:sz="4" w:space="0" w:color="FFFFFF"/>
            </w:tcBorders>
            <w:shd w:val="clear" w:color="auto" w:fill="auto"/>
            <w:vAlign w:val="center"/>
          </w:tcPr>
          <w:p w14:paraId="3CA7E5DF" w14:textId="77777777" w:rsidR="008D0232" w:rsidRPr="00205C60" w:rsidRDefault="008D0232" w:rsidP="00B00B62">
            <w:pPr>
              <w:ind w:right="80"/>
              <w:rPr>
                <w:rFonts w:ascii="Verdana" w:hAnsi="Verdana" w:cs="Arial"/>
                <w:sz w:val="22"/>
                <w:szCs w:val="22"/>
              </w:rPr>
            </w:pPr>
            <w:r w:rsidRPr="00205C60">
              <w:rPr>
                <w:rFonts w:ascii="Verdana" w:hAnsi="Verdana" w:cs="Arial"/>
                <w:sz w:val="22"/>
                <w:szCs w:val="22"/>
              </w:rPr>
              <w:t>A definirse previo a la colocación de cada serie mediante comunicado de Hecho Relevante</w:t>
            </w:r>
          </w:p>
        </w:tc>
      </w:tr>
      <w:tr w:rsidR="008D0232" w:rsidRPr="00205C60" w14:paraId="3CA7E5E3" w14:textId="77777777" w:rsidTr="00B00B62">
        <w:trPr>
          <w:trHeight w:val="263"/>
          <w:jc w:val="center"/>
        </w:trPr>
        <w:tc>
          <w:tcPr>
            <w:tcW w:w="2132" w:type="pct"/>
            <w:tcBorders>
              <w:top w:val="single" w:sz="4" w:space="0" w:color="FFFFFF"/>
            </w:tcBorders>
            <w:shd w:val="clear" w:color="auto" w:fill="auto"/>
            <w:vAlign w:val="center"/>
          </w:tcPr>
          <w:p w14:paraId="3CA7E5E1" w14:textId="77777777" w:rsidR="008D0232" w:rsidRPr="00205C60" w:rsidRDefault="008D0232" w:rsidP="00B00B62">
            <w:pPr>
              <w:ind w:left="-15" w:firstLine="15"/>
              <w:rPr>
                <w:rFonts w:ascii="Verdana" w:hAnsi="Verdana" w:cs="Arial"/>
                <w:sz w:val="22"/>
                <w:szCs w:val="22"/>
              </w:rPr>
            </w:pPr>
            <w:r w:rsidRPr="00205C60">
              <w:rPr>
                <w:rFonts w:ascii="Verdana" w:hAnsi="Verdana" w:cs="Arial"/>
                <w:sz w:val="22"/>
                <w:szCs w:val="22"/>
              </w:rPr>
              <w:t>M</w:t>
            </w:r>
            <w:r w:rsidR="00B30275" w:rsidRPr="00205C60">
              <w:rPr>
                <w:rFonts w:ascii="Verdana" w:hAnsi="Verdana" w:cs="Arial"/>
                <w:sz w:val="22"/>
                <w:szCs w:val="22"/>
              </w:rPr>
              <w:t>ONEDA DE CADA EMISION</w:t>
            </w:r>
            <w:r w:rsidRPr="00205C60">
              <w:rPr>
                <w:rFonts w:ascii="Verdana" w:hAnsi="Verdana" w:cs="Arial"/>
                <w:sz w:val="22"/>
                <w:szCs w:val="22"/>
              </w:rPr>
              <w:t xml:space="preserve"> </w:t>
            </w:r>
            <w:r w:rsidRPr="00205C60">
              <w:rPr>
                <w:rFonts w:ascii="Verdana" w:hAnsi="Verdana" w:cs="Arial"/>
                <w:sz w:val="22"/>
                <w:szCs w:val="22"/>
                <w:vertAlign w:val="subscript"/>
              </w:rPr>
              <w:t>1</w:t>
            </w:r>
          </w:p>
        </w:tc>
        <w:tc>
          <w:tcPr>
            <w:tcW w:w="2868" w:type="pct"/>
            <w:tcBorders>
              <w:top w:val="single" w:sz="4" w:space="0" w:color="FFFFFF"/>
            </w:tcBorders>
            <w:shd w:val="clear" w:color="auto" w:fill="auto"/>
            <w:vAlign w:val="center"/>
          </w:tcPr>
          <w:p w14:paraId="3CA7E5E2" w14:textId="77777777" w:rsidR="008D0232" w:rsidRPr="00205C60" w:rsidRDefault="008D0232" w:rsidP="00B00B62">
            <w:pPr>
              <w:ind w:right="80"/>
              <w:rPr>
                <w:rFonts w:ascii="Verdana" w:hAnsi="Verdana" w:cs="Arial"/>
                <w:sz w:val="22"/>
                <w:szCs w:val="22"/>
              </w:rPr>
            </w:pPr>
            <w:r w:rsidRPr="00205C60">
              <w:rPr>
                <w:rFonts w:ascii="Verdana" w:hAnsi="Verdana" w:cs="Arial"/>
                <w:sz w:val="22"/>
                <w:szCs w:val="22"/>
              </w:rPr>
              <w:t>A definirse previo a la colocación de cada serie mediante comunicado de Hecho Relevante</w:t>
            </w:r>
          </w:p>
        </w:tc>
      </w:tr>
      <w:tr w:rsidR="008D0232" w:rsidRPr="00205C60" w14:paraId="3CA7E5E6" w14:textId="77777777" w:rsidTr="00B00B62">
        <w:trPr>
          <w:trHeight w:val="263"/>
          <w:jc w:val="center"/>
        </w:trPr>
        <w:tc>
          <w:tcPr>
            <w:tcW w:w="2132" w:type="pct"/>
            <w:tcBorders>
              <w:top w:val="single" w:sz="4" w:space="0" w:color="FFFFFF"/>
            </w:tcBorders>
            <w:shd w:val="clear" w:color="auto" w:fill="auto"/>
            <w:vAlign w:val="center"/>
          </w:tcPr>
          <w:p w14:paraId="3CA7E5E4" w14:textId="77777777" w:rsidR="008D0232" w:rsidRPr="00205C60" w:rsidRDefault="008D0232" w:rsidP="00B00B62">
            <w:pPr>
              <w:ind w:left="-15" w:firstLine="15"/>
              <w:rPr>
                <w:rFonts w:ascii="Verdana" w:hAnsi="Verdana" w:cs="Arial"/>
                <w:sz w:val="22"/>
                <w:szCs w:val="22"/>
              </w:rPr>
            </w:pPr>
            <w:r w:rsidRPr="00205C60">
              <w:rPr>
                <w:rFonts w:ascii="Verdana" w:hAnsi="Verdana" w:cs="Arial"/>
                <w:sz w:val="22"/>
                <w:szCs w:val="22"/>
              </w:rPr>
              <w:t>F</w:t>
            </w:r>
            <w:r w:rsidR="00B30275" w:rsidRPr="00205C60">
              <w:rPr>
                <w:rFonts w:ascii="Verdana" w:hAnsi="Verdana" w:cs="Arial"/>
                <w:sz w:val="22"/>
                <w:szCs w:val="22"/>
              </w:rPr>
              <w:t xml:space="preserve">ECHA DE EMISION Y DE VENCIMIENTO  </w:t>
            </w:r>
            <w:r w:rsidRPr="00205C60">
              <w:rPr>
                <w:rFonts w:ascii="Verdana" w:hAnsi="Verdana" w:cs="Arial"/>
                <w:sz w:val="22"/>
                <w:szCs w:val="22"/>
                <w:vertAlign w:val="subscript"/>
              </w:rPr>
              <w:t>1</w:t>
            </w:r>
          </w:p>
        </w:tc>
        <w:tc>
          <w:tcPr>
            <w:tcW w:w="2868" w:type="pct"/>
            <w:tcBorders>
              <w:top w:val="single" w:sz="4" w:space="0" w:color="FFFFFF"/>
            </w:tcBorders>
            <w:shd w:val="clear" w:color="auto" w:fill="auto"/>
            <w:vAlign w:val="center"/>
          </w:tcPr>
          <w:p w14:paraId="3CA7E5E5" w14:textId="77777777" w:rsidR="008D0232" w:rsidRPr="00205C60" w:rsidRDefault="008D0232" w:rsidP="00B00B62">
            <w:pPr>
              <w:ind w:right="80"/>
              <w:rPr>
                <w:rFonts w:ascii="Verdana" w:hAnsi="Verdana" w:cs="Arial"/>
                <w:sz w:val="22"/>
                <w:szCs w:val="22"/>
              </w:rPr>
            </w:pPr>
            <w:r w:rsidRPr="00205C60">
              <w:rPr>
                <w:rFonts w:ascii="Verdana" w:hAnsi="Verdana" w:cs="Arial"/>
                <w:sz w:val="22"/>
                <w:szCs w:val="22"/>
              </w:rPr>
              <w:t>A definirse previo a la colocación de cada serie mediante comunicado de Hecho Relevante</w:t>
            </w:r>
          </w:p>
        </w:tc>
      </w:tr>
      <w:tr w:rsidR="008D0232" w:rsidRPr="00205C60" w14:paraId="3CA7E5E9" w14:textId="77777777" w:rsidTr="00B00B62">
        <w:trPr>
          <w:trHeight w:val="263"/>
          <w:jc w:val="center"/>
        </w:trPr>
        <w:tc>
          <w:tcPr>
            <w:tcW w:w="2132" w:type="pct"/>
            <w:tcBorders>
              <w:top w:val="single" w:sz="4" w:space="0" w:color="FFFFFF"/>
            </w:tcBorders>
            <w:shd w:val="clear" w:color="auto" w:fill="auto"/>
            <w:vAlign w:val="center"/>
          </w:tcPr>
          <w:p w14:paraId="3CA7E5E7" w14:textId="77777777" w:rsidR="008D0232" w:rsidRPr="00205C60" w:rsidRDefault="00B30275" w:rsidP="00B00B62">
            <w:pPr>
              <w:ind w:left="-70" w:firstLine="70"/>
              <w:rPr>
                <w:rFonts w:ascii="Verdana" w:hAnsi="Verdana" w:cs="Arial"/>
                <w:sz w:val="22"/>
                <w:szCs w:val="22"/>
              </w:rPr>
            </w:pPr>
            <w:r w:rsidRPr="00205C60">
              <w:rPr>
                <w:rFonts w:ascii="Verdana" w:hAnsi="Verdana" w:cs="Arial"/>
                <w:sz w:val="22"/>
                <w:szCs w:val="22"/>
              </w:rPr>
              <w:t>DENOMINACION O VALOR FACIAL</w:t>
            </w:r>
          </w:p>
        </w:tc>
        <w:tc>
          <w:tcPr>
            <w:tcW w:w="2868" w:type="pct"/>
            <w:tcBorders>
              <w:top w:val="single" w:sz="4" w:space="0" w:color="FFFFFF"/>
            </w:tcBorders>
            <w:shd w:val="clear" w:color="auto" w:fill="auto"/>
            <w:vAlign w:val="center"/>
          </w:tcPr>
          <w:p w14:paraId="3CA7E5E8" w14:textId="5ABE0B24" w:rsidR="008D0232" w:rsidRPr="00205C60" w:rsidRDefault="008D0232" w:rsidP="00B00B62">
            <w:pPr>
              <w:ind w:right="320"/>
              <w:rPr>
                <w:rFonts w:ascii="Verdana" w:hAnsi="Verdana" w:cs="Arial"/>
                <w:sz w:val="22"/>
                <w:szCs w:val="22"/>
              </w:rPr>
            </w:pPr>
            <w:r w:rsidRPr="00205C60">
              <w:rPr>
                <w:rFonts w:ascii="Verdana" w:hAnsi="Verdana" w:cs="Arial"/>
                <w:sz w:val="22"/>
                <w:szCs w:val="22"/>
              </w:rPr>
              <w:t xml:space="preserve">USD 1.000,00 (mil dólares) o </w:t>
            </w:r>
            <w:r w:rsidR="007E04B1" w:rsidRPr="00205C60">
              <w:rPr>
                <w:rFonts w:ascii="Verdana" w:hAnsi="Verdana" w:cs="Arial"/>
                <w:sz w:val="22"/>
                <w:szCs w:val="22"/>
              </w:rPr>
              <w:t xml:space="preserve">    </w:t>
            </w:r>
            <w:r w:rsidR="00574687" w:rsidRPr="00205C60">
              <w:rPr>
                <w:rFonts w:ascii="Verdana" w:hAnsi="Verdana" w:cs="Arial"/>
                <w:sz w:val="22"/>
                <w:szCs w:val="22"/>
              </w:rPr>
              <w:t>₡</w:t>
            </w:r>
            <w:r w:rsidRPr="00205C60">
              <w:rPr>
                <w:rFonts w:ascii="Verdana" w:hAnsi="Verdana" w:cs="Arial"/>
                <w:sz w:val="22"/>
                <w:szCs w:val="22"/>
              </w:rPr>
              <w:t xml:space="preserve"> 1.000.000,00 (un millón de colones)</w:t>
            </w:r>
          </w:p>
        </w:tc>
      </w:tr>
      <w:tr w:rsidR="008D0232" w:rsidRPr="00205C60" w14:paraId="3CA7E5EC" w14:textId="77777777" w:rsidTr="00B00B62">
        <w:trPr>
          <w:trHeight w:val="263"/>
          <w:jc w:val="center"/>
        </w:trPr>
        <w:tc>
          <w:tcPr>
            <w:tcW w:w="2132" w:type="pct"/>
            <w:shd w:val="clear" w:color="auto" w:fill="auto"/>
            <w:vAlign w:val="center"/>
          </w:tcPr>
          <w:p w14:paraId="3CA7E5EA" w14:textId="77777777" w:rsidR="008D0232" w:rsidRPr="00205C60" w:rsidRDefault="008D0232" w:rsidP="00B00B62">
            <w:pPr>
              <w:ind w:left="-70" w:firstLine="70"/>
              <w:rPr>
                <w:rFonts w:ascii="Verdana" w:hAnsi="Verdana" w:cs="Arial"/>
                <w:sz w:val="22"/>
                <w:szCs w:val="22"/>
              </w:rPr>
            </w:pPr>
            <w:r w:rsidRPr="00205C60">
              <w:rPr>
                <w:rFonts w:ascii="Verdana" w:hAnsi="Verdana" w:cs="Arial"/>
                <w:sz w:val="22"/>
                <w:szCs w:val="22"/>
              </w:rPr>
              <w:t>P</w:t>
            </w:r>
            <w:r w:rsidR="00B30275" w:rsidRPr="00205C60">
              <w:rPr>
                <w:rFonts w:ascii="Verdana" w:hAnsi="Verdana" w:cs="Arial"/>
                <w:sz w:val="22"/>
                <w:szCs w:val="22"/>
              </w:rPr>
              <w:t>LAZO</w:t>
            </w:r>
            <w:r w:rsidRPr="00205C60">
              <w:rPr>
                <w:rFonts w:ascii="Verdana" w:hAnsi="Verdana" w:cs="Arial"/>
                <w:sz w:val="22"/>
                <w:szCs w:val="22"/>
              </w:rPr>
              <w:t xml:space="preserve">  </w:t>
            </w:r>
            <w:r w:rsidRPr="00205C60">
              <w:rPr>
                <w:rFonts w:ascii="Verdana" w:hAnsi="Verdana" w:cs="Arial"/>
                <w:sz w:val="22"/>
                <w:szCs w:val="22"/>
                <w:vertAlign w:val="subscript"/>
              </w:rPr>
              <w:t>1</w:t>
            </w:r>
          </w:p>
        </w:tc>
        <w:tc>
          <w:tcPr>
            <w:tcW w:w="2868" w:type="pct"/>
            <w:shd w:val="clear" w:color="auto" w:fill="auto"/>
            <w:vAlign w:val="center"/>
          </w:tcPr>
          <w:p w14:paraId="3CA7E5EB" w14:textId="77777777" w:rsidR="008D0232" w:rsidRPr="00205C60" w:rsidRDefault="008D0232" w:rsidP="00B00B62">
            <w:pPr>
              <w:ind w:right="80"/>
              <w:rPr>
                <w:rFonts w:ascii="Verdana" w:hAnsi="Verdana" w:cs="Arial"/>
                <w:sz w:val="22"/>
                <w:szCs w:val="22"/>
              </w:rPr>
            </w:pPr>
            <w:r w:rsidRPr="00205C60">
              <w:rPr>
                <w:rFonts w:ascii="Verdana" w:hAnsi="Verdana" w:cs="Arial"/>
                <w:sz w:val="22"/>
                <w:szCs w:val="22"/>
              </w:rPr>
              <w:t>A definirse previo a la colocación de cada serie mediante comunicado de Hecho Relevante</w:t>
            </w:r>
          </w:p>
        </w:tc>
      </w:tr>
      <w:tr w:rsidR="008D0232" w:rsidRPr="00205C60" w14:paraId="3CA7E5EF" w14:textId="77777777" w:rsidTr="00B00B62">
        <w:trPr>
          <w:trHeight w:val="263"/>
          <w:jc w:val="center"/>
        </w:trPr>
        <w:tc>
          <w:tcPr>
            <w:tcW w:w="2132" w:type="pct"/>
            <w:shd w:val="clear" w:color="auto" w:fill="auto"/>
            <w:vAlign w:val="center"/>
          </w:tcPr>
          <w:p w14:paraId="3CA7E5ED" w14:textId="77777777" w:rsidR="008D0232" w:rsidRPr="00205C60" w:rsidRDefault="008D0232" w:rsidP="009A0EB5">
            <w:pPr>
              <w:ind w:left="-70" w:firstLine="70"/>
              <w:rPr>
                <w:rFonts w:ascii="Verdana" w:hAnsi="Verdana" w:cs="Arial"/>
                <w:sz w:val="22"/>
                <w:szCs w:val="22"/>
              </w:rPr>
            </w:pPr>
            <w:r w:rsidRPr="00205C60">
              <w:rPr>
                <w:rFonts w:ascii="Verdana" w:hAnsi="Verdana" w:cs="Arial"/>
                <w:sz w:val="22"/>
                <w:szCs w:val="22"/>
              </w:rPr>
              <w:t>T</w:t>
            </w:r>
            <w:r w:rsidR="00B30275" w:rsidRPr="00205C60">
              <w:rPr>
                <w:rFonts w:ascii="Verdana" w:hAnsi="Verdana" w:cs="Arial"/>
                <w:sz w:val="22"/>
                <w:szCs w:val="22"/>
              </w:rPr>
              <w:t>ASA DE INTERES BRUTA</w:t>
            </w:r>
            <w:r w:rsidRPr="00205C60">
              <w:rPr>
                <w:rFonts w:ascii="Verdana" w:hAnsi="Verdana" w:cs="Arial"/>
                <w:sz w:val="22"/>
                <w:szCs w:val="22"/>
              </w:rPr>
              <w:t xml:space="preserve"> </w:t>
            </w:r>
            <w:r w:rsidRPr="00205C60">
              <w:rPr>
                <w:rFonts w:ascii="Verdana" w:hAnsi="Verdana" w:cs="Arial"/>
                <w:sz w:val="22"/>
                <w:szCs w:val="22"/>
                <w:vertAlign w:val="subscript"/>
              </w:rPr>
              <w:t>1</w:t>
            </w:r>
            <w:r w:rsidR="00B30275" w:rsidRPr="00205C60">
              <w:rPr>
                <w:rFonts w:ascii="Verdana" w:hAnsi="Verdana" w:cs="Arial"/>
                <w:sz w:val="22"/>
                <w:szCs w:val="22"/>
                <w:vertAlign w:val="subscript"/>
              </w:rPr>
              <w:t xml:space="preserve"> Y</w:t>
            </w:r>
            <w:r w:rsidRPr="00205C60">
              <w:rPr>
                <w:rFonts w:ascii="Verdana" w:hAnsi="Verdana" w:cs="Arial"/>
                <w:sz w:val="22"/>
                <w:szCs w:val="22"/>
                <w:vertAlign w:val="subscript"/>
              </w:rPr>
              <w:t xml:space="preserve"> 2</w:t>
            </w:r>
          </w:p>
        </w:tc>
        <w:tc>
          <w:tcPr>
            <w:tcW w:w="2868" w:type="pct"/>
            <w:shd w:val="clear" w:color="auto" w:fill="auto"/>
            <w:vAlign w:val="center"/>
          </w:tcPr>
          <w:p w14:paraId="3CA7E5EE" w14:textId="77777777" w:rsidR="008D0232" w:rsidRPr="00205C60" w:rsidRDefault="008D0232" w:rsidP="00B00B62">
            <w:pPr>
              <w:ind w:right="80"/>
              <w:rPr>
                <w:rFonts w:ascii="Verdana" w:hAnsi="Verdana" w:cs="Arial"/>
                <w:sz w:val="22"/>
                <w:szCs w:val="22"/>
              </w:rPr>
            </w:pPr>
            <w:r w:rsidRPr="00205C60">
              <w:rPr>
                <w:rFonts w:ascii="Verdana" w:hAnsi="Verdana" w:cs="Arial"/>
                <w:sz w:val="22"/>
                <w:szCs w:val="22"/>
              </w:rPr>
              <w:t>A definirse previo a la colocación de cada serie mediante comunicado de Hecho Relevante</w:t>
            </w:r>
          </w:p>
        </w:tc>
      </w:tr>
      <w:tr w:rsidR="008D0232" w:rsidRPr="00205C60" w14:paraId="3CA7E5F2" w14:textId="77777777" w:rsidTr="00B00B62">
        <w:trPr>
          <w:trHeight w:val="263"/>
          <w:jc w:val="center"/>
        </w:trPr>
        <w:tc>
          <w:tcPr>
            <w:tcW w:w="2132" w:type="pct"/>
            <w:shd w:val="clear" w:color="auto" w:fill="auto"/>
            <w:vAlign w:val="center"/>
          </w:tcPr>
          <w:p w14:paraId="3CA7E5F0" w14:textId="77777777" w:rsidR="008D0232" w:rsidRPr="00205C60" w:rsidRDefault="008D0232" w:rsidP="00B00B62">
            <w:pPr>
              <w:ind w:left="-70" w:firstLine="70"/>
              <w:rPr>
                <w:rFonts w:ascii="Verdana" w:hAnsi="Verdana" w:cs="Arial"/>
                <w:sz w:val="22"/>
                <w:szCs w:val="22"/>
              </w:rPr>
            </w:pPr>
            <w:r w:rsidRPr="00205C60">
              <w:rPr>
                <w:rFonts w:ascii="Verdana" w:hAnsi="Verdana" w:cs="Arial"/>
                <w:sz w:val="22"/>
                <w:szCs w:val="22"/>
              </w:rPr>
              <w:t>T</w:t>
            </w:r>
            <w:r w:rsidR="00B30275" w:rsidRPr="00205C60">
              <w:rPr>
                <w:rFonts w:ascii="Verdana" w:hAnsi="Verdana" w:cs="Arial"/>
                <w:sz w:val="22"/>
                <w:szCs w:val="22"/>
              </w:rPr>
              <w:t>ASA DE INTERES NETA</w:t>
            </w:r>
          </w:p>
        </w:tc>
        <w:tc>
          <w:tcPr>
            <w:tcW w:w="2868" w:type="pct"/>
            <w:shd w:val="clear" w:color="auto" w:fill="auto"/>
            <w:vAlign w:val="center"/>
          </w:tcPr>
          <w:p w14:paraId="3CA7E5F1" w14:textId="4E63D303" w:rsidR="008D0232" w:rsidRPr="00205C60" w:rsidRDefault="008D0232" w:rsidP="00B00B62">
            <w:pPr>
              <w:ind w:right="80"/>
              <w:rPr>
                <w:rFonts w:ascii="Verdana" w:hAnsi="Verdana" w:cs="Arial"/>
                <w:sz w:val="22"/>
                <w:szCs w:val="22"/>
              </w:rPr>
            </w:pPr>
            <w:r w:rsidRPr="00205C60">
              <w:rPr>
                <w:rFonts w:ascii="Verdana" w:hAnsi="Verdana" w:cs="Arial"/>
                <w:sz w:val="22"/>
                <w:szCs w:val="22"/>
              </w:rPr>
              <w:t>T</w:t>
            </w:r>
            <w:r w:rsidR="00871C8A" w:rsidRPr="00205C60">
              <w:rPr>
                <w:rFonts w:ascii="Verdana" w:hAnsi="Verdana" w:cs="Arial"/>
                <w:sz w:val="22"/>
                <w:szCs w:val="22"/>
              </w:rPr>
              <w:t>ASA</w:t>
            </w:r>
            <w:r w:rsidRPr="00205C60">
              <w:rPr>
                <w:rFonts w:ascii="Verdana" w:hAnsi="Verdana" w:cs="Arial"/>
                <w:sz w:val="22"/>
                <w:szCs w:val="22"/>
              </w:rPr>
              <w:t xml:space="preserve"> </w:t>
            </w:r>
            <w:r w:rsidR="00871C8A" w:rsidRPr="00205C60">
              <w:rPr>
                <w:rFonts w:ascii="Verdana" w:hAnsi="Verdana" w:cs="Arial"/>
                <w:sz w:val="22"/>
                <w:szCs w:val="22"/>
              </w:rPr>
              <w:t xml:space="preserve">DE INTERES BRUTA MENOS </w:t>
            </w:r>
            <w:r w:rsidR="005B168A" w:rsidRPr="00205C60">
              <w:rPr>
                <w:rFonts w:ascii="Verdana" w:hAnsi="Verdana" w:cs="Arial"/>
                <w:sz w:val="22"/>
                <w:szCs w:val="22"/>
              </w:rPr>
              <w:t>RETENCION DEL</w:t>
            </w:r>
            <w:r w:rsidR="00871C8A" w:rsidRPr="00205C60">
              <w:rPr>
                <w:rFonts w:ascii="Verdana" w:hAnsi="Verdana" w:cs="Arial"/>
                <w:sz w:val="22"/>
                <w:szCs w:val="22"/>
              </w:rPr>
              <w:t xml:space="preserve"> 8%</w:t>
            </w:r>
          </w:p>
        </w:tc>
      </w:tr>
      <w:tr w:rsidR="008D0232" w:rsidRPr="00205C60" w14:paraId="3CA7E5F5" w14:textId="77777777" w:rsidTr="00B00B62">
        <w:trPr>
          <w:trHeight w:val="268"/>
          <w:jc w:val="center"/>
        </w:trPr>
        <w:tc>
          <w:tcPr>
            <w:tcW w:w="2132" w:type="pct"/>
            <w:shd w:val="clear" w:color="auto" w:fill="auto"/>
            <w:vAlign w:val="center"/>
          </w:tcPr>
          <w:p w14:paraId="3CA7E5F3" w14:textId="77777777" w:rsidR="008D0232" w:rsidRPr="00205C60" w:rsidRDefault="00B30275" w:rsidP="00B00B62">
            <w:pPr>
              <w:ind w:left="-70" w:firstLine="70"/>
              <w:rPr>
                <w:rFonts w:ascii="Verdana" w:hAnsi="Verdana" w:cs="Arial"/>
                <w:sz w:val="22"/>
                <w:szCs w:val="22"/>
              </w:rPr>
            </w:pPr>
            <w:r w:rsidRPr="00205C60">
              <w:rPr>
                <w:rFonts w:ascii="Verdana" w:hAnsi="Verdana" w:cs="Arial"/>
                <w:sz w:val="22"/>
                <w:szCs w:val="22"/>
              </w:rPr>
              <w:t>FACTOR DE CALCULO</w:t>
            </w:r>
          </w:p>
        </w:tc>
        <w:tc>
          <w:tcPr>
            <w:tcW w:w="2868" w:type="pct"/>
            <w:shd w:val="clear" w:color="auto" w:fill="auto"/>
            <w:vAlign w:val="center"/>
          </w:tcPr>
          <w:p w14:paraId="3CA7E5F4" w14:textId="77777777" w:rsidR="008D0232" w:rsidRPr="00205C60" w:rsidRDefault="008D0232" w:rsidP="00B00B62">
            <w:pPr>
              <w:ind w:right="80"/>
              <w:rPr>
                <w:rFonts w:ascii="Verdana" w:hAnsi="Verdana" w:cs="Arial"/>
                <w:sz w:val="22"/>
                <w:szCs w:val="22"/>
              </w:rPr>
            </w:pPr>
            <w:r w:rsidRPr="00205C60">
              <w:rPr>
                <w:rFonts w:ascii="Verdana" w:hAnsi="Verdana" w:cs="Arial"/>
                <w:sz w:val="22"/>
                <w:szCs w:val="22"/>
              </w:rPr>
              <w:t>30/360</w:t>
            </w:r>
          </w:p>
        </w:tc>
      </w:tr>
      <w:tr w:rsidR="008D0232" w:rsidRPr="00205C60" w14:paraId="3CA7E5F8" w14:textId="77777777" w:rsidTr="00B00B62">
        <w:trPr>
          <w:trHeight w:val="412"/>
          <w:jc w:val="center"/>
        </w:trPr>
        <w:tc>
          <w:tcPr>
            <w:tcW w:w="2132" w:type="pct"/>
            <w:shd w:val="clear" w:color="auto" w:fill="auto"/>
            <w:vAlign w:val="center"/>
          </w:tcPr>
          <w:p w14:paraId="3CA7E5F6" w14:textId="77777777" w:rsidR="008D0232" w:rsidRPr="00205C60" w:rsidRDefault="008D0232" w:rsidP="00B00B62">
            <w:pPr>
              <w:ind w:left="-70" w:firstLine="70"/>
              <w:rPr>
                <w:rFonts w:ascii="Verdana" w:hAnsi="Verdana" w:cs="Arial"/>
                <w:sz w:val="22"/>
                <w:szCs w:val="22"/>
              </w:rPr>
            </w:pPr>
            <w:r w:rsidRPr="00205C60">
              <w:rPr>
                <w:rFonts w:ascii="Verdana" w:hAnsi="Verdana" w:cs="Arial"/>
                <w:sz w:val="22"/>
                <w:szCs w:val="22"/>
              </w:rPr>
              <w:lastRenderedPageBreak/>
              <w:t>P</w:t>
            </w:r>
            <w:r w:rsidR="00B30275" w:rsidRPr="00205C60">
              <w:rPr>
                <w:rFonts w:ascii="Verdana" w:hAnsi="Verdana" w:cs="Arial"/>
                <w:sz w:val="22"/>
                <w:szCs w:val="22"/>
              </w:rPr>
              <w:t xml:space="preserve">ERIODICIDAD </w:t>
            </w:r>
            <w:r w:rsidRPr="00205C60">
              <w:rPr>
                <w:rFonts w:ascii="Verdana" w:hAnsi="Verdana" w:cs="Arial"/>
                <w:sz w:val="22"/>
                <w:szCs w:val="22"/>
                <w:vertAlign w:val="subscript"/>
              </w:rPr>
              <w:t>1</w:t>
            </w:r>
          </w:p>
        </w:tc>
        <w:tc>
          <w:tcPr>
            <w:tcW w:w="2868" w:type="pct"/>
            <w:shd w:val="clear" w:color="auto" w:fill="auto"/>
            <w:vAlign w:val="center"/>
          </w:tcPr>
          <w:p w14:paraId="3CA7E5F7" w14:textId="77777777" w:rsidR="008D0232" w:rsidRPr="00205C60" w:rsidRDefault="008D0232" w:rsidP="00B00B62">
            <w:pPr>
              <w:ind w:right="80"/>
              <w:rPr>
                <w:rFonts w:ascii="Verdana" w:hAnsi="Verdana" w:cs="Arial"/>
                <w:sz w:val="22"/>
                <w:szCs w:val="22"/>
              </w:rPr>
            </w:pPr>
            <w:r w:rsidRPr="00205C60">
              <w:rPr>
                <w:rFonts w:ascii="Verdana" w:hAnsi="Verdana" w:cs="Arial"/>
                <w:sz w:val="22"/>
                <w:szCs w:val="22"/>
              </w:rPr>
              <w:t>A definirse previo a la colocación de cada serie mediante comunicado de Hecho Relevante</w:t>
            </w:r>
          </w:p>
        </w:tc>
      </w:tr>
      <w:tr w:rsidR="008D0232" w:rsidRPr="00205C60" w14:paraId="3CA7E5FB" w14:textId="77777777" w:rsidTr="00B00B62">
        <w:trPr>
          <w:trHeight w:val="263"/>
          <w:jc w:val="center"/>
        </w:trPr>
        <w:tc>
          <w:tcPr>
            <w:tcW w:w="2132" w:type="pct"/>
            <w:shd w:val="clear" w:color="auto" w:fill="auto"/>
            <w:vAlign w:val="center"/>
          </w:tcPr>
          <w:p w14:paraId="3CA7E5F9" w14:textId="77777777" w:rsidR="008D0232" w:rsidRPr="00205C60" w:rsidRDefault="008D0232" w:rsidP="00B00B62">
            <w:pPr>
              <w:ind w:left="-70" w:firstLine="70"/>
              <w:rPr>
                <w:rFonts w:ascii="Verdana" w:hAnsi="Verdana" w:cs="Arial"/>
                <w:sz w:val="22"/>
                <w:szCs w:val="22"/>
              </w:rPr>
            </w:pPr>
            <w:r w:rsidRPr="00205C60">
              <w:rPr>
                <w:rFonts w:ascii="Verdana" w:hAnsi="Verdana" w:cs="Arial"/>
                <w:sz w:val="22"/>
                <w:szCs w:val="22"/>
              </w:rPr>
              <w:t>A</w:t>
            </w:r>
            <w:r w:rsidR="00B30275" w:rsidRPr="00205C60">
              <w:rPr>
                <w:rFonts w:ascii="Verdana" w:hAnsi="Verdana" w:cs="Arial"/>
                <w:sz w:val="22"/>
                <w:szCs w:val="22"/>
              </w:rPr>
              <w:t>MORTIZACION DEL PRINCIPAL</w:t>
            </w:r>
          </w:p>
        </w:tc>
        <w:tc>
          <w:tcPr>
            <w:tcW w:w="2868" w:type="pct"/>
            <w:shd w:val="clear" w:color="auto" w:fill="auto"/>
            <w:vAlign w:val="center"/>
          </w:tcPr>
          <w:p w14:paraId="3CA7E5FA" w14:textId="6B3E7D18" w:rsidR="008D0232" w:rsidRPr="00205C60" w:rsidRDefault="008D0232" w:rsidP="00B00B62">
            <w:pPr>
              <w:ind w:right="2450"/>
              <w:rPr>
                <w:rFonts w:ascii="Verdana" w:hAnsi="Verdana" w:cs="Arial"/>
                <w:sz w:val="22"/>
                <w:szCs w:val="22"/>
              </w:rPr>
            </w:pPr>
            <w:r w:rsidRPr="00205C60">
              <w:rPr>
                <w:rFonts w:ascii="Verdana" w:hAnsi="Verdana" w:cs="Arial"/>
                <w:sz w:val="22"/>
                <w:szCs w:val="22"/>
              </w:rPr>
              <w:t xml:space="preserve">Al </w:t>
            </w:r>
            <w:r w:rsidR="006673F7" w:rsidRPr="00205C60">
              <w:rPr>
                <w:rFonts w:ascii="Verdana" w:hAnsi="Verdana" w:cs="Arial"/>
                <w:sz w:val="22"/>
                <w:szCs w:val="22"/>
              </w:rPr>
              <w:t>v</w:t>
            </w:r>
            <w:r w:rsidRPr="00205C60">
              <w:rPr>
                <w:rFonts w:ascii="Verdana" w:hAnsi="Verdana" w:cs="Arial"/>
                <w:sz w:val="22"/>
                <w:szCs w:val="22"/>
              </w:rPr>
              <w:t>encimiento</w:t>
            </w:r>
          </w:p>
        </w:tc>
      </w:tr>
      <w:tr w:rsidR="008D0232" w:rsidRPr="00205C60" w14:paraId="3CA7E5FE" w14:textId="77777777" w:rsidTr="00B00B62">
        <w:trPr>
          <w:trHeight w:val="263"/>
          <w:jc w:val="center"/>
        </w:trPr>
        <w:tc>
          <w:tcPr>
            <w:tcW w:w="2132" w:type="pct"/>
            <w:shd w:val="clear" w:color="auto" w:fill="auto"/>
            <w:vAlign w:val="center"/>
          </w:tcPr>
          <w:p w14:paraId="3CA7E5FC" w14:textId="77777777" w:rsidR="008D0232" w:rsidRPr="00205C60" w:rsidRDefault="00B30275" w:rsidP="00B00B62">
            <w:pPr>
              <w:ind w:left="-70" w:firstLine="70"/>
              <w:rPr>
                <w:rFonts w:ascii="Verdana" w:hAnsi="Verdana" w:cs="Arial"/>
                <w:sz w:val="22"/>
                <w:szCs w:val="22"/>
              </w:rPr>
            </w:pPr>
            <w:r w:rsidRPr="00205C60">
              <w:rPr>
                <w:rFonts w:ascii="Verdana" w:hAnsi="Verdana" w:cs="Arial"/>
                <w:sz w:val="22"/>
                <w:szCs w:val="22"/>
              </w:rPr>
              <w:t>FORMAS DE COLOCACION</w:t>
            </w:r>
          </w:p>
        </w:tc>
        <w:tc>
          <w:tcPr>
            <w:tcW w:w="2868" w:type="pct"/>
            <w:shd w:val="clear" w:color="auto" w:fill="auto"/>
            <w:vAlign w:val="center"/>
          </w:tcPr>
          <w:p w14:paraId="3CA7E5FD" w14:textId="6280BAA9" w:rsidR="008D0232" w:rsidRPr="00205C60" w:rsidRDefault="008D0232" w:rsidP="00B00B62">
            <w:pPr>
              <w:ind w:right="80"/>
              <w:rPr>
                <w:rFonts w:ascii="Verdana" w:hAnsi="Verdana" w:cs="Arial"/>
                <w:sz w:val="22"/>
                <w:szCs w:val="22"/>
              </w:rPr>
            </w:pPr>
            <w:r w:rsidRPr="00205C60">
              <w:rPr>
                <w:rFonts w:ascii="Verdana" w:hAnsi="Verdana" w:cs="Arial"/>
                <w:sz w:val="22"/>
                <w:szCs w:val="22"/>
              </w:rPr>
              <w:t xml:space="preserve">Subasta por bolsa, ventanilla, </w:t>
            </w:r>
            <w:r w:rsidR="00A506F1" w:rsidRPr="00205C60">
              <w:rPr>
                <w:rFonts w:ascii="Verdana" w:hAnsi="Verdana" w:cs="Arial"/>
                <w:i/>
                <w:sz w:val="22"/>
                <w:szCs w:val="22"/>
              </w:rPr>
              <w:t>underwriting</w:t>
            </w:r>
            <w:r w:rsidR="00A506F1" w:rsidRPr="00205C60">
              <w:rPr>
                <w:rFonts w:ascii="Verdana" w:hAnsi="Verdana" w:cs="Arial"/>
                <w:sz w:val="22"/>
                <w:szCs w:val="22"/>
              </w:rPr>
              <w:t xml:space="preserve"> en</w:t>
            </w:r>
            <w:r w:rsidRPr="00205C60">
              <w:rPr>
                <w:rFonts w:ascii="Verdana" w:hAnsi="Verdana" w:cs="Arial"/>
                <w:sz w:val="22"/>
                <w:szCs w:val="22"/>
              </w:rPr>
              <w:t xml:space="preserve"> firme o al mejor esfuerzo</w:t>
            </w:r>
          </w:p>
        </w:tc>
      </w:tr>
      <w:tr w:rsidR="008D0232" w:rsidRPr="00205C60" w14:paraId="3CA7E601" w14:textId="77777777" w:rsidTr="00B00B62">
        <w:trPr>
          <w:trHeight w:val="263"/>
          <w:jc w:val="center"/>
        </w:trPr>
        <w:tc>
          <w:tcPr>
            <w:tcW w:w="2132" w:type="pct"/>
            <w:shd w:val="clear" w:color="auto" w:fill="auto"/>
            <w:vAlign w:val="center"/>
          </w:tcPr>
          <w:p w14:paraId="3CA7E5FF" w14:textId="77777777" w:rsidR="008D0232" w:rsidRPr="00205C60" w:rsidRDefault="00B30275" w:rsidP="00B00B62">
            <w:pPr>
              <w:ind w:left="-70" w:firstLine="70"/>
              <w:rPr>
                <w:rFonts w:ascii="Verdana" w:hAnsi="Verdana" w:cs="Arial"/>
                <w:sz w:val="22"/>
                <w:szCs w:val="22"/>
              </w:rPr>
            </w:pPr>
            <w:r w:rsidRPr="00205C60">
              <w:rPr>
                <w:rFonts w:ascii="Verdana" w:hAnsi="Verdana" w:cs="Arial"/>
                <w:sz w:val="22"/>
                <w:szCs w:val="22"/>
              </w:rPr>
              <w:t>FORMA DE REPRESENTACION</w:t>
            </w:r>
          </w:p>
        </w:tc>
        <w:tc>
          <w:tcPr>
            <w:tcW w:w="2868" w:type="pct"/>
            <w:shd w:val="clear" w:color="auto" w:fill="auto"/>
            <w:vAlign w:val="center"/>
          </w:tcPr>
          <w:p w14:paraId="3CA7E600" w14:textId="77777777" w:rsidR="008D0232" w:rsidRPr="00205C60" w:rsidRDefault="005C79E5" w:rsidP="00B00B62">
            <w:pPr>
              <w:ind w:right="80"/>
              <w:rPr>
                <w:rFonts w:ascii="Verdana" w:hAnsi="Verdana" w:cs="Arial"/>
                <w:sz w:val="22"/>
                <w:szCs w:val="22"/>
              </w:rPr>
            </w:pPr>
            <w:r w:rsidRPr="00205C60">
              <w:rPr>
                <w:rFonts w:ascii="Verdana" w:hAnsi="Verdana" w:cs="Arial"/>
                <w:sz w:val="22"/>
                <w:szCs w:val="22"/>
              </w:rPr>
              <w:t>Anotación electrónica en cuenta</w:t>
            </w:r>
          </w:p>
        </w:tc>
      </w:tr>
      <w:tr w:rsidR="008D0232" w:rsidRPr="00205C60" w14:paraId="3CA7E604" w14:textId="77777777" w:rsidTr="00B00B62">
        <w:trPr>
          <w:trHeight w:val="367"/>
          <w:jc w:val="center"/>
        </w:trPr>
        <w:tc>
          <w:tcPr>
            <w:tcW w:w="2132" w:type="pct"/>
            <w:shd w:val="clear" w:color="auto" w:fill="auto"/>
            <w:vAlign w:val="center"/>
          </w:tcPr>
          <w:p w14:paraId="3CA7E602" w14:textId="77777777" w:rsidR="008D0232" w:rsidRPr="00205C60" w:rsidDel="00671A33" w:rsidRDefault="008D0232" w:rsidP="00B00B62">
            <w:pPr>
              <w:ind w:left="-70" w:firstLine="55"/>
              <w:rPr>
                <w:rFonts w:ascii="Verdana" w:hAnsi="Verdana" w:cs="Arial"/>
                <w:sz w:val="22"/>
                <w:szCs w:val="22"/>
              </w:rPr>
            </w:pPr>
            <w:r w:rsidRPr="00205C60">
              <w:rPr>
                <w:rFonts w:ascii="Verdana" w:hAnsi="Verdana" w:cs="Arial"/>
                <w:sz w:val="22"/>
                <w:szCs w:val="22"/>
              </w:rPr>
              <w:t>F</w:t>
            </w:r>
            <w:r w:rsidR="00B30275" w:rsidRPr="00205C60">
              <w:rPr>
                <w:rFonts w:ascii="Verdana" w:hAnsi="Verdana" w:cs="Arial"/>
                <w:sz w:val="22"/>
                <w:szCs w:val="22"/>
              </w:rPr>
              <w:t>ORMA DE NEGOCIACION</w:t>
            </w:r>
          </w:p>
        </w:tc>
        <w:tc>
          <w:tcPr>
            <w:tcW w:w="2868" w:type="pct"/>
            <w:shd w:val="clear" w:color="auto" w:fill="auto"/>
            <w:vAlign w:val="center"/>
          </w:tcPr>
          <w:p w14:paraId="3CA7E603" w14:textId="77777777" w:rsidR="008D0232" w:rsidRPr="00205C60" w:rsidDel="00671A33" w:rsidRDefault="008D0232" w:rsidP="00B00B62">
            <w:pPr>
              <w:ind w:right="80"/>
              <w:rPr>
                <w:rFonts w:ascii="Verdana" w:hAnsi="Verdana" w:cs="Arial"/>
                <w:sz w:val="22"/>
                <w:szCs w:val="22"/>
              </w:rPr>
            </w:pPr>
            <w:r w:rsidRPr="00205C60">
              <w:rPr>
                <w:rFonts w:ascii="Verdana" w:hAnsi="Verdana" w:cs="Arial"/>
                <w:sz w:val="22"/>
                <w:szCs w:val="22"/>
              </w:rPr>
              <w:t>P</w:t>
            </w:r>
            <w:r w:rsidR="00871C8A" w:rsidRPr="00205C60">
              <w:rPr>
                <w:rFonts w:ascii="Verdana" w:hAnsi="Verdana" w:cs="Arial"/>
                <w:sz w:val="22"/>
                <w:szCs w:val="22"/>
              </w:rPr>
              <w:t>OR PRECIO</w:t>
            </w:r>
          </w:p>
        </w:tc>
      </w:tr>
      <w:tr w:rsidR="008D0232" w:rsidRPr="00205C60" w14:paraId="3CA7E607" w14:textId="77777777" w:rsidTr="00B00B62">
        <w:trPr>
          <w:trHeight w:val="367"/>
          <w:jc w:val="center"/>
        </w:trPr>
        <w:tc>
          <w:tcPr>
            <w:tcW w:w="2132" w:type="pct"/>
            <w:shd w:val="clear" w:color="auto" w:fill="auto"/>
            <w:vAlign w:val="center"/>
          </w:tcPr>
          <w:p w14:paraId="3CA7E605" w14:textId="77777777" w:rsidR="008D0232" w:rsidRPr="00205C60" w:rsidRDefault="00B30275" w:rsidP="00B00B62">
            <w:pPr>
              <w:ind w:left="-70" w:firstLine="55"/>
              <w:rPr>
                <w:rFonts w:ascii="Verdana" w:hAnsi="Verdana" w:cs="Arial"/>
                <w:sz w:val="22"/>
                <w:szCs w:val="22"/>
              </w:rPr>
            </w:pPr>
            <w:r w:rsidRPr="00205C60">
              <w:rPr>
                <w:rFonts w:ascii="Verdana" w:hAnsi="Verdana" w:cs="Arial"/>
                <w:sz w:val="22"/>
                <w:szCs w:val="22"/>
              </w:rPr>
              <w:t>FORMA DE LIQUIDACION</w:t>
            </w:r>
          </w:p>
        </w:tc>
        <w:tc>
          <w:tcPr>
            <w:tcW w:w="2868" w:type="pct"/>
            <w:shd w:val="clear" w:color="auto" w:fill="auto"/>
            <w:vAlign w:val="center"/>
          </w:tcPr>
          <w:p w14:paraId="3CA7E606" w14:textId="77777777" w:rsidR="008D0232" w:rsidRPr="00205C60" w:rsidRDefault="008D0232" w:rsidP="00B00B62">
            <w:pPr>
              <w:ind w:right="80"/>
              <w:rPr>
                <w:rFonts w:ascii="Verdana" w:hAnsi="Verdana" w:cs="Arial"/>
                <w:sz w:val="22"/>
                <w:szCs w:val="22"/>
              </w:rPr>
            </w:pPr>
            <w:r w:rsidRPr="00205C60">
              <w:rPr>
                <w:rFonts w:ascii="Verdana" w:hAnsi="Verdana" w:cs="Arial"/>
                <w:sz w:val="22"/>
                <w:szCs w:val="22"/>
              </w:rPr>
              <w:t>T + 2</w:t>
            </w:r>
          </w:p>
        </w:tc>
      </w:tr>
      <w:tr w:rsidR="008D0232" w:rsidRPr="00205C60" w14:paraId="3CA7E60A" w14:textId="77777777" w:rsidTr="00B00B62">
        <w:trPr>
          <w:trHeight w:val="263"/>
          <w:jc w:val="center"/>
        </w:trPr>
        <w:tc>
          <w:tcPr>
            <w:tcW w:w="2132" w:type="pct"/>
            <w:shd w:val="clear" w:color="auto" w:fill="auto"/>
            <w:vAlign w:val="center"/>
          </w:tcPr>
          <w:p w14:paraId="3CA7E608" w14:textId="77777777" w:rsidR="008D0232" w:rsidRPr="00205C60" w:rsidRDefault="00B30275" w:rsidP="00B00B62">
            <w:pPr>
              <w:ind w:left="-70" w:firstLine="55"/>
              <w:rPr>
                <w:rFonts w:ascii="Verdana" w:hAnsi="Verdana" w:cs="Arial"/>
                <w:sz w:val="22"/>
                <w:szCs w:val="22"/>
              </w:rPr>
            </w:pPr>
            <w:r w:rsidRPr="00205C60">
              <w:rPr>
                <w:rFonts w:ascii="Verdana" w:hAnsi="Verdana" w:cs="Arial"/>
                <w:sz w:val="22"/>
                <w:szCs w:val="22"/>
              </w:rPr>
              <w:t>LEY DE CIRCULACION</w:t>
            </w:r>
          </w:p>
        </w:tc>
        <w:tc>
          <w:tcPr>
            <w:tcW w:w="2868" w:type="pct"/>
            <w:shd w:val="clear" w:color="auto" w:fill="auto"/>
            <w:vAlign w:val="center"/>
          </w:tcPr>
          <w:p w14:paraId="3CA7E609" w14:textId="77777777" w:rsidR="008D0232" w:rsidRPr="00205C60" w:rsidRDefault="00871C8A" w:rsidP="00B00B62">
            <w:pPr>
              <w:ind w:right="80"/>
              <w:rPr>
                <w:rFonts w:ascii="Verdana" w:hAnsi="Verdana" w:cs="Arial"/>
                <w:sz w:val="22"/>
                <w:szCs w:val="22"/>
              </w:rPr>
            </w:pPr>
            <w:r w:rsidRPr="00205C60">
              <w:rPr>
                <w:rFonts w:ascii="Verdana" w:hAnsi="Verdana" w:cs="Arial"/>
                <w:sz w:val="22"/>
                <w:szCs w:val="22"/>
              </w:rPr>
              <w:t>A LA ORDEN</w:t>
            </w:r>
          </w:p>
        </w:tc>
      </w:tr>
      <w:tr w:rsidR="008D0232" w:rsidRPr="00205C60" w14:paraId="3CA7E60D" w14:textId="77777777" w:rsidTr="00B00B62">
        <w:trPr>
          <w:trHeight w:val="263"/>
          <w:jc w:val="center"/>
        </w:trPr>
        <w:tc>
          <w:tcPr>
            <w:tcW w:w="2132" w:type="pct"/>
            <w:shd w:val="clear" w:color="auto" w:fill="auto"/>
            <w:vAlign w:val="center"/>
          </w:tcPr>
          <w:p w14:paraId="3CA7E60B" w14:textId="77777777" w:rsidR="008D0232" w:rsidRPr="00205C60" w:rsidRDefault="00B30275" w:rsidP="00B00B62">
            <w:pPr>
              <w:ind w:left="-70" w:firstLine="55"/>
              <w:rPr>
                <w:rFonts w:ascii="Verdana" w:hAnsi="Verdana" w:cs="Arial"/>
                <w:sz w:val="22"/>
                <w:szCs w:val="22"/>
              </w:rPr>
            </w:pPr>
            <w:r w:rsidRPr="00205C60">
              <w:rPr>
                <w:rFonts w:ascii="Verdana" w:hAnsi="Verdana" w:cs="Arial"/>
                <w:sz w:val="22"/>
                <w:szCs w:val="22"/>
              </w:rPr>
              <w:t>CALIFICACION DE RIESGO</w:t>
            </w:r>
          </w:p>
        </w:tc>
        <w:tc>
          <w:tcPr>
            <w:tcW w:w="2868" w:type="pct"/>
            <w:shd w:val="clear" w:color="auto" w:fill="auto"/>
            <w:vAlign w:val="center"/>
          </w:tcPr>
          <w:p w14:paraId="3CA7E60C" w14:textId="77777777" w:rsidR="008D0232" w:rsidRPr="00205C60" w:rsidRDefault="008D0232" w:rsidP="00B00B62">
            <w:pPr>
              <w:ind w:right="80"/>
              <w:rPr>
                <w:rFonts w:ascii="Verdana" w:hAnsi="Verdana" w:cs="Arial"/>
                <w:sz w:val="22"/>
                <w:szCs w:val="22"/>
              </w:rPr>
            </w:pPr>
            <w:r w:rsidRPr="00205C60">
              <w:rPr>
                <w:rFonts w:ascii="Verdana" w:hAnsi="Verdana" w:cs="Arial"/>
                <w:sz w:val="22"/>
                <w:szCs w:val="22"/>
              </w:rPr>
              <w:t>AAA (cri)</w:t>
            </w:r>
          </w:p>
        </w:tc>
      </w:tr>
    </w:tbl>
    <w:p w14:paraId="3CA7E60E" w14:textId="77777777" w:rsidR="008D0232" w:rsidRPr="00205C60" w:rsidRDefault="008D0232" w:rsidP="008D0232">
      <w:pPr>
        <w:jc w:val="both"/>
        <w:rPr>
          <w:rFonts w:ascii="Verdana" w:hAnsi="Verdana"/>
          <w:sz w:val="22"/>
          <w:szCs w:val="22"/>
        </w:rPr>
      </w:pPr>
    </w:p>
    <w:p w14:paraId="3CA7E60F" w14:textId="7AFBB017" w:rsidR="008D0232" w:rsidRPr="00205C60" w:rsidRDefault="008D0232" w:rsidP="008D0232">
      <w:pPr>
        <w:tabs>
          <w:tab w:val="center" w:pos="4252"/>
          <w:tab w:val="right" w:pos="8504"/>
        </w:tabs>
        <w:ind w:right="24"/>
        <w:jc w:val="both"/>
        <w:rPr>
          <w:rFonts w:ascii="Verdana" w:hAnsi="Verdana" w:cs="Arial"/>
          <w:sz w:val="22"/>
          <w:szCs w:val="22"/>
        </w:rPr>
      </w:pPr>
      <w:r w:rsidRPr="00205C60">
        <w:rPr>
          <w:rFonts w:ascii="Verdana" w:hAnsi="Verdana" w:cs="Arial"/>
          <w:b/>
          <w:sz w:val="22"/>
          <w:szCs w:val="22"/>
        </w:rPr>
        <w:t>Notas:</w:t>
      </w:r>
      <w:r w:rsidRPr="00205C60">
        <w:rPr>
          <w:rFonts w:ascii="Verdana" w:hAnsi="Verdana" w:cs="Arial"/>
          <w:sz w:val="22"/>
          <w:szCs w:val="22"/>
        </w:rPr>
        <w:br w:type="textWrapping" w:clear="all"/>
      </w:r>
      <w:proofErr w:type="gramStart"/>
      <w:r w:rsidR="001842CA" w:rsidRPr="00205C60">
        <w:rPr>
          <w:rFonts w:ascii="Verdana" w:hAnsi="Verdana" w:cs="Arial"/>
          <w:sz w:val="22"/>
          <w:szCs w:val="22"/>
          <w:vertAlign w:val="superscript"/>
        </w:rPr>
        <w:t xml:space="preserve">1 </w:t>
      </w:r>
      <w:r w:rsidR="004C7BF1" w:rsidRPr="00205C60">
        <w:rPr>
          <w:rFonts w:ascii="Verdana" w:hAnsi="Verdana" w:cs="Arial"/>
          <w:sz w:val="22"/>
          <w:szCs w:val="22"/>
          <w:vertAlign w:val="superscript"/>
        </w:rPr>
        <w:t xml:space="preserve"> </w:t>
      </w:r>
      <w:r w:rsidR="004C7BF1" w:rsidRPr="00205C60">
        <w:rPr>
          <w:rFonts w:ascii="Verdana" w:hAnsi="Verdana" w:cs="Arial"/>
          <w:sz w:val="22"/>
          <w:szCs w:val="22"/>
        </w:rPr>
        <w:t>Estas</w:t>
      </w:r>
      <w:proofErr w:type="gramEnd"/>
      <w:r w:rsidR="004C7BF1" w:rsidRPr="00205C60">
        <w:rPr>
          <w:rFonts w:ascii="Verdana" w:hAnsi="Verdana" w:cs="Arial"/>
          <w:sz w:val="22"/>
          <w:szCs w:val="22"/>
        </w:rPr>
        <w:t xml:space="preserve"> ca</w:t>
      </w:r>
      <w:r w:rsidRPr="00205C60">
        <w:rPr>
          <w:rFonts w:ascii="Verdana" w:hAnsi="Verdana" w:cs="Arial"/>
          <w:sz w:val="22"/>
          <w:szCs w:val="22"/>
        </w:rPr>
        <w:t xml:space="preserve">racterísticas se definirán por medio de comunicado de Hecho Relevante dos (2) días hábiles antes de la colocación de cada serie.  </w:t>
      </w:r>
    </w:p>
    <w:p w14:paraId="3CA7E610" w14:textId="77777777" w:rsidR="00042474" w:rsidRPr="00205C60" w:rsidRDefault="00042474" w:rsidP="00464A0E">
      <w:pPr>
        <w:jc w:val="both"/>
        <w:rPr>
          <w:rFonts w:ascii="Verdana" w:hAnsi="Verdana"/>
          <w:sz w:val="22"/>
          <w:szCs w:val="22"/>
          <w:lang w:val="es-ES_tradnl"/>
        </w:rPr>
      </w:pPr>
    </w:p>
    <w:p w14:paraId="3CA7E615" w14:textId="4206943B" w:rsidR="0030261D" w:rsidRPr="00205C60" w:rsidRDefault="004677DD" w:rsidP="0030261D">
      <w:pPr>
        <w:jc w:val="both"/>
        <w:rPr>
          <w:rFonts w:ascii="Verdana" w:hAnsi="Verdana" w:cs="Arial"/>
          <w:sz w:val="22"/>
          <w:szCs w:val="22"/>
        </w:rPr>
      </w:pPr>
      <w:r w:rsidRPr="00205C60">
        <w:rPr>
          <w:rFonts w:ascii="Verdana" w:hAnsi="Verdana" w:cs="Arial"/>
          <w:sz w:val="22"/>
          <w:szCs w:val="22"/>
        </w:rPr>
        <w:t xml:space="preserve">A la fecha se ha colocado </w:t>
      </w:r>
      <w:r w:rsidR="006903CD" w:rsidRPr="00205C60">
        <w:rPr>
          <w:rFonts w:ascii="Verdana" w:hAnsi="Verdana" w:cs="Arial"/>
          <w:sz w:val="22"/>
          <w:szCs w:val="22"/>
        </w:rPr>
        <w:t xml:space="preserve">la totalidad del programa en </w:t>
      </w:r>
      <w:r w:rsidRPr="00205C60">
        <w:rPr>
          <w:rFonts w:ascii="Verdana" w:hAnsi="Verdana" w:cs="Arial"/>
          <w:sz w:val="22"/>
          <w:szCs w:val="22"/>
        </w:rPr>
        <w:t>series de bonos cuyas características se detallan a continuación:</w:t>
      </w:r>
    </w:p>
    <w:p w14:paraId="3CA7E616" w14:textId="77777777" w:rsidR="00DB5038" w:rsidRPr="00205C60" w:rsidRDefault="00DB5038" w:rsidP="0030261D">
      <w:pPr>
        <w:jc w:val="both"/>
        <w:rPr>
          <w:rFonts w:ascii="Verdana" w:hAnsi="Verdana" w:cs="Arial"/>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4394"/>
      </w:tblGrid>
      <w:tr w:rsidR="001E55E9" w:rsidRPr="00205C60" w14:paraId="3CA7E619" w14:textId="77777777" w:rsidTr="005F015D">
        <w:tc>
          <w:tcPr>
            <w:tcW w:w="2835" w:type="dxa"/>
            <w:shd w:val="clear" w:color="auto" w:fill="auto"/>
            <w:vAlign w:val="center"/>
          </w:tcPr>
          <w:p w14:paraId="3CA7E617" w14:textId="77777777" w:rsidR="001E55E9" w:rsidRPr="00205C60" w:rsidRDefault="001E55E9" w:rsidP="005F015D">
            <w:pPr>
              <w:jc w:val="center"/>
              <w:rPr>
                <w:rFonts w:ascii="Verdana" w:hAnsi="Verdana" w:cs="Arial"/>
                <w:b/>
                <w:sz w:val="22"/>
                <w:szCs w:val="22"/>
              </w:rPr>
            </w:pPr>
            <w:r w:rsidRPr="00205C60">
              <w:rPr>
                <w:rFonts w:ascii="Verdana" w:hAnsi="Verdana" w:cs="Arial"/>
                <w:b/>
                <w:sz w:val="22"/>
                <w:szCs w:val="22"/>
              </w:rPr>
              <w:t>DETALLE</w:t>
            </w:r>
          </w:p>
        </w:tc>
        <w:tc>
          <w:tcPr>
            <w:tcW w:w="4394" w:type="dxa"/>
            <w:shd w:val="clear" w:color="auto" w:fill="auto"/>
            <w:vAlign w:val="center"/>
          </w:tcPr>
          <w:p w14:paraId="3CA7E618" w14:textId="77777777" w:rsidR="001E55E9" w:rsidRPr="00205C60" w:rsidRDefault="001E55E9" w:rsidP="005F015D">
            <w:pPr>
              <w:jc w:val="center"/>
              <w:rPr>
                <w:rFonts w:ascii="Verdana" w:hAnsi="Verdana" w:cs="Arial"/>
                <w:b/>
                <w:sz w:val="22"/>
                <w:szCs w:val="22"/>
              </w:rPr>
            </w:pPr>
            <w:r w:rsidRPr="00205C60">
              <w:rPr>
                <w:rFonts w:ascii="Verdana" w:hAnsi="Verdana" w:cs="Arial"/>
                <w:b/>
                <w:sz w:val="22"/>
                <w:szCs w:val="22"/>
              </w:rPr>
              <w:t>SERIE B-2</w:t>
            </w:r>
          </w:p>
        </w:tc>
      </w:tr>
      <w:tr w:rsidR="001E55E9" w:rsidRPr="00205C60" w14:paraId="3CA7E61C" w14:textId="77777777" w:rsidTr="005F015D">
        <w:tc>
          <w:tcPr>
            <w:tcW w:w="2835" w:type="dxa"/>
            <w:shd w:val="clear" w:color="auto" w:fill="auto"/>
            <w:vAlign w:val="center"/>
          </w:tcPr>
          <w:p w14:paraId="3CA7E61A" w14:textId="77777777" w:rsidR="001E55E9" w:rsidRPr="00205C60" w:rsidRDefault="001E55E9" w:rsidP="005F015D">
            <w:pPr>
              <w:rPr>
                <w:rFonts w:ascii="Verdana" w:hAnsi="Verdana" w:cs="Arial"/>
                <w:sz w:val="22"/>
                <w:szCs w:val="22"/>
              </w:rPr>
            </w:pPr>
            <w:r w:rsidRPr="00205C60">
              <w:rPr>
                <w:rFonts w:ascii="Verdana" w:hAnsi="Verdana" w:cs="Arial"/>
                <w:sz w:val="22"/>
                <w:szCs w:val="22"/>
              </w:rPr>
              <w:t>Clase de instrumento</w:t>
            </w:r>
          </w:p>
        </w:tc>
        <w:tc>
          <w:tcPr>
            <w:tcW w:w="4394" w:type="dxa"/>
            <w:shd w:val="clear" w:color="auto" w:fill="auto"/>
            <w:vAlign w:val="center"/>
          </w:tcPr>
          <w:p w14:paraId="3CA7E61B" w14:textId="77777777" w:rsidR="001E55E9" w:rsidRPr="00205C60" w:rsidRDefault="001E55E9" w:rsidP="005F015D">
            <w:pPr>
              <w:rPr>
                <w:rFonts w:ascii="Verdana" w:hAnsi="Verdana" w:cs="Arial"/>
                <w:sz w:val="22"/>
                <w:szCs w:val="22"/>
              </w:rPr>
            </w:pPr>
            <w:r w:rsidRPr="00205C60">
              <w:rPr>
                <w:rFonts w:ascii="Verdana" w:hAnsi="Verdana" w:cs="Arial"/>
                <w:sz w:val="22"/>
                <w:szCs w:val="22"/>
              </w:rPr>
              <w:t>Bonos Estandarizados</w:t>
            </w:r>
          </w:p>
        </w:tc>
      </w:tr>
      <w:tr w:rsidR="001E55E9" w:rsidRPr="00205C60" w14:paraId="3CA7E61F" w14:textId="77777777" w:rsidTr="005F015D">
        <w:tc>
          <w:tcPr>
            <w:tcW w:w="2835" w:type="dxa"/>
            <w:shd w:val="clear" w:color="auto" w:fill="auto"/>
            <w:vAlign w:val="center"/>
          </w:tcPr>
          <w:p w14:paraId="3CA7E61D" w14:textId="77777777" w:rsidR="001E55E9" w:rsidRPr="00205C60" w:rsidRDefault="001E55E9" w:rsidP="005F015D">
            <w:pPr>
              <w:rPr>
                <w:rFonts w:ascii="Verdana" w:hAnsi="Verdana" w:cs="Arial"/>
                <w:sz w:val="22"/>
                <w:szCs w:val="22"/>
              </w:rPr>
            </w:pPr>
            <w:r w:rsidRPr="00205C60">
              <w:rPr>
                <w:rFonts w:ascii="Verdana" w:hAnsi="Verdana" w:cs="Arial"/>
                <w:sz w:val="22"/>
                <w:szCs w:val="22"/>
              </w:rPr>
              <w:t>Código ISIN</w:t>
            </w:r>
          </w:p>
        </w:tc>
        <w:tc>
          <w:tcPr>
            <w:tcW w:w="4394" w:type="dxa"/>
            <w:shd w:val="clear" w:color="auto" w:fill="auto"/>
            <w:vAlign w:val="center"/>
          </w:tcPr>
          <w:p w14:paraId="3CA7E61E" w14:textId="77777777" w:rsidR="001E55E9" w:rsidRPr="00205C60" w:rsidRDefault="001E55E9" w:rsidP="005F015D">
            <w:pPr>
              <w:rPr>
                <w:rFonts w:ascii="Verdana" w:hAnsi="Verdana" w:cs="Arial"/>
                <w:sz w:val="22"/>
                <w:szCs w:val="22"/>
              </w:rPr>
            </w:pPr>
            <w:r w:rsidRPr="00205C60">
              <w:rPr>
                <w:rFonts w:ascii="Verdana" w:hAnsi="Verdana" w:cs="Arial"/>
                <w:sz w:val="22"/>
                <w:szCs w:val="22"/>
              </w:rPr>
              <w:t>CRCFLUZB0215</w:t>
            </w:r>
          </w:p>
        </w:tc>
      </w:tr>
      <w:tr w:rsidR="001E55E9" w:rsidRPr="00205C60" w14:paraId="3CA7E622" w14:textId="77777777" w:rsidTr="005F015D">
        <w:tc>
          <w:tcPr>
            <w:tcW w:w="2835" w:type="dxa"/>
            <w:shd w:val="clear" w:color="auto" w:fill="auto"/>
            <w:vAlign w:val="center"/>
          </w:tcPr>
          <w:p w14:paraId="3CA7E620" w14:textId="77777777" w:rsidR="001E55E9" w:rsidRPr="00205C60" w:rsidRDefault="001E55E9" w:rsidP="005F015D">
            <w:pPr>
              <w:rPr>
                <w:rFonts w:ascii="Verdana" w:hAnsi="Verdana" w:cs="Arial"/>
                <w:sz w:val="22"/>
                <w:szCs w:val="22"/>
              </w:rPr>
            </w:pPr>
            <w:r w:rsidRPr="00205C60">
              <w:rPr>
                <w:rFonts w:ascii="Verdana" w:hAnsi="Verdana" w:cs="Arial"/>
                <w:sz w:val="22"/>
                <w:szCs w:val="22"/>
              </w:rPr>
              <w:t>Instrumento</w:t>
            </w:r>
          </w:p>
        </w:tc>
        <w:tc>
          <w:tcPr>
            <w:tcW w:w="4394" w:type="dxa"/>
            <w:shd w:val="clear" w:color="auto" w:fill="auto"/>
            <w:vAlign w:val="center"/>
          </w:tcPr>
          <w:p w14:paraId="3CA7E621" w14:textId="77777777" w:rsidR="001E55E9" w:rsidRPr="00205C60" w:rsidRDefault="001E55E9" w:rsidP="005F015D">
            <w:pPr>
              <w:rPr>
                <w:rFonts w:ascii="Verdana" w:hAnsi="Verdana" w:cs="Arial"/>
                <w:sz w:val="22"/>
                <w:szCs w:val="22"/>
              </w:rPr>
            </w:pPr>
            <w:r w:rsidRPr="00205C60">
              <w:rPr>
                <w:rFonts w:ascii="Verdana" w:hAnsi="Verdana" w:cs="Arial"/>
                <w:sz w:val="22"/>
                <w:szCs w:val="22"/>
              </w:rPr>
              <w:t>bcfb2</w:t>
            </w:r>
          </w:p>
        </w:tc>
      </w:tr>
      <w:tr w:rsidR="001E55E9" w:rsidRPr="00205C60" w14:paraId="3CA7E625" w14:textId="77777777" w:rsidTr="005F015D">
        <w:tc>
          <w:tcPr>
            <w:tcW w:w="2835" w:type="dxa"/>
            <w:shd w:val="clear" w:color="auto" w:fill="auto"/>
            <w:vAlign w:val="center"/>
          </w:tcPr>
          <w:p w14:paraId="3CA7E623" w14:textId="77777777" w:rsidR="001E55E9" w:rsidRPr="00205C60" w:rsidRDefault="001E55E9" w:rsidP="005F015D">
            <w:pPr>
              <w:rPr>
                <w:rFonts w:ascii="Verdana" w:hAnsi="Verdana" w:cs="Arial"/>
                <w:sz w:val="22"/>
                <w:szCs w:val="22"/>
              </w:rPr>
            </w:pPr>
            <w:r w:rsidRPr="00205C60">
              <w:rPr>
                <w:rFonts w:ascii="Verdana" w:hAnsi="Verdana" w:cs="Arial"/>
                <w:sz w:val="22"/>
                <w:szCs w:val="22"/>
              </w:rPr>
              <w:t>Moneda</w:t>
            </w:r>
          </w:p>
        </w:tc>
        <w:tc>
          <w:tcPr>
            <w:tcW w:w="4394" w:type="dxa"/>
            <w:shd w:val="clear" w:color="auto" w:fill="auto"/>
            <w:vAlign w:val="center"/>
          </w:tcPr>
          <w:p w14:paraId="3CA7E624" w14:textId="77777777" w:rsidR="001E55E9" w:rsidRPr="00205C60" w:rsidRDefault="001E55E9" w:rsidP="005F015D">
            <w:pPr>
              <w:rPr>
                <w:rFonts w:ascii="Verdana" w:hAnsi="Verdana" w:cs="Arial"/>
                <w:sz w:val="22"/>
                <w:szCs w:val="22"/>
              </w:rPr>
            </w:pPr>
            <w:r w:rsidRPr="00205C60">
              <w:rPr>
                <w:rFonts w:ascii="Verdana" w:hAnsi="Verdana" w:cs="Arial"/>
                <w:sz w:val="22"/>
                <w:szCs w:val="22"/>
              </w:rPr>
              <w:t>Colones moneda de curso legal de la República de Costa Rica</w:t>
            </w:r>
          </w:p>
        </w:tc>
      </w:tr>
      <w:tr w:rsidR="001E55E9" w:rsidRPr="00205C60" w14:paraId="3CA7E628" w14:textId="77777777" w:rsidTr="005F015D">
        <w:tc>
          <w:tcPr>
            <w:tcW w:w="2835" w:type="dxa"/>
            <w:shd w:val="clear" w:color="auto" w:fill="auto"/>
            <w:vAlign w:val="center"/>
          </w:tcPr>
          <w:p w14:paraId="3CA7E626" w14:textId="77777777" w:rsidR="001E55E9" w:rsidRPr="00205C60" w:rsidRDefault="001E55E9" w:rsidP="005F015D">
            <w:pPr>
              <w:rPr>
                <w:rFonts w:ascii="Verdana" w:hAnsi="Verdana" w:cs="Arial"/>
                <w:sz w:val="22"/>
                <w:szCs w:val="22"/>
              </w:rPr>
            </w:pPr>
            <w:r w:rsidRPr="00205C60">
              <w:rPr>
                <w:rFonts w:ascii="Verdana" w:hAnsi="Verdana" w:cs="Arial"/>
                <w:sz w:val="22"/>
                <w:szCs w:val="22"/>
              </w:rPr>
              <w:t>Monto total de la emisión</w:t>
            </w:r>
          </w:p>
        </w:tc>
        <w:tc>
          <w:tcPr>
            <w:tcW w:w="4394" w:type="dxa"/>
            <w:shd w:val="clear" w:color="auto" w:fill="auto"/>
            <w:vAlign w:val="center"/>
          </w:tcPr>
          <w:p w14:paraId="3CA7E627" w14:textId="5ED2825E" w:rsidR="001E55E9" w:rsidRPr="00205C60" w:rsidRDefault="003C746A" w:rsidP="005F015D">
            <w:pPr>
              <w:rPr>
                <w:rFonts w:ascii="Verdana" w:hAnsi="Verdana" w:cs="Arial"/>
                <w:sz w:val="22"/>
                <w:szCs w:val="22"/>
              </w:rPr>
            </w:pPr>
            <w:r w:rsidRPr="00205C60">
              <w:rPr>
                <w:rFonts w:ascii="Verdana" w:hAnsi="Verdana" w:cs="Arial"/>
                <w:sz w:val="22"/>
                <w:szCs w:val="22"/>
              </w:rPr>
              <w:t>₡</w:t>
            </w:r>
            <w:r w:rsidR="001E55E9" w:rsidRPr="00205C60">
              <w:rPr>
                <w:rFonts w:ascii="Verdana" w:hAnsi="Verdana" w:cs="Arial"/>
                <w:sz w:val="22"/>
                <w:szCs w:val="22"/>
              </w:rPr>
              <w:t xml:space="preserve"> 15.000.000.000,00</w:t>
            </w:r>
          </w:p>
        </w:tc>
      </w:tr>
      <w:tr w:rsidR="001E55E9" w:rsidRPr="00205C60" w14:paraId="3CA7E62B" w14:textId="77777777" w:rsidTr="005F015D">
        <w:tc>
          <w:tcPr>
            <w:tcW w:w="2835" w:type="dxa"/>
            <w:shd w:val="clear" w:color="auto" w:fill="auto"/>
            <w:vAlign w:val="center"/>
          </w:tcPr>
          <w:p w14:paraId="3CA7E629" w14:textId="77777777" w:rsidR="001E55E9" w:rsidRPr="00205C60" w:rsidRDefault="001E55E9" w:rsidP="005F015D">
            <w:pPr>
              <w:rPr>
                <w:rFonts w:ascii="Verdana" w:hAnsi="Verdana" w:cs="Arial"/>
                <w:sz w:val="22"/>
                <w:szCs w:val="22"/>
              </w:rPr>
            </w:pPr>
            <w:r w:rsidRPr="00205C60">
              <w:rPr>
                <w:rFonts w:ascii="Verdana" w:hAnsi="Verdana" w:cs="Arial"/>
                <w:sz w:val="22"/>
                <w:szCs w:val="22"/>
              </w:rPr>
              <w:t>Valor facial</w:t>
            </w:r>
          </w:p>
        </w:tc>
        <w:tc>
          <w:tcPr>
            <w:tcW w:w="4394" w:type="dxa"/>
            <w:shd w:val="clear" w:color="auto" w:fill="auto"/>
            <w:vAlign w:val="center"/>
          </w:tcPr>
          <w:p w14:paraId="3CA7E62A" w14:textId="7C88F598" w:rsidR="001E55E9" w:rsidRPr="00205C60" w:rsidRDefault="003C746A" w:rsidP="005F015D">
            <w:pPr>
              <w:rPr>
                <w:rFonts w:ascii="Verdana" w:hAnsi="Verdana" w:cs="Arial"/>
                <w:sz w:val="22"/>
                <w:szCs w:val="22"/>
              </w:rPr>
            </w:pPr>
            <w:r w:rsidRPr="00205C60">
              <w:rPr>
                <w:rFonts w:ascii="Verdana" w:hAnsi="Verdana" w:cs="Arial"/>
                <w:sz w:val="22"/>
                <w:szCs w:val="22"/>
              </w:rPr>
              <w:t>₡</w:t>
            </w:r>
            <w:r w:rsidR="001E55E9" w:rsidRPr="00205C60">
              <w:rPr>
                <w:rFonts w:ascii="Verdana" w:hAnsi="Verdana" w:cs="Arial"/>
                <w:sz w:val="22"/>
                <w:szCs w:val="22"/>
              </w:rPr>
              <w:t xml:space="preserve"> 1.000.000,00</w:t>
            </w:r>
          </w:p>
        </w:tc>
      </w:tr>
      <w:tr w:rsidR="001E55E9" w:rsidRPr="00205C60" w14:paraId="3CA7E62E" w14:textId="77777777" w:rsidTr="005F015D">
        <w:tc>
          <w:tcPr>
            <w:tcW w:w="2835" w:type="dxa"/>
            <w:shd w:val="clear" w:color="auto" w:fill="auto"/>
            <w:vAlign w:val="center"/>
          </w:tcPr>
          <w:p w14:paraId="3CA7E62C" w14:textId="77777777" w:rsidR="001E55E9" w:rsidRPr="00205C60" w:rsidRDefault="001E55E9" w:rsidP="005F015D">
            <w:pPr>
              <w:rPr>
                <w:rFonts w:ascii="Verdana" w:hAnsi="Verdana" w:cs="Arial"/>
                <w:sz w:val="22"/>
                <w:szCs w:val="22"/>
              </w:rPr>
            </w:pPr>
            <w:r w:rsidRPr="00205C60">
              <w:rPr>
                <w:rFonts w:ascii="Verdana" w:hAnsi="Verdana" w:cs="Arial"/>
                <w:sz w:val="22"/>
                <w:szCs w:val="22"/>
              </w:rPr>
              <w:t>Fecha de emisión</w:t>
            </w:r>
          </w:p>
        </w:tc>
        <w:tc>
          <w:tcPr>
            <w:tcW w:w="4394" w:type="dxa"/>
            <w:shd w:val="clear" w:color="auto" w:fill="auto"/>
            <w:vAlign w:val="center"/>
          </w:tcPr>
          <w:p w14:paraId="3CA7E62D" w14:textId="77777777" w:rsidR="001E55E9" w:rsidRPr="00205C60" w:rsidRDefault="001E55E9" w:rsidP="005F015D">
            <w:pPr>
              <w:rPr>
                <w:rFonts w:ascii="Verdana" w:hAnsi="Verdana" w:cs="Arial"/>
                <w:sz w:val="22"/>
                <w:szCs w:val="22"/>
              </w:rPr>
            </w:pPr>
            <w:r w:rsidRPr="00205C60">
              <w:rPr>
                <w:rFonts w:ascii="Verdana" w:hAnsi="Verdana" w:cs="Arial"/>
                <w:sz w:val="22"/>
                <w:szCs w:val="22"/>
              </w:rPr>
              <w:t>28 de junio del 2011</w:t>
            </w:r>
          </w:p>
        </w:tc>
      </w:tr>
      <w:tr w:rsidR="001E55E9" w:rsidRPr="00205C60" w14:paraId="3CA7E631" w14:textId="77777777" w:rsidTr="005F015D">
        <w:tc>
          <w:tcPr>
            <w:tcW w:w="2835" w:type="dxa"/>
            <w:shd w:val="clear" w:color="auto" w:fill="auto"/>
            <w:vAlign w:val="center"/>
          </w:tcPr>
          <w:p w14:paraId="3CA7E62F" w14:textId="77777777" w:rsidR="001E55E9" w:rsidRPr="00205C60" w:rsidRDefault="001E55E9" w:rsidP="005F015D">
            <w:pPr>
              <w:rPr>
                <w:rFonts w:ascii="Verdana" w:hAnsi="Verdana" w:cs="Arial"/>
                <w:sz w:val="22"/>
                <w:szCs w:val="22"/>
              </w:rPr>
            </w:pPr>
            <w:r w:rsidRPr="00205C60">
              <w:rPr>
                <w:rFonts w:ascii="Verdana" w:hAnsi="Verdana" w:cs="Arial"/>
                <w:sz w:val="22"/>
                <w:szCs w:val="22"/>
              </w:rPr>
              <w:t>Fecha de vencimiento</w:t>
            </w:r>
          </w:p>
        </w:tc>
        <w:tc>
          <w:tcPr>
            <w:tcW w:w="4394" w:type="dxa"/>
            <w:shd w:val="clear" w:color="auto" w:fill="auto"/>
            <w:vAlign w:val="center"/>
          </w:tcPr>
          <w:p w14:paraId="3CA7E630" w14:textId="77777777" w:rsidR="001E55E9" w:rsidRPr="00205C60" w:rsidRDefault="001E55E9" w:rsidP="005F015D">
            <w:pPr>
              <w:rPr>
                <w:rFonts w:ascii="Verdana" w:hAnsi="Verdana" w:cs="Arial"/>
                <w:sz w:val="22"/>
                <w:szCs w:val="22"/>
              </w:rPr>
            </w:pPr>
            <w:r w:rsidRPr="00205C60">
              <w:rPr>
                <w:rFonts w:ascii="Verdana" w:hAnsi="Verdana" w:cs="Arial"/>
                <w:sz w:val="22"/>
                <w:szCs w:val="22"/>
              </w:rPr>
              <w:t>28 de junio del 2023</w:t>
            </w:r>
          </w:p>
        </w:tc>
      </w:tr>
      <w:tr w:rsidR="001E55E9" w:rsidRPr="00205C60" w14:paraId="3CA7E634" w14:textId="77777777" w:rsidTr="005F015D">
        <w:tc>
          <w:tcPr>
            <w:tcW w:w="2835" w:type="dxa"/>
            <w:shd w:val="clear" w:color="auto" w:fill="auto"/>
            <w:vAlign w:val="center"/>
          </w:tcPr>
          <w:p w14:paraId="3CA7E632" w14:textId="77777777" w:rsidR="001E55E9" w:rsidRPr="00205C60" w:rsidRDefault="001E55E9" w:rsidP="005F015D">
            <w:pPr>
              <w:rPr>
                <w:rFonts w:ascii="Verdana" w:hAnsi="Verdana" w:cs="Arial"/>
                <w:sz w:val="22"/>
                <w:szCs w:val="22"/>
              </w:rPr>
            </w:pPr>
            <w:r w:rsidRPr="00205C60">
              <w:rPr>
                <w:rFonts w:ascii="Verdana" w:hAnsi="Verdana" w:cs="Arial"/>
                <w:sz w:val="22"/>
                <w:szCs w:val="22"/>
              </w:rPr>
              <w:t>Plazo</w:t>
            </w:r>
          </w:p>
        </w:tc>
        <w:tc>
          <w:tcPr>
            <w:tcW w:w="4394" w:type="dxa"/>
            <w:shd w:val="clear" w:color="auto" w:fill="auto"/>
            <w:vAlign w:val="center"/>
          </w:tcPr>
          <w:p w14:paraId="3CA7E633" w14:textId="77777777" w:rsidR="001E55E9" w:rsidRPr="00205C60" w:rsidRDefault="001E55E9" w:rsidP="005F015D">
            <w:pPr>
              <w:rPr>
                <w:rFonts w:ascii="Verdana" w:hAnsi="Verdana" w:cs="Arial"/>
                <w:sz w:val="22"/>
                <w:szCs w:val="22"/>
              </w:rPr>
            </w:pPr>
            <w:r w:rsidRPr="00205C60">
              <w:rPr>
                <w:rFonts w:ascii="Verdana" w:hAnsi="Verdana" w:cs="Arial"/>
                <w:sz w:val="22"/>
                <w:szCs w:val="22"/>
              </w:rPr>
              <w:t>12 años</w:t>
            </w:r>
          </w:p>
        </w:tc>
      </w:tr>
      <w:tr w:rsidR="001E55E9" w:rsidRPr="00205C60" w14:paraId="3CA7E637" w14:textId="77777777" w:rsidTr="005F015D">
        <w:tc>
          <w:tcPr>
            <w:tcW w:w="2835" w:type="dxa"/>
            <w:shd w:val="clear" w:color="auto" w:fill="auto"/>
            <w:vAlign w:val="center"/>
          </w:tcPr>
          <w:p w14:paraId="3CA7E635" w14:textId="77777777" w:rsidR="001E55E9" w:rsidRPr="00205C60" w:rsidRDefault="001E55E9" w:rsidP="005F015D">
            <w:pPr>
              <w:rPr>
                <w:rFonts w:ascii="Verdana" w:hAnsi="Verdana" w:cs="Arial"/>
                <w:sz w:val="22"/>
                <w:szCs w:val="22"/>
              </w:rPr>
            </w:pPr>
            <w:r w:rsidRPr="00205C60">
              <w:rPr>
                <w:rFonts w:ascii="Verdana" w:hAnsi="Verdana" w:cs="Arial"/>
                <w:sz w:val="22"/>
                <w:szCs w:val="22"/>
              </w:rPr>
              <w:t>Tasa de interés bruta</w:t>
            </w:r>
          </w:p>
        </w:tc>
        <w:tc>
          <w:tcPr>
            <w:tcW w:w="4394" w:type="dxa"/>
            <w:shd w:val="clear" w:color="auto" w:fill="auto"/>
            <w:vAlign w:val="center"/>
          </w:tcPr>
          <w:p w14:paraId="3CA7E636" w14:textId="77777777" w:rsidR="001E55E9" w:rsidRPr="00205C60" w:rsidRDefault="001E55E9" w:rsidP="005F015D">
            <w:pPr>
              <w:rPr>
                <w:rFonts w:ascii="Verdana" w:hAnsi="Verdana" w:cs="Arial"/>
                <w:sz w:val="22"/>
                <w:szCs w:val="22"/>
              </w:rPr>
            </w:pPr>
            <w:r w:rsidRPr="00205C60">
              <w:rPr>
                <w:rFonts w:ascii="Verdana" w:hAnsi="Verdana" w:cs="Arial"/>
                <w:sz w:val="22"/>
                <w:szCs w:val="22"/>
              </w:rPr>
              <w:t>Tasa básica + 3,27%</w:t>
            </w:r>
          </w:p>
        </w:tc>
      </w:tr>
      <w:tr w:rsidR="001E55E9" w:rsidRPr="00205C60" w14:paraId="3CA7E63A" w14:textId="77777777" w:rsidTr="005F015D">
        <w:tc>
          <w:tcPr>
            <w:tcW w:w="2835" w:type="dxa"/>
            <w:shd w:val="clear" w:color="auto" w:fill="auto"/>
            <w:vAlign w:val="center"/>
          </w:tcPr>
          <w:p w14:paraId="3CA7E638" w14:textId="77777777" w:rsidR="001E55E9" w:rsidRPr="00205C60" w:rsidRDefault="001E55E9" w:rsidP="005F015D">
            <w:pPr>
              <w:rPr>
                <w:rFonts w:ascii="Verdana" w:hAnsi="Verdana" w:cs="Arial"/>
                <w:sz w:val="22"/>
                <w:szCs w:val="22"/>
              </w:rPr>
            </w:pPr>
            <w:r w:rsidRPr="00205C60">
              <w:rPr>
                <w:rFonts w:ascii="Verdana" w:hAnsi="Verdana" w:cs="Arial"/>
                <w:sz w:val="22"/>
                <w:szCs w:val="22"/>
              </w:rPr>
              <w:t>Tasa de interés neta</w:t>
            </w:r>
          </w:p>
        </w:tc>
        <w:tc>
          <w:tcPr>
            <w:tcW w:w="4394" w:type="dxa"/>
            <w:shd w:val="clear" w:color="auto" w:fill="auto"/>
            <w:vAlign w:val="center"/>
          </w:tcPr>
          <w:p w14:paraId="3CA7E639" w14:textId="77777777" w:rsidR="001E55E9" w:rsidRPr="00205C60" w:rsidRDefault="001E55E9" w:rsidP="005F015D">
            <w:pPr>
              <w:rPr>
                <w:rFonts w:ascii="Verdana" w:hAnsi="Verdana" w:cs="Arial"/>
                <w:sz w:val="22"/>
                <w:szCs w:val="22"/>
              </w:rPr>
            </w:pPr>
            <w:r w:rsidRPr="00205C60">
              <w:rPr>
                <w:rFonts w:ascii="Verdana" w:hAnsi="Verdana" w:cs="Arial"/>
                <w:sz w:val="22"/>
                <w:szCs w:val="22"/>
              </w:rPr>
              <w:t>Tasa de interés bruta menos 8%</w:t>
            </w:r>
          </w:p>
        </w:tc>
      </w:tr>
      <w:tr w:rsidR="001E55E9" w:rsidRPr="00205C60" w14:paraId="3CA7E63D" w14:textId="77777777" w:rsidTr="005F015D">
        <w:tc>
          <w:tcPr>
            <w:tcW w:w="2835" w:type="dxa"/>
            <w:shd w:val="clear" w:color="auto" w:fill="auto"/>
            <w:vAlign w:val="center"/>
          </w:tcPr>
          <w:p w14:paraId="3CA7E63B" w14:textId="77777777" w:rsidR="001E55E9" w:rsidRPr="00205C60" w:rsidRDefault="001E55E9" w:rsidP="005F015D">
            <w:pPr>
              <w:rPr>
                <w:rFonts w:ascii="Verdana" w:hAnsi="Verdana" w:cs="Arial"/>
                <w:sz w:val="22"/>
                <w:szCs w:val="22"/>
              </w:rPr>
            </w:pPr>
            <w:r w:rsidRPr="00205C60">
              <w:rPr>
                <w:rFonts w:ascii="Verdana" w:hAnsi="Verdana" w:cs="Arial"/>
                <w:sz w:val="22"/>
                <w:szCs w:val="22"/>
              </w:rPr>
              <w:t>Calificación de riesgo</w:t>
            </w:r>
          </w:p>
        </w:tc>
        <w:tc>
          <w:tcPr>
            <w:tcW w:w="4394" w:type="dxa"/>
            <w:shd w:val="clear" w:color="auto" w:fill="auto"/>
            <w:vAlign w:val="center"/>
          </w:tcPr>
          <w:p w14:paraId="3CA7E63C" w14:textId="77777777" w:rsidR="001E55E9" w:rsidRPr="00205C60" w:rsidRDefault="001E55E9" w:rsidP="005F015D">
            <w:pPr>
              <w:rPr>
                <w:rFonts w:ascii="Verdana" w:hAnsi="Verdana" w:cs="Arial"/>
                <w:sz w:val="22"/>
                <w:szCs w:val="22"/>
              </w:rPr>
            </w:pPr>
            <w:proofErr w:type="gramStart"/>
            <w:r w:rsidRPr="00205C60">
              <w:rPr>
                <w:rFonts w:ascii="Verdana" w:hAnsi="Verdana" w:cs="Arial"/>
                <w:sz w:val="22"/>
                <w:szCs w:val="22"/>
              </w:rPr>
              <w:t>AAA(</w:t>
            </w:r>
            <w:proofErr w:type="gramEnd"/>
            <w:r w:rsidRPr="00205C60">
              <w:rPr>
                <w:rFonts w:ascii="Verdana" w:hAnsi="Verdana" w:cs="Arial"/>
                <w:sz w:val="22"/>
                <w:szCs w:val="22"/>
              </w:rPr>
              <w:t>cri)</w:t>
            </w:r>
          </w:p>
        </w:tc>
      </w:tr>
      <w:tr w:rsidR="001E55E9" w:rsidRPr="00205C60" w14:paraId="3CA7E640" w14:textId="77777777" w:rsidTr="005F015D">
        <w:tc>
          <w:tcPr>
            <w:tcW w:w="2835" w:type="dxa"/>
            <w:shd w:val="clear" w:color="auto" w:fill="auto"/>
            <w:vAlign w:val="center"/>
          </w:tcPr>
          <w:p w14:paraId="3CA7E63E" w14:textId="77777777" w:rsidR="001E55E9" w:rsidRPr="00205C60" w:rsidRDefault="001E55E9" w:rsidP="005F015D">
            <w:pPr>
              <w:rPr>
                <w:rFonts w:ascii="Verdana" w:hAnsi="Verdana" w:cs="Arial"/>
                <w:sz w:val="22"/>
                <w:szCs w:val="22"/>
              </w:rPr>
            </w:pPr>
            <w:r w:rsidRPr="00205C60">
              <w:rPr>
                <w:rFonts w:ascii="Verdana" w:hAnsi="Verdana" w:cs="Arial"/>
                <w:sz w:val="22"/>
                <w:szCs w:val="22"/>
              </w:rPr>
              <w:t>Plazo de liquidación</w:t>
            </w:r>
          </w:p>
        </w:tc>
        <w:tc>
          <w:tcPr>
            <w:tcW w:w="4394" w:type="dxa"/>
            <w:shd w:val="clear" w:color="auto" w:fill="auto"/>
            <w:vAlign w:val="center"/>
          </w:tcPr>
          <w:p w14:paraId="3CA7E63F" w14:textId="77777777" w:rsidR="001E55E9" w:rsidRPr="00205C60" w:rsidRDefault="001E55E9" w:rsidP="005F015D">
            <w:pPr>
              <w:rPr>
                <w:rFonts w:ascii="Verdana" w:hAnsi="Verdana" w:cs="Arial"/>
                <w:sz w:val="22"/>
                <w:szCs w:val="22"/>
              </w:rPr>
            </w:pPr>
            <w:r w:rsidRPr="00205C60">
              <w:rPr>
                <w:rFonts w:ascii="Verdana" w:hAnsi="Verdana" w:cs="Arial"/>
                <w:sz w:val="22"/>
                <w:szCs w:val="22"/>
              </w:rPr>
              <w:t>T + 2</w:t>
            </w:r>
          </w:p>
        </w:tc>
      </w:tr>
      <w:tr w:rsidR="001E55E9" w:rsidRPr="00205C60" w14:paraId="3CA7E643" w14:textId="77777777" w:rsidTr="005F015D">
        <w:tc>
          <w:tcPr>
            <w:tcW w:w="2835" w:type="dxa"/>
            <w:shd w:val="clear" w:color="auto" w:fill="auto"/>
            <w:vAlign w:val="center"/>
          </w:tcPr>
          <w:p w14:paraId="3CA7E641" w14:textId="77777777" w:rsidR="001E55E9" w:rsidRPr="00205C60" w:rsidRDefault="001E55E9" w:rsidP="005F015D">
            <w:pPr>
              <w:rPr>
                <w:rFonts w:ascii="Verdana" w:hAnsi="Verdana" w:cs="Arial"/>
                <w:sz w:val="22"/>
                <w:szCs w:val="22"/>
              </w:rPr>
            </w:pPr>
            <w:r w:rsidRPr="00205C60">
              <w:rPr>
                <w:rFonts w:ascii="Verdana" w:hAnsi="Verdana" w:cs="Arial"/>
                <w:sz w:val="22"/>
                <w:szCs w:val="22"/>
              </w:rPr>
              <w:t>Factor de cálculo</w:t>
            </w:r>
          </w:p>
        </w:tc>
        <w:tc>
          <w:tcPr>
            <w:tcW w:w="4394" w:type="dxa"/>
            <w:shd w:val="clear" w:color="auto" w:fill="auto"/>
            <w:vAlign w:val="center"/>
          </w:tcPr>
          <w:p w14:paraId="3CA7E642" w14:textId="77777777" w:rsidR="001E55E9" w:rsidRPr="00205C60" w:rsidRDefault="001E55E9" w:rsidP="005F015D">
            <w:pPr>
              <w:rPr>
                <w:rFonts w:ascii="Verdana" w:hAnsi="Verdana" w:cs="Arial"/>
                <w:sz w:val="22"/>
                <w:szCs w:val="22"/>
              </w:rPr>
            </w:pPr>
            <w:r w:rsidRPr="00205C60">
              <w:rPr>
                <w:rFonts w:ascii="Verdana" w:hAnsi="Verdana" w:cs="Arial"/>
                <w:sz w:val="22"/>
                <w:szCs w:val="22"/>
              </w:rPr>
              <w:t>30/360</w:t>
            </w:r>
          </w:p>
        </w:tc>
      </w:tr>
      <w:tr w:rsidR="001E55E9" w:rsidRPr="00205C60" w14:paraId="3CA7E646" w14:textId="77777777" w:rsidTr="005F015D">
        <w:tc>
          <w:tcPr>
            <w:tcW w:w="2835" w:type="dxa"/>
            <w:shd w:val="clear" w:color="auto" w:fill="auto"/>
            <w:vAlign w:val="center"/>
          </w:tcPr>
          <w:p w14:paraId="3CA7E644" w14:textId="77777777" w:rsidR="001E55E9" w:rsidRPr="00205C60" w:rsidRDefault="001E55E9" w:rsidP="005F015D">
            <w:pPr>
              <w:rPr>
                <w:rFonts w:ascii="Verdana" w:hAnsi="Verdana" w:cs="Arial"/>
                <w:sz w:val="22"/>
                <w:szCs w:val="22"/>
              </w:rPr>
            </w:pPr>
            <w:r w:rsidRPr="00205C60">
              <w:rPr>
                <w:rFonts w:ascii="Verdana" w:hAnsi="Verdana" w:cs="Arial"/>
                <w:sz w:val="22"/>
                <w:szCs w:val="22"/>
              </w:rPr>
              <w:t>Forma de representación</w:t>
            </w:r>
          </w:p>
        </w:tc>
        <w:tc>
          <w:tcPr>
            <w:tcW w:w="4394" w:type="dxa"/>
            <w:shd w:val="clear" w:color="auto" w:fill="auto"/>
            <w:vAlign w:val="center"/>
          </w:tcPr>
          <w:p w14:paraId="3CA7E645" w14:textId="77777777" w:rsidR="001E55E9" w:rsidRPr="00205C60" w:rsidRDefault="005C79E5" w:rsidP="005F015D">
            <w:pPr>
              <w:rPr>
                <w:rFonts w:ascii="Verdana" w:hAnsi="Verdana" w:cs="Arial"/>
                <w:sz w:val="22"/>
                <w:szCs w:val="22"/>
              </w:rPr>
            </w:pPr>
            <w:r w:rsidRPr="00205C60">
              <w:rPr>
                <w:rFonts w:ascii="Verdana" w:hAnsi="Verdana" w:cs="Arial"/>
                <w:sz w:val="22"/>
                <w:szCs w:val="22"/>
              </w:rPr>
              <w:t>Anotación electrónica en cuenta</w:t>
            </w:r>
          </w:p>
        </w:tc>
      </w:tr>
      <w:tr w:rsidR="001E55E9" w:rsidRPr="00205C60" w14:paraId="3CA7E649" w14:textId="77777777" w:rsidTr="005F015D">
        <w:tc>
          <w:tcPr>
            <w:tcW w:w="2835" w:type="dxa"/>
            <w:shd w:val="clear" w:color="auto" w:fill="auto"/>
            <w:vAlign w:val="center"/>
          </w:tcPr>
          <w:p w14:paraId="3CA7E647" w14:textId="77777777" w:rsidR="001E55E9" w:rsidRPr="00205C60" w:rsidRDefault="001E55E9" w:rsidP="005F015D">
            <w:pPr>
              <w:rPr>
                <w:rFonts w:ascii="Verdana" w:hAnsi="Verdana" w:cs="Arial"/>
                <w:sz w:val="22"/>
                <w:szCs w:val="22"/>
              </w:rPr>
            </w:pPr>
            <w:r w:rsidRPr="00205C60">
              <w:rPr>
                <w:rFonts w:ascii="Verdana" w:hAnsi="Verdana" w:cs="Arial"/>
                <w:sz w:val="22"/>
                <w:szCs w:val="22"/>
              </w:rPr>
              <w:t>Ley de circulación</w:t>
            </w:r>
          </w:p>
        </w:tc>
        <w:tc>
          <w:tcPr>
            <w:tcW w:w="4394" w:type="dxa"/>
            <w:shd w:val="clear" w:color="auto" w:fill="auto"/>
            <w:vAlign w:val="center"/>
          </w:tcPr>
          <w:p w14:paraId="3CA7E648" w14:textId="77777777" w:rsidR="001E55E9" w:rsidRPr="00205C60" w:rsidRDefault="001E55E9" w:rsidP="005F015D">
            <w:pPr>
              <w:rPr>
                <w:rFonts w:ascii="Verdana" w:hAnsi="Verdana" w:cs="Arial"/>
                <w:sz w:val="22"/>
                <w:szCs w:val="22"/>
              </w:rPr>
            </w:pPr>
            <w:r w:rsidRPr="00205C60">
              <w:rPr>
                <w:rFonts w:ascii="Verdana" w:hAnsi="Verdana" w:cs="Arial"/>
                <w:sz w:val="22"/>
                <w:szCs w:val="22"/>
              </w:rPr>
              <w:t>A la orden</w:t>
            </w:r>
          </w:p>
        </w:tc>
      </w:tr>
      <w:tr w:rsidR="001E55E9" w:rsidRPr="00205C60" w14:paraId="3CA7E64C" w14:textId="77777777" w:rsidTr="005F015D">
        <w:tc>
          <w:tcPr>
            <w:tcW w:w="2835" w:type="dxa"/>
            <w:shd w:val="clear" w:color="auto" w:fill="auto"/>
            <w:vAlign w:val="center"/>
          </w:tcPr>
          <w:p w14:paraId="3CA7E64A" w14:textId="77777777" w:rsidR="001E55E9" w:rsidRPr="00205C60" w:rsidRDefault="001E55E9" w:rsidP="005F015D">
            <w:pPr>
              <w:rPr>
                <w:rFonts w:ascii="Verdana" w:hAnsi="Verdana" w:cs="Arial"/>
                <w:sz w:val="22"/>
                <w:szCs w:val="22"/>
              </w:rPr>
            </w:pPr>
            <w:r w:rsidRPr="00205C60">
              <w:rPr>
                <w:rFonts w:ascii="Verdana" w:hAnsi="Verdana" w:cs="Arial"/>
                <w:sz w:val="22"/>
                <w:szCs w:val="22"/>
              </w:rPr>
              <w:t>Periodicidad</w:t>
            </w:r>
          </w:p>
        </w:tc>
        <w:tc>
          <w:tcPr>
            <w:tcW w:w="4394" w:type="dxa"/>
            <w:shd w:val="clear" w:color="auto" w:fill="auto"/>
            <w:vAlign w:val="center"/>
          </w:tcPr>
          <w:p w14:paraId="3CA7E64B" w14:textId="77777777" w:rsidR="001E55E9" w:rsidRPr="00205C60" w:rsidRDefault="00EE62BF" w:rsidP="005F015D">
            <w:pPr>
              <w:rPr>
                <w:rFonts w:ascii="Verdana" w:hAnsi="Verdana" w:cs="Arial"/>
                <w:sz w:val="22"/>
                <w:szCs w:val="22"/>
              </w:rPr>
            </w:pPr>
            <w:r w:rsidRPr="00205C60">
              <w:rPr>
                <w:rFonts w:ascii="Verdana" w:hAnsi="Verdana" w:cs="Arial"/>
                <w:sz w:val="22"/>
                <w:szCs w:val="22"/>
              </w:rPr>
              <w:t>Semestral</w:t>
            </w:r>
          </w:p>
        </w:tc>
      </w:tr>
      <w:tr w:rsidR="001E55E9" w:rsidRPr="00205C60" w14:paraId="3CA7E64F" w14:textId="77777777" w:rsidTr="005F015D">
        <w:tc>
          <w:tcPr>
            <w:tcW w:w="2835" w:type="dxa"/>
            <w:shd w:val="clear" w:color="auto" w:fill="auto"/>
            <w:vAlign w:val="center"/>
          </w:tcPr>
          <w:p w14:paraId="3CA7E64D" w14:textId="77777777" w:rsidR="001E55E9" w:rsidRPr="00205C60" w:rsidRDefault="001E55E9" w:rsidP="005F015D">
            <w:pPr>
              <w:rPr>
                <w:rFonts w:ascii="Verdana" w:hAnsi="Verdana" w:cs="Arial"/>
                <w:sz w:val="22"/>
                <w:szCs w:val="22"/>
              </w:rPr>
            </w:pPr>
            <w:r w:rsidRPr="00205C60">
              <w:rPr>
                <w:rFonts w:ascii="Verdana" w:hAnsi="Verdana" w:cs="Arial"/>
                <w:sz w:val="22"/>
                <w:szCs w:val="22"/>
              </w:rPr>
              <w:t>Amortización del principal</w:t>
            </w:r>
          </w:p>
        </w:tc>
        <w:tc>
          <w:tcPr>
            <w:tcW w:w="4394" w:type="dxa"/>
            <w:shd w:val="clear" w:color="auto" w:fill="auto"/>
            <w:vAlign w:val="center"/>
          </w:tcPr>
          <w:p w14:paraId="3CA7E64E" w14:textId="77777777" w:rsidR="001E55E9" w:rsidRPr="00205C60" w:rsidRDefault="001E55E9" w:rsidP="005F015D">
            <w:pPr>
              <w:rPr>
                <w:rFonts w:ascii="Verdana" w:hAnsi="Verdana" w:cs="Arial"/>
                <w:sz w:val="22"/>
                <w:szCs w:val="22"/>
              </w:rPr>
            </w:pPr>
            <w:r w:rsidRPr="00205C60">
              <w:rPr>
                <w:rFonts w:ascii="Verdana" w:hAnsi="Verdana" w:cs="Arial"/>
                <w:sz w:val="22"/>
                <w:szCs w:val="22"/>
              </w:rPr>
              <w:t>Al vencimiento</w:t>
            </w:r>
          </w:p>
        </w:tc>
      </w:tr>
      <w:tr w:rsidR="001E55E9" w:rsidRPr="00205C60" w14:paraId="3CA7E652" w14:textId="77777777" w:rsidTr="005F015D">
        <w:tc>
          <w:tcPr>
            <w:tcW w:w="2835" w:type="dxa"/>
            <w:shd w:val="clear" w:color="auto" w:fill="auto"/>
            <w:vAlign w:val="center"/>
          </w:tcPr>
          <w:p w14:paraId="3CA7E650" w14:textId="77777777" w:rsidR="001E55E9" w:rsidRPr="00205C60" w:rsidRDefault="001E55E9" w:rsidP="005F015D">
            <w:pPr>
              <w:rPr>
                <w:rFonts w:ascii="Verdana" w:hAnsi="Verdana" w:cs="Arial"/>
                <w:sz w:val="22"/>
                <w:szCs w:val="22"/>
              </w:rPr>
            </w:pPr>
            <w:r w:rsidRPr="00205C60">
              <w:rPr>
                <w:rFonts w:ascii="Verdana" w:hAnsi="Verdana" w:cs="Arial"/>
                <w:sz w:val="22"/>
                <w:szCs w:val="22"/>
              </w:rPr>
              <w:t>Forma de colocación</w:t>
            </w:r>
          </w:p>
        </w:tc>
        <w:tc>
          <w:tcPr>
            <w:tcW w:w="4394" w:type="dxa"/>
            <w:shd w:val="clear" w:color="auto" w:fill="auto"/>
            <w:vAlign w:val="center"/>
          </w:tcPr>
          <w:p w14:paraId="3CA7E651" w14:textId="77777777" w:rsidR="001E55E9" w:rsidRPr="00205C60" w:rsidRDefault="00EE62BF" w:rsidP="005F015D">
            <w:pPr>
              <w:rPr>
                <w:rFonts w:ascii="Verdana" w:hAnsi="Verdana" w:cs="Arial"/>
                <w:sz w:val="22"/>
                <w:szCs w:val="22"/>
              </w:rPr>
            </w:pPr>
            <w:r w:rsidRPr="00205C60">
              <w:rPr>
                <w:rFonts w:ascii="Verdana" w:hAnsi="Verdana" w:cs="Arial"/>
                <w:sz w:val="22"/>
                <w:szCs w:val="22"/>
              </w:rPr>
              <w:t>Suscripción en firme</w:t>
            </w:r>
          </w:p>
        </w:tc>
      </w:tr>
    </w:tbl>
    <w:p w14:paraId="3CA7E653" w14:textId="77777777" w:rsidR="00AC3AAF" w:rsidRPr="00205C60" w:rsidRDefault="00AC3AAF" w:rsidP="0030261D">
      <w:pPr>
        <w:jc w:val="both"/>
        <w:rPr>
          <w:rFonts w:ascii="Verdana" w:hAnsi="Verdana" w:cs="Arial"/>
          <w:sz w:val="22"/>
          <w:szCs w:val="22"/>
        </w:rPr>
      </w:pPr>
    </w:p>
    <w:p w14:paraId="3CA7E654" w14:textId="77777777" w:rsidR="00496CDC" w:rsidRPr="00205C60" w:rsidRDefault="00496CDC" w:rsidP="0030261D">
      <w:pPr>
        <w:jc w:val="both"/>
        <w:rPr>
          <w:rFonts w:ascii="Verdana" w:hAnsi="Verdana" w:cs="Arial"/>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4394"/>
      </w:tblGrid>
      <w:tr w:rsidR="0030261D" w:rsidRPr="00205C60" w14:paraId="3CA7E657" w14:textId="77777777" w:rsidTr="005F015D">
        <w:trPr>
          <w:trHeight w:val="277"/>
        </w:trPr>
        <w:tc>
          <w:tcPr>
            <w:tcW w:w="2835" w:type="dxa"/>
            <w:shd w:val="clear" w:color="auto" w:fill="auto"/>
            <w:vAlign w:val="center"/>
          </w:tcPr>
          <w:p w14:paraId="3CA7E655" w14:textId="77777777" w:rsidR="0030261D" w:rsidRPr="00205C60" w:rsidRDefault="0030261D" w:rsidP="005F015D">
            <w:pPr>
              <w:jc w:val="center"/>
              <w:rPr>
                <w:rFonts w:ascii="Verdana" w:hAnsi="Verdana" w:cs="Arial"/>
                <w:b/>
                <w:sz w:val="22"/>
                <w:szCs w:val="22"/>
              </w:rPr>
            </w:pPr>
            <w:r w:rsidRPr="00205C60">
              <w:rPr>
                <w:rFonts w:ascii="Verdana" w:hAnsi="Verdana" w:cs="Arial"/>
                <w:b/>
                <w:sz w:val="22"/>
                <w:szCs w:val="22"/>
              </w:rPr>
              <w:t>DETALLE</w:t>
            </w:r>
          </w:p>
        </w:tc>
        <w:tc>
          <w:tcPr>
            <w:tcW w:w="4394" w:type="dxa"/>
            <w:shd w:val="clear" w:color="auto" w:fill="auto"/>
            <w:vAlign w:val="center"/>
          </w:tcPr>
          <w:p w14:paraId="3CA7E656" w14:textId="77777777" w:rsidR="0030261D" w:rsidRPr="00205C60" w:rsidRDefault="0030261D" w:rsidP="005F015D">
            <w:pPr>
              <w:jc w:val="center"/>
              <w:rPr>
                <w:rFonts w:ascii="Verdana" w:hAnsi="Verdana" w:cs="Arial"/>
                <w:b/>
                <w:sz w:val="22"/>
                <w:szCs w:val="22"/>
              </w:rPr>
            </w:pPr>
            <w:r w:rsidRPr="00205C60">
              <w:rPr>
                <w:rFonts w:ascii="Verdana" w:hAnsi="Verdana" w:cs="Arial"/>
                <w:b/>
                <w:sz w:val="22"/>
                <w:szCs w:val="22"/>
              </w:rPr>
              <w:t>SERIE B-3</w:t>
            </w:r>
          </w:p>
        </w:tc>
      </w:tr>
      <w:tr w:rsidR="0030261D" w:rsidRPr="00205C60" w14:paraId="3CA7E65A" w14:textId="77777777" w:rsidTr="005F015D">
        <w:tc>
          <w:tcPr>
            <w:tcW w:w="2835" w:type="dxa"/>
            <w:shd w:val="clear" w:color="auto" w:fill="auto"/>
            <w:vAlign w:val="center"/>
          </w:tcPr>
          <w:p w14:paraId="3CA7E658" w14:textId="77777777" w:rsidR="0030261D" w:rsidRPr="00205C60" w:rsidRDefault="0030261D" w:rsidP="005F015D">
            <w:pPr>
              <w:rPr>
                <w:rFonts w:ascii="Verdana" w:hAnsi="Verdana" w:cs="Arial"/>
                <w:sz w:val="22"/>
                <w:szCs w:val="22"/>
              </w:rPr>
            </w:pPr>
            <w:r w:rsidRPr="00205C60">
              <w:rPr>
                <w:rFonts w:ascii="Verdana" w:hAnsi="Verdana" w:cs="Arial"/>
                <w:sz w:val="22"/>
                <w:szCs w:val="22"/>
              </w:rPr>
              <w:t>Clase de instrumento</w:t>
            </w:r>
          </w:p>
        </w:tc>
        <w:tc>
          <w:tcPr>
            <w:tcW w:w="4394" w:type="dxa"/>
            <w:shd w:val="clear" w:color="auto" w:fill="auto"/>
            <w:vAlign w:val="center"/>
          </w:tcPr>
          <w:p w14:paraId="3CA7E659" w14:textId="77777777" w:rsidR="0030261D" w:rsidRPr="00205C60" w:rsidRDefault="00982DDF" w:rsidP="005F015D">
            <w:pPr>
              <w:rPr>
                <w:rFonts w:ascii="Verdana" w:hAnsi="Verdana" w:cs="Arial"/>
                <w:sz w:val="22"/>
                <w:szCs w:val="22"/>
              </w:rPr>
            </w:pPr>
            <w:r w:rsidRPr="00205C60">
              <w:rPr>
                <w:rFonts w:ascii="Verdana" w:hAnsi="Verdana" w:cs="Arial"/>
                <w:sz w:val="22"/>
                <w:szCs w:val="22"/>
              </w:rPr>
              <w:t>Bonos Estandarizados</w:t>
            </w:r>
          </w:p>
        </w:tc>
      </w:tr>
      <w:tr w:rsidR="0030261D" w:rsidRPr="00205C60" w14:paraId="3CA7E65D" w14:textId="77777777" w:rsidTr="005F015D">
        <w:tc>
          <w:tcPr>
            <w:tcW w:w="2835" w:type="dxa"/>
            <w:shd w:val="clear" w:color="auto" w:fill="auto"/>
            <w:vAlign w:val="center"/>
          </w:tcPr>
          <w:p w14:paraId="3CA7E65B" w14:textId="77777777" w:rsidR="0030261D" w:rsidRPr="00205C60" w:rsidRDefault="0030261D" w:rsidP="005F015D">
            <w:pPr>
              <w:rPr>
                <w:rFonts w:ascii="Verdana" w:hAnsi="Verdana" w:cs="Arial"/>
                <w:sz w:val="22"/>
                <w:szCs w:val="22"/>
              </w:rPr>
            </w:pPr>
            <w:r w:rsidRPr="00205C60">
              <w:rPr>
                <w:rFonts w:ascii="Verdana" w:hAnsi="Verdana" w:cs="Arial"/>
                <w:sz w:val="22"/>
                <w:szCs w:val="22"/>
              </w:rPr>
              <w:t>Código ISIN</w:t>
            </w:r>
          </w:p>
        </w:tc>
        <w:tc>
          <w:tcPr>
            <w:tcW w:w="4394" w:type="dxa"/>
            <w:shd w:val="clear" w:color="auto" w:fill="auto"/>
            <w:vAlign w:val="center"/>
          </w:tcPr>
          <w:p w14:paraId="3CA7E65C" w14:textId="77777777" w:rsidR="0030261D" w:rsidRPr="00205C60" w:rsidRDefault="00982DDF" w:rsidP="005F015D">
            <w:pPr>
              <w:rPr>
                <w:rFonts w:ascii="Verdana" w:hAnsi="Verdana" w:cs="Arial"/>
                <w:sz w:val="22"/>
                <w:szCs w:val="22"/>
              </w:rPr>
            </w:pPr>
            <w:r w:rsidRPr="00205C60">
              <w:rPr>
                <w:rFonts w:ascii="Verdana" w:hAnsi="Verdana" w:cs="Arial"/>
                <w:sz w:val="22"/>
                <w:szCs w:val="22"/>
              </w:rPr>
              <w:t>CRCFLUZB0223</w:t>
            </w:r>
          </w:p>
        </w:tc>
      </w:tr>
      <w:tr w:rsidR="0030261D" w:rsidRPr="00205C60" w14:paraId="3CA7E660" w14:textId="77777777" w:rsidTr="005F015D">
        <w:tc>
          <w:tcPr>
            <w:tcW w:w="2835" w:type="dxa"/>
            <w:shd w:val="clear" w:color="auto" w:fill="auto"/>
            <w:vAlign w:val="center"/>
          </w:tcPr>
          <w:p w14:paraId="3CA7E65E" w14:textId="77777777" w:rsidR="0030261D" w:rsidRPr="00205C60" w:rsidRDefault="0030261D" w:rsidP="005F015D">
            <w:pPr>
              <w:rPr>
                <w:rFonts w:ascii="Verdana" w:hAnsi="Verdana" w:cs="Arial"/>
                <w:sz w:val="22"/>
                <w:szCs w:val="22"/>
              </w:rPr>
            </w:pPr>
            <w:r w:rsidRPr="00205C60">
              <w:rPr>
                <w:rFonts w:ascii="Verdana" w:hAnsi="Verdana" w:cs="Arial"/>
                <w:sz w:val="22"/>
                <w:szCs w:val="22"/>
              </w:rPr>
              <w:t>Instrumento</w:t>
            </w:r>
          </w:p>
        </w:tc>
        <w:tc>
          <w:tcPr>
            <w:tcW w:w="4394" w:type="dxa"/>
            <w:shd w:val="clear" w:color="auto" w:fill="auto"/>
            <w:vAlign w:val="center"/>
          </w:tcPr>
          <w:p w14:paraId="3CA7E65F" w14:textId="77777777" w:rsidR="0030261D" w:rsidRPr="00205C60" w:rsidRDefault="00982DDF" w:rsidP="005F015D">
            <w:pPr>
              <w:rPr>
                <w:rFonts w:ascii="Verdana" w:hAnsi="Verdana" w:cs="Arial"/>
                <w:sz w:val="22"/>
                <w:szCs w:val="22"/>
              </w:rPr>
            </w:pPr>
            <w:r w:rsidRPr="00205C60">
              <w:rPr>
                <w:rFonts w:ascii="Verdana" w:hAnsi="Verdana" w:cs="Arial"/>
                <w:sz w:val="22"/>
                <w:szCs w:val="22"/>
              </w:rPr>
              <w:t>Bcfb3</w:t>
            </w:r>
          </w:p>
        </w:tc>
      </w:tr>
      <w:tr w:rsidR="0030261D" w:rsidRPr="00205C60" w14:paraId="3CA7E663" w14:textId="77777777" w:rsidTr="005F015D">
        <w:tc>
          <w:tcPr>
            <w:tcW w:w="2835" w:type="dxa"/>
            <w:shd w:val="clear" w:color="auto" w:fill="auto"/>
            <w:vAlign w:val="center"/>
          </w:tcPr>
          <w:p w14:paraId="3CA7E661" w14:textId="77777777" w:rsidR="0030261D" w:rsidRPr="00205C60" w:rsidRDefault="0030261D" w:rsidP="005F015D">
            <w:pPr>
              <w:rPr>
                <w:rFonts w:ascii="Verdana" w:hAnsi="Verdana" w:cs="Arial"/>
                <w:sz w:val="22"/>
                <w:szCs w:val="22"/>
              </w:rPr>
            </w:pPr>
            <w:r w:rsidRPr="00205C60">
              <w:rPr>
                <w:rFonts w:ascii="Verdana" w:hAnsi="Verdana" w:cs="Arial"/>
                <w:sz w:val="22"/>
                <w:szCs w:val="22"/>
              </w:rPr>
              <w:t>Moneda</w:t>
            </w:r>
          </w:p>
        </w:tc>
        <w:tc>
          <w:tcPr>
            <w:tcW w:w="4394" w:type="dxa"/>
            <w:shd w:val="clear" w:color="auto" w:fill="auto"/>
            <w:vAlign w:val="center"/>
          </w:tcPr>
          <w:p w14:paraId="3CA7E662" w14:textId="77777777" w:rsidR="0030261D" w:rsidRPr="00205C60" w:rsidRDefault="00982DDF" w:rsidP="005F015D">
            <w:pPr>
              <w:rPr>
                <w:rFonts w:ascii="Verdana" w:hAnsi="Verdana" w:cs="Arial"/>
                <w:sz w:val="22"/>
                <w:szCs w:val="22"/>
              </w:rPr>
            </w:pPr>
            <w:r w:rsidRPr="00205C60">
              <w:rPr>
                <w:rFonts w:ascii="Verdana" w:hAnsi="Verdana" w:cs="Arial"/>
                <w:sz w:val="22"/>
                <w:szCs w:val="22"/>
              </w:rPr>
              <w:t>Colones</w:t>
            </w:r>
            <w:r w:rsidR="00ED632D" w:rsidRPr="00205C60">
              <w:rPr>
                <w:rFonts w:ascii="Verdana" w:hAnsi="Verdana" w:cs="Arial"/>
                <w:sz w:val="22"/>
                <w:szCs w:val="22"/>
              </w:rPr>
              <w:t>,</w:t>
            </w:r>
            <w:r w:rsidRPr="00205C60">
              <w:rPr>
                <w:rFonts w:ascii="Verdana" w:hAnsi="Verdana" w:cs="Arial"/>
                <w:sz w:val="22"/>
                <w:szCs w:val="22"/>
              </w:rPr>
              <w:t xml:space="preserve"> moneda de curso legal de la República de Costa Rica</w:t>
            </w:r>
          </w:p>
        </w:tc>
      </w:tr>
      <w:tr w:rsidR="0030261D" w:rsidRPr="00205C60" w14:paraId="3CA7E666" w14:textId="77777777" w:rsidTr="005F015D">
        <w:tc>
          <w:tcPr>
            <w:tcW w:w="2835" w:type="dxa"/>
            <w:shd w:val="clear" w:color="auto" w:fill="auto"/>
            <w:vAlign w:val="center"/>
          </w:tcPr>
          <w:p w14:paraId="3CA7E664" w14:textId="77777777" w:rsidR="0030261D" w:rsidRPr="00205C60" w:rsidRDefault="0030261D" w:rsidP="005F015D">
            <w:pPr>
              <w:rPr>
                <w:rFonts w:ascii="Verdana" w:hAnsi="Verdana" w:cs="Arial"/>
                <w:sz w:val="22"/>
                <w:szCs w:val="22"/>
              </w:rPr>
            </w:pPr>
            <w:r w:rsidRPr="00205C60">
              <w:rPr>
                <w:rFonts w:ascii="Verdana" w:hAnsi="Verdana" w:cs="Arial"/>
                <w:sz w:val="22"/>
                <w:szCs w:val="22"/>
              </w:rPr>
              <w:t>Monto total de la emisión</w:t>
            </w:r>
          </w:p>
        </w:tc>
        <w:tc>
          <w:tcPr>
            <w:tcW w:w="4394" w:type="dxa"/>
            <w:shd w:val="clear" w:color="auto" w:fill="auto"/>
            <w:vAlign w:val="center"/>
          </w:tcPr>
          <w:p w14:paraId="3CA7E665" w14:textId="755A910D" w:rsidR="0030261D" w:rsidRPr="00205C60" w:rsidRDefault="003C746A" w:rsidP="005F015D">
            <w:pPr>
              <w:rPr>
                <w:rFonts w:ascii="Verdana" w:hAnsi="Verdana" w:cs="Arial"/>
                <w:sz w:val="22"/>
                <w:szCs w:val="22"/>
              </w:rPr>
            </w:pPr>
            <w:r w:rsidRPr="00205C60">
              <w:rPr>
                <w:rFonts w:ascii="Verdana" w:hAnsi="Verdana" w:cs="Arial"/>
                <w:sz w:val="22"/>
                <w:szCs w:val="22"/>
              </w:rPr>
              <w:t>₡</w:t>
            </w:r>
            <w:r w:rsidR="00982DDF" w:rsidRPr="00205C60">
              <w:rPr>
                <w:rFonts w:ascii="Verdana" w:hAnsi="Verdana" w:cs="Arial"/>
                <w:sz w:val="22"/>
                <w:szCs w:val="22"/>
              </w:rPr>
              <w:t xml:space="preserve"> 12.000.000.000,00</w:t>
            </w:r>
          </w:p>
        </w:tc>
      </w:tr>
      <w:tr w:rsidR="0030261D" w:rsidRPr="00205C60" w14:paraId="3CA7E669" w14:textId="77777777" w:rsidTr="005F015D">
        <w:tc>
          <w:tcPr>
            <w:tcW w:w="2835" w:type="dxa"/>
            <w:shd w:val="clear" w:color="auto" w:fill="auto"/>
            <w:vAlign w:val="center"/>
          </w:tcPr>
          <w:p w14:paraId="3CA7E667" w14:textId="77777777" w:rsidR="0030261D" w:rsidRPr="00205C60" w:rsidRDefault="0030261D" w:rsidP="005F015D">
            <w:pPr>
              <w:rPr>
                <w:rFonts w:ascii="Verdana" w:hAnsi="Verdana" w:cs="Arial"/>
                <w:sz w:val="22"/>
                <w:szCs w:val="22"/>
              </w:rPr>
            </w:pPr>
            <w:r w:rsidRPr="00205C60">
              <w:rPr>
                <w:rFonts w:ascii="Verdana" w:hAnsi="Verdana" w:cs="Arial"/>
                <w:sz w:val="22"/>
                <w:szCs w:val="22"/>
              </w:rPr>
              <w:t>Valor facial</w:t>
            </w:r>
          </w:p>
        </w:tc>
        <w:tc>
          <w:tcPr>
            <w:tcW w:w="4394" w:type="dxa"/>
            <w:shd w:val="clear" w:color="auto" w:fill="auto"/>
            <w:vAlign w:val="center"/>
          </w:tcPr>
          <w:p w14:paraId="3CA7E668" w14:textId="564BC916" w:rsidR="0030261D" w:rsidRPr="00205C60" w:rsidRDefault="003C746A" w:rsidP="005F015D">
            <w:pPr>
              <w:rPr>
                <w:rFonts w:ascii="Verdana" w:hAnsi="Verdana" w:cs="Arial"/>
                <w:sz w:val="22"/>
                <w:szCs w:val="22"/>
              </w:rPr>
            </w:pPr>
            <w:r w:rsidRPr="00205C60">
              <w:rPr>
                <w:rFonts w:ascii="Verdana" w:hAnsi="Verdana" w:cs="Arial"/>
                <w:sz w:val="22"/>
                <w:szCs w:val="22"/>
              </w:rPr>
              <w:t>₡</w:t>
            </w:r>
            <w:r w:rsidR="00982DDF" w:rsidRPr="00205C60">
              <w:rPr>
                <w:rFonts w:ascii="Verdana" w:hAnsi="Verdana" w:cs="Arial"/>
                <w:sz w:val="22"/>
                <w:szCs w:val="22"/>
              </w:rPr>
              <w:t xml:space="preserve"> 1.000.000,00</w:t>
            </w:r>
          </w:p>
        </w:tc>
      </w:tr>
      <w:tr w:rsidR="0030261D" w:rsidRPr="00205C60" w14:paraId="3CA7E66C" w14:textId="77777777" w:rsidTr="005F015D">
        <w:tc>
          <w:tcPr>
            <w:tcW w:w="2835" w:type="dxa"/>
            <w:shd w:val="clear" w:color="auto" w:fill="auto"/>
            <w:vAlign w:val="center"/>
          </w:tcPr>
          <w:p w14:paraId="3CA7E66A" w14:textId="77777777" w:rsidR="0030261D" w:rsidRPr="00205C60" w:rsidRDefault="0030261D" w:rsidP="005F015D">
            <w:pPr>
              <w:rPr>
                <w:rFonts w:ascii="Verdana" w:hAnsi="Verdana" w:cs="Arial"/>
                <w:sz w:val="22"/>
                <w:szCs w:val="22"/>
              </w:rPr>
            </w:pPr>
            <w:r w:rsidRPr="00205C60">
              <w:rPr>
                <w:rFonts w:ascii="Verdana" w:hAnsi="Verdana" w:cs="Arial"/>
                <w:sz w:val="22"/>
                <w:szCs w:val="22"/>
              </w:rPr>
              <w:t>Fecha de emisión</w:t>
            </w:r>
          </w:p>
        </w:tc>
        <w:tc>
          <w:tcPr>
            <w:tcW w:w="4394" w:type="dxa"/>
            <w:shd w:val="clear" w:color="auto" w:fill="auto"/>
            <w:vAlign w:val="center"/>
          </w:tcPr>
          <w:p w14:paraId="3CA7E66B" w14:textId="77777777" w:rsidR="0030261D" w:rsidRPr="00205C60" w:rsidRDefault="00982DDF" w:rsidP="005F015D">
            <w:pPr>
              <w:rPr>
                <w:rFonts w:ascii="Verdana" w:hAnsi="Verdana" w:cs="Arial"/>
                <w:sz w:val="22"/>
                <w:szCs w:val="22"/>
              </w:rPr>
            </w:pPr>
            <w:r w:rsidRPr="00205C60">
              <w:rPr>
                <w:rFonts w:ascii="Verdana" w:hAnsi="Verdana" w:cs="Arial"/>
                <w:sz w:val="22"/>
                <w:szCs w:val="22"/>
              </w:rPr>
              <w:t>25 de enero del 2012</w:t>
            </w:r>
          </w:p>
        </w:tc>
      </w:tr>
      <w:tr w:rsidR="0030261D" w:rsidRPr="00205C60" w14:paraId="3CA7E66F" w14:textId="77777777" w:rsidTr="005F015D">
        <w:tc>
          <w:tcPr>
            <w:tcW w:w="2835" w:type="dxa"/>
            <w:shd w:val="clear" w:color="auto" w:fill="auto"/>
            <w:vAlign w:val="center"/>
          </w:tcPr>
          <w:p w14:paraId="3CA7E66D" w14:textId="77777777" w:rsidR="0030261D" w:rsidRPr="00205C60" w:rsidRDefault="0030261D" w:rsidP="005F015D">
            <w:pPr>
              <w:rPr>
                <w:rFonts w:ascii="Verdana" w:hAnsi="Verdana" w:cs="Arial"/>
                <w:sz w:val="22"/>
                <w:szCs w:val="22"/>
              </w:rPr>
            </w:pPr>
            <w:r w:rsidRPr="00205C60">
              <w:rPr>
                <w:rFonts w:ascii="Verdana" w:hAnsi="Verdana" w:cs="Arial"/>
                <w:sz w:val="22"/>
                <w:szCs w:val="22"/>
              </w:rPr>
              <w:t>Fecha de vencimiento</w:t>
            </w:r>
          </w:p>
        </w:tc>
        <w:tc>
          <w:tcPr>
            <w:tcW w:w="4394" w:type="dxa"/>
            <w:shd w:val="clear" w:color="auto" w:fill="auto"/>
            <w:vAlign w:val="center"/>
          </w:tcPr>
          <w:p w14:paraId="3CA7E66E" w14:textId="77777777" w:rsidR="0030261D" w:rsidRPr="00205C60" w:rsidRDefault="00982DDF" w:rsidP="005F015D">
            <w:pPr>
              <w:rPr>
                <w:rFonts w:ascii="Verdana" w:hAnsi="Verdana" w:cs="Arial"/>
                <w:sz w:val="22"/>
                <w:szCs w:val="22"/>
              </w:rPr>
            </w:pPr>
            <w:r w:rsidRPr="00205C60">
              <w:rPr>
                <w:rFonts w:ascii="Verdana" w:hAnsi="Verdana" w:cs="Arial"/>
                <w:sz w:val="22"/>
                <w:szCs w:val="22"/>
              </w:rPr>
              <w:t>25 de enero del 2027</w:t>
            </w:r>
          </w:p>
        </w:tc>
      </w:tr>
      <w:tr w:rsidR="0030261D" w:rsidRPr="00205C60" w14:paraId="3CA7E672" w14:textId="77777777" w:rsidTr="005F015D">
        <w:tc>
          <w:tcPr>
            <w:tcW w:w="2835" w:type="dxa"/>
            <w:shd w:val="clear" w:color="auto" w:fill="auto"/>
            <w:vAlign w:val="center"/>
          </w:tcPr>
          <w:p w14:paraId="3CA7E670" w14:textId="77777777" w:rsidR="0030261D" w:rsidRPr="00205C60" w:rsidRDefault="0030261D" w:rsidP="005F015D">
            <w:pPr>
              <w:rPr>
                <w:rFonts w:ascii="Verdana" w:hAnsi="Verdana" w:cs="Arial"/>
                <w:sz w:val="22"/>
                <w:szCs w:val="22"/>
              </w:rPr>
            </w:pPr>
            <w:r w:rsidRPr="00205C60">
              <w:rPr>
                <w:rFonts w:ascii="Verdana" w:hAnsi="Verdana" w:cs="Arial"/>
                <w:sz w:val="22"/>
                <w:szCs w:val="22"/>
              </w:rPr>
              <w:t>Plazo</w:t>
            </w:r>
          </w:p>
        </w:tc>
        <w:tc>
          <w:tcPr>
            <w:tcW w:w="4394" w:type="dxa"/>
            <w:shd w:val="clear" w:color="auto" w:fill="auto"/>
            <w:vAlign w:val="center"/>
          </w:tcPr>
          <w:p w14:paraId="3CA7E671" w14:textId="77777777" w:rsidR="0030261D" w:rsidRPr="00205C60" w:rsidRDefault="00982DDF" w:rsidP="005F015D">
            <w:pPr>
              <w:rPr>
                <w:rFonts w:ascii="Verdana" w:hAnsi="Verdana" w:cs="Arial"/>
                <w:sz w:val="22"/>
                <w:szCs w:val="22"/>
              </w:rPr>
            </w:pPr>
            <w:r w:rsidRPr="00205C60">
              <w:rPr>
                <w:rFonts w:ascii="Verdana" w:hAnsi="Verdana" w:cs="Arial"/>
                <w:sz w:val="22"/>
                <w:szCs w:val="22"/>
              </w:rPr>
              <w:t>15 años</w:t>
            </w:r>
          </w:p>
        </w:tc>
      </w:tr>
      <w:tr w:rsidR="0030261D" w:rsidRPr="00205C60" w14:paraId="3CA7E675" w14:textId="77777777" w:rsidTr="005F015D">
        <w:tc>
          <w:tcPr>
            <w:tcW w:w="2835" w:type="dxa"/>
            <w:shd w:val="clear" w:color="auto" w:fill="auto"/>
            <w:vAlign w:val="center"/>
          </w:tcPr>
          <w:p w14:paraId="3CA7E673" w14:textId="77777777" w:rsidR="0030261D" w:rsidRPr="00205C60" w:rsidRDefault="0030261D" w:rsidP="005F015D">
            <w:pPr>
              <w:rPr>
                <w:rFonts w:ascii="Verdana" w:hAnsi="Verdana" w:cs="Arial"/>
                <w:sz w:val="22"/>
                <w:szCs w:val="22"/>
              </w:rPr>
            </w:pPr>
            <w:r w:rsidRPr="00205C60">
              <w:rPr>
                <w:rFonts w:ascii="Verdana" w:hAnsi="Verdana" w:cs="Arial"/>
                <w:sz w:val="22"/>
                <w:szCs w:val="22"/>
              </w:rPr>
              <w:t>Tasa de interés bruta</w:t>
            </w:r>
          </w:p>
        </w:tc>
        <w:tc>
          <w:tcPr>
            <w:tcW w:w="4394" w:type="dxa"/>
            <w:shd w:val="clear" w:color="auto" w:fill="auto"/>
            <w:vAlign w:val="center"/>
          </w:tcPr>
          <w:p w14:paraId="3CA7E674" w14:textId="77777777" w:rsidR="0030261D" w:rsidRPr="00205C60" w:rsidRDefault="00982DDF" w:rsidP="005F015D">
            <w:pPr>
              <w:rPr>
                <w:rFonts w:ascii="Verdana" w:hAnsi="Verdana" w:cs="Arial"/>
                <w:sz w:val="22"/>
                <w:szCs w:val="22"/>
              </w:rPr>
            </w:pPr>
            <w:r w:rsidRPr="00205C60">
              <w:rPr>
                <w:rFonts w:ascii="Verdana" w:hAnsi="Verdana" w:cs="Arial"/>
                <w:sz w:val="22"/>
                <w:szCs w:val="22"/>
              </w:rPr>
              <w:t>Tasa básica + 3,21%</w:t>
            </w:r>
          </w:p>
        </w:tc>
      </w:tr>
      <w:tr w:rsidR="0030261D" w:rsidRPr="00205C60" w14:paraId="3CA7E678" w14:textId="77777777" w:rsidTr="005F015D">
        <w:tc>
          <w:tcPr>
            <w:tcW w:w="2835" w:type="dxa"/>
            <w:shd w:val="clear" w:color="auto" w:fill="auto"/>
            <w:vAlign w:val="center"/>
          </w:tcPr>
          <w:p w14:paraId="3CA7E676" w14:textId="77777777" w:rsidR="0030261D" w:rsidRPr="00205C60" w:rsidRDefault="0030261D" w:rsidP="005F015D">
            <w:pPr>
              <w:rPr>
                <w:rFonts w:ascii="Verdana" w:hAnsi="Verdana" w:cs="Arial"/>
                <w:sz w:val="22"/>
                <w:szCs w:val="22"/>
              </w:rPr>
            </w:pPr>
            <w:r w:rsidRPr="00205C60">
              <w:rPr>
                <w:rFonts w:ascii="Verdana" w:hAnsi="Verdana" w:cs="Arial"/>
                <w:sz w:val="22"/>
                <w:szCs w:val="22"/>
              </w:rPr>
              <w:t>Tasa de interés neta</w:t>
            </w:r>
          </w:p>
        </w:tc>
        <w:tc>
          <w:tcPr>
            <w:tcW w:w="4394" w:type="dxa"/>
            <w:shd w:val="clear" w:color="auto" w:fill="auto"/>
            <w:vAlign w:val="center"/>
          </w:tcPr>
          <w:p w14:paraId="3CA7E677" w14:textId="77777777" w:rsidR="0030261D" w:rsidRPr="00205C60" w:rsidRDefault="00982DDF" w:rsidP="005F015D">
            <w:pPr>
              <w:rPr>
                <w:rFonts w:ascii="Verdana" w:hAnsi="Verdana" w:cs="Arial"/>
                <w:sz w:val="22"/>
                <w:szCs w:val="22"/>
              </w:rPr>
            </w:pPr>
            <w:r w:rsidRPr="00205C60">
              <w:rPr>
                <w:rFonts w:ascii="Verdana" w:hAnsi="Verdana" w:cs="Arial"/>
                <w:sz w:val="22"/>
                <w:szCs w:val="22"/>
              </w:rPr>
              <w:t>Tasa de interés bruta menos 8%</w:t>
            </w:r>
          </w:p>
        </w:tc>
      </w:tr>
      <w:tr w:rsidR="0030261D" w:rsidRPr="00205C60" w14:paraId="3CA7E67B" w14:textId="77777777" w:rsidTr="005F015D">
        <w:tc>
          <w:tcPr>
            <w:tcW w:w="2835" w:type="dxa"/>
            <w:shd w:val="clear" w:color="auto" w:fill="auto"/>
            <w:vAlign w:val="center"/>
          </w:tcPr>
          <w:p w14:paraId="3CA7E679" w14:textId="77777777" w:rsidR="0030261D" w:rsidRPr="00205C60" w:rsidRDefault="00982DDF" w:rsidP="005F015D">
            <w:pPr>
              <w:rPr>
                <w:rFonts w:ascii="Verdana" w:hAnsi="Verdana" w:cs="Arial"/>
                <w:sz w:val="22"/>
                <w:szCs w:val="22"/>
              </w:rPr>
            </w:pPr>
            <w:r w:rsidRPr="00205C60">
              <w:rPr>
                <w:rFonts w:ascii="Verdana" w:hAnsi="Verdana" w:cs="Arial"/>
                <w:sz w:val="22"/>
                <w:szCs w:val="22"/>
              </w:rPr>
              <w:t>Calificación de riesgo</w:t>
            </w:r>
          </w:p>
        </w:tc>
        <w:tc>
          <w:tcPr>
            <w:tcW w:w="4394" w:type="dxa"/>
            <w:shd w:val="clear" w:color="auto" w:fill="auto"/>
            <w:vAlign w:val="center"/>
          </w:tcPr>
          <w:p w14:paraId="3CA7E67A" w14:textId="77777777" w:rsidR="0030261D" w:rsidRPr="00205C60" w:rsidRDefault="00982DDF" w:rsidP="005F015D">
            <w:pPr>
              <w:rPr>
                <w:rFonts w:ascii="Verdana" w:hAnsi="Verdana" w:cs="Arial"/>
                <w:sz w:val="22"/>
                <w:szCs w:val="22"/>
              </w:rPr>
            </w:pPr>
            <w:proofErr w:type="gramStart"/>
            <w:r w:rsidRPr="00205C60">
              <w:rPr>
                <w:rFonts w:ascii="Verdana" w:hAnsi="Verdana" w:cs="Arial"/>
                <w:sz w:val="22"/>
                <w:szCs w:val="22"/>
              </w:rPr>
              <w:t>AAA(</w:t>
            </w:r>
            <w:proofErr w:type="gramEnd"/>
            <w:r w:rsidRPr="00205C60">
              <w:rPr>
                <w:rFonts w:ascii="Verdana" w:hAnsi="Verdana" w:cs="Arial"/>
                <w:sz w:val="22"/>
                <w:szCs w:val="22"/>
              </w:rPr>
              <w:t>cri)</w:t>
            </w:r>
          </w:p>
        </w:tc>
      </w:tr>
      <w:tr w:rsidR="00982DDF" w:rsidRPr="00205C60" w14:paraId="3CA7E67E" w14:textId="77777777" w:rsidTr="005F015D">
        <w:tc>
          <w:tcPr>
            <w:tcW w:w="2835" w:type="dxa"/>
            <w:shd w:val="clear" w:color="auto" w:fill="auto"/>
            <w:vAlign w:val="center"/>
          </w:tcPr>
          <w:p w14:paraId="3CA7E67C" w14:textId="77777777" w:rsidR="00982DDF" w:rsidRPr="00205C60" w:rsidRDefault="00982DDF" w:rsidP="005F015D">
            <w:pPr>
              <w:rPr>
                <w:rFonts w:ascii="Verdana" w:hAnsi="Verdana" w:cs="Arial"/>
                <w:sz w:val="22"/>
                <w:szCs w:val="22"/>
              </w:rPr>
            </w:pPr>
            <w:r w:rsidRPr="00205C60">
              <w:rPr>
                <w:rFonts w:ascii="Verdana" w:hAnsi="Verdana" w:cs="Arial"/>
                <w:sz w:val="22"/>
                <w:szCs w:val="22"/>
              </w:rPr>
              <w:t>Plazo de liquidación</w:t>
            </w:r>
          </w:p>
        </w:tc>
        <w:tc>
          <w:tcPr>
            <w:tcW w:w="4394" w:type="dxa"/>
            <w:shd w:val="clear" w:color="auto" w:fill="auto"/>
            <w:vAlign w:val="center"/>
          </w:tcPr>
          <w:p w14:paraId="3CA7E67D" w14:textId="77777777" w:rsidR="00982DDF" w:rsidRPr="00205C60" w:rsidRDefault="00982DDF" w:rsidP="005F015D">
            <w:pPr>
              <w:rPr>
                <w:rFonts w:ascii="Verdana" w:hAnsi="Verdana" w:cs="Arial"/>
                <w:sz w:val="22"/>
                <w:szCs w:val="22"/>
              </w:rPr>
            </w:pPr>
            <w:r w:rsidRPr="00205C60">
              <w:rPr>
                <w:rFonts w:ascii="Verdana" w:hAnsi="Verdana" w:cs="Arial"/>
                <w:sz w:val="22"/>
                <w:szCs w:val="22"/>
              </w:rPr>
              <w:t>T + 2</w:t>
            </w:r>
          </w:p>
        </w:tc>
      </w:tr>
      <w:tr w:rsidR="0030261D" w:rsidRPr="00205C60" w14:paraId="3CA7E681" w14:textId="77777777" w:rsidTr="005F015D">
        <w:tc>
          <w:tcPr>
            <w:tcW w:w="2835" w:type="dxa"/>
            <w:shd w:val="clear" w:color="auto" w:fill="auto"/>
            <w:vAlign w:val="center"/>
          </w:tcPr>
          <w:p w14:paraId="3CA7E67F" w14:textId="77777777" w:rsidR="0030261D" w:rsidRPr="00205C60" w:rsidRDefault="00982DDF" w:rsidP="005F015D">
            <w:pPr>
              <w:rPr>
                <w:rFonts w:ascii="Verdana" w:hAnsi="Verdana" w:cs="Arial"/>
                <w:sz w:val="22"/>
                <w:szCs w:val="22"/>
              </w:rPr>
            </w:pPr>
            <w:r w:rsidRPr="00205C60">
              <w:rPr>
                <w:rFonts w:ascii="Verdana" w:hAnsi="Verdana" w:cs="Arial"/>
                <w:sz w:val="22"/>
                <w:szCs w:val="22"/>
              </w:rPr>
              <w:t>Factor de cálculo</w:t>
            </w:r>
          </w:p>
        </w:tc>
        <w:tc>
          <w:tcPr>
            <w:tcW w:w="4394" w:type="dxa"/>
            <w:shd w:val="clear" w:color="auto" w:fill="auto"/>
            <w:vAlign w:val="center"/>
          </w:tcPr>
          <w:p w14:paraId="3CA7E680" w14:textId="77777777" w:rsidR="0030261D" w:rsidRPr="00205C60" w:rsidRDefault="00982DDF" w:rsidP="005F015D">
            <w:pPr>
              <w:rPr>
                <w:rFonts w:ascii="Verdana" w:hAnsi="Verdana" w:cs="Arial"/>
                <w:sz w:val="22"/>
                <w:szCs w:val="22"/>
              </w:rPr>
            </w:pPr>
            <w:r w:rsidRPr="00205C60">
              <w:rPr>
                <w:rFonts w:ascii="Verdana" w:hAnsi="Verdana" w:cs="Arial"/>
                <w:sz w:val="22"/>
                <w:szCs w:val="22"/>
              </w:rPr>
              <w:t>30/360</w:t>
            </w:r>
          </w:p>
        </w:tc>
      </w:tr>
      <w:tr w:rsidR="0030261D" w:rsidRPr="00205C60" w14:paraId="3CA7E684" w14:textId="77777777" w:rsidTr="005F015D">
        <w:tc>
          <w:tcPr>
            <w:tcW w:w="2835" w:type="dxa"/>
            <w:shd w:val="clear" w:color="auto" w:fill="auto"/>
            <w:vAlign w:val="center"/>
          </w:tcPr>
          <w:p w14:paraId="3CA7E682" w14:textId="77777777" w:rsidR="0030261D" w:rsidRPr="00205C60" w:rsidRDefault="00982DDF" w:rsidP="005F015D">
            <w:pPr>
              <w:rPr>
                <w:rFonts w:ascii="Verdana" w:hAnsi="Verdana" w:cs="Arial"/>
                <w:sz w:val="22"/>
                <w:szCs w:val="22"/>
              </w:rPr>
            </w:pPr>
            <w:r w:rsidRPr="00205C60">
              <w:rPr>
                <w:rFonts w:ascii="Verdana" w:hAnsi="Verdana" w:cs="Arial"/>
                <w:sz w:val="22"/>
                <w:szCs w:val="22"/>
              </w:rPr>
              <w:t>Forma de representación</w:t>
            </w:r>
          </w:p>
        </w:tc>
        <w:tc>
          <w:tcPr>
            <w:tcW w:w="4394" w:type="dxa"/>
            <w:shd w:val="clear" w:color="auto" w:fill="auto"/>
            <w:vAlign w:val="center"/>
          </w:tcPr>
          <w:p w14:paraId="3CA7E683" w14:textId="77777777" w:rsidR="0030261D" w:rsidRPr="00205C60" w:rsidRDefault="005C79E5" w:rsidP="005F015D">
            <w:pPr>
              <w:rPr>
                <w:rFonts w:ascii="Verdana" w:hAnsi="Verdana" w:cs="Arial"/>
                <w:sz w:val="22"/>
                <w:szCs w:val="22"/>
              </w:rPr>
            </w:pPr>
            <w:r w:rsidRPr="00205C60">
              <w:rPr>
                <w:rFonts w:ascii="Verdana" w:hAnsi="Verdana" w:cs="Arial"/>
                <w:sz w:val="22"/>
                <w:szCs w:val="22"/>
              </w:rPr>
              <w:t>Anotación electrónica en cuenta</w:t>
            </w:r>
          </w:p>
        </w:tc>
      </w:tr>
      <w:tr w:rsidR="0030261D" w:rsidRPr="00205C60" w14:paraId="3CA7E687" w14:textId="77777777" w:rsidTr="005F015D">
        <w:tc>
          <w:tcPr>
            <w:tcW w:w="2835" w:type="dxa"/>
            <w:shd w:val="clear" w:color="auto" w:fill="auto"/>
            <w:vAlign w:val="center"/>
          </w:tcPr>
          <w:p w14:paraId="3CA7E685" w14:textId="77777777" w:rsidR="0030261D" w:rsidRPr="00205C60" w:rsidRDefault="00982DDF" w:rsidP="005F015D">
            <w:pPr>
              <w:rPr>
                <w:rFonts w:ascii="Verdana" w:hAnsi="Verdana" w:cs="Arial"/>
                <w:sz w:val="22"/>
                <w:szCs w:val="22"/>
              </w:rPr>
            </w:pPr>
            <w:r w:rsidRPr="00205C60">
              <w:rPr>
                <w:rFonts w:ascii="Verdana" w:hAnsi="Verdana" w:cs="Arial"/>
                <w:sz w:val="22"/>
                <w:szCs w:val="22"/>
              </w:rPr>
              <w:t>Ley de circulación</w:t>
            </w:r>
          </w:p>
        </w:tc>
        <w:tc>
          <w:tcPr>
            <w:tcW w:w="4394" w:type="dxa"/>
            <w:shd w:val="clear" w:color="auto" w:fill="auto"/>
            <w:vAlign w:val="center"/>
          </w:tcPr>
          <w:p w14:paraId="3CA7E686" w14:textId="77777777" w:rsidR="0030261D" w:rsidRPr="00205C60" w:rsidRDefault="00982DDF" w:rsidP="005F015D">
            <w:pPr>
              <w:rPr>
                <w:rFonts w:ascii="Verdana" w:hAnsi="Verdana" w:cs="Arial"/>
                <w:sz w:val="22"/>
                <w:szCs w:val="22"/>
              </w:rPr>
            </w:pPr>
            <w:r w:rsidRPr="00205C60">
              <w:rPr>
                <w:rFonts w:ascii="Verdana" w:hAnsi="Verdana" w:cs="Arial"/>
                <w:sz w:val="22"/>
                <w:szCs w:val="22"/>
              </w:rPr>
              <w:t>A la orden</w:t>
            </w:r>
          </w:p>
        </w:tc>
      </w:tr>
      <w:tr w:rsidR="0030261D" w:rsidRPr="00205C60" w14:paraId="3CA7E68A" w14:textId="77777777" w:rsidTr="005F015D">
        <w:tc>
          <w:tcPr>
            <w:tcW w:w="2835" w:type="dxa"/>
            <w:shd w:val="clear" w:color="auto" w:fill="auto"/>
            <w:vAlign w:val="center"/>
          </w:tcPr>
          <w:p w14:paraId="3CA7E688" w14:textId="77777777" w:rsidR="0030261D" w:rsidRPr="00205C60" w:rsidRDefault="00982DDF" w:rsidP="005F015D">
            <w:pPr>
              <w:rPr>
                <w:rFonts w:ascii="Verdana" w:hAnsi="Verdana" w:cs="Arial"/>
                <w:sz w:val="22"/>
                <w:szCs w:val="22"/>
              </w:rPr>
            </w:pPr>
            <w:r w:rsidRPr="00205C60">
              <w:rPr>
                <w:rFonts w:ascii="Verdana" w:hAnsi="Verdana" w:cs="Arial"/>
                <w:sz w:val="22"/>
                <w:szCs w:val="22"/>
              </w:rPr>
              <w:t>Periodicidad</w:t>
            </w:r>
          </w:p>
        </w:tc>
        <w:tc>
          <w:tcPr>
            <w:tcW w:w="4394" w:type="dxa"/>
            <w:shd w:val="clear" w:color="auto" w:fill="auto"/>
            <w:vAlign w:val="center"/>
          </w:tcPr>
          <w:p w14:paraId="3CA7E689" w14:textId="77777777" w:rsidR="0030261D" w:rsidRPr="00205C60" w:rsidRDefault="00982DDF" w:rsidP="005F015D">
            <w:pPr>
              <w:rPr>
                <w:rFonts w:ascii="Verdana" w:hAnsi="Verdana" w:cs="Arial"/>
                <w:sz w:val="22"/>
                <w:szCs w:val="22"/>
              </w:rPr>
            </w:pPr>
            <w:r w:rsidRPr="00205C60">
              <w:rPr>
                <w:rFonts w:ascii="Verdana" w:hAnsi="Verdana" w:cs="Arial"/>
                <w:sz w:val="22"/>
                <w:szCs w:val="22"/>
              </w:rPr>
              <w:t>Trimestral</w:t>
            </w:r>
          </w:p>
        </w:tc>
      </w:tr>
      <w:tr w:rsidR="0030261D" w:rsidRPr="00205C60" w14:paraId="3CA7E68D" w14:textId="77777777" w:rsidTr="005F015D">
        <w:tc>
          <w:tcPr>
            <w:tcW w:w="2835" w:type="dxa"/>
            <w:shd w:val="clear" w:color="auto" w:fill="auto"/>
            <w:vAlign w:val="center"/>
          </w:tcPr>
          <w:p w14:paraId="3CA7E68B" w14:textId="77777777" w:rsidR="0030261D" w:rsidRPr="00205C60" w:rsidRDefault="00982DDF" w:rsidP="005F015D">
            <w:pPr>
              <w:rPr>
                <w:rFonts w:ascii="Verdana" w:hAnsi="Verdana" w:cs="Arial"/>
                <w:sz w:val="22"/>
                <w:szCs w:val="22"/>
              </w:rPr>
            </w:pPr>
            <w:r w:rsidRPr="00205C60">
              <w:rPr>
                <w:rFonts w:ascii="Verdana" w:hAnsi="Verdana" w:cs="Arial"/>
                <w:sz w:val="22"/>
                <w:szCs w:val="22"/>
              </w:rPr>
              <w:t>Amortización del principal</w:t>
            </w:r>
          </w:p>
        </w:tc>
        <w:tc>
          <w:tcPr>
            <w:tcW w:w="4394" w:type="dxa"/>
            <w:shd w:val="clear" w:color="auto" w:fill="auto"/>
            <w:vAlign w:val="center"/>
          </w:tcPr>
          <w:p w14:paraId="3CA7E68C" w14:textId="77777777" w:rsidR="0030261D" w:rsidRPr="00205C60" w:rsidRDefault="00982DDF" w:rsidP="005F015D">
            <w:pPr>
              <w:rPr>
                <w:rFonts w:ascii="Verdana" w:hAnsi="Verdana" w:cs="Arial"/>
                <w:sz w:val="22"/>
                <w:szCs w:val="22"/>
              </w:rPr>
            </w:pPr>
            <w:r w:rsidRPr="00205C60">
              <w:rPr>
                <w:rFonts w:ascii="Verdana" w:hAnsi="Verdana" w:cs="Arial"/>
                <w:sz w:val="22"/>
                <w:szCs w:val="22"/>
              </w:rPr>
              <w:t>Al vencimiento</w:t>
            </w:r>
          </w:p>
        </w:tc>
      </w:tr>
      <w:tr w:rsidR="0030261D" w:rsidRPr="00205C60" w14:paraId="3CA7E690" w14:textId="77777777" w:rsidTr="005F015D">
        <w:tc>
          <w:tcPr>
            <w:tcW w:w="2835" w:type="dxa"/>
            <w:shd w:val="clear" w:color="auto" w:fill="auto"/>
            <w:vAlign w:val="center"/>
          </w:tcPr>
          <w:p w14:paraId="3CA7E68E" w14:textId="77777777" w:rsidR="0030261D" w:rsidRPr="00205C60" w:rsidRDefault="00982DDF" w:rsidP="005F015D">
            <w:pPr>
              <w:rPr>
                <w:rFonts w:ascii="Verdana" w:hAnsi="Verdana" w:cs="Arial"/>
                <w:sz w:val="22"/>
                <w:szCs w:val="22"/>
              </w:rPr>
            </w:pPr>
            <w:r w:rsidRPr="00205C60">
              <w:rPr>
                <w:rFonts w:ascii="Verdana" w:hAnsi="Verdana" w:cs="Arial"/>
                <w:sz w:val="22"/>
                <w:szCs w:val="22"/>
              </w:rPr>
              <w:t>Forma de colocación</w:t>
            </w:r>
          </w:p>
        </w:tc>
        <w:tc>
          <w:tcPr>
            <w:tcW w:w="4394" w:type="dxa"/>
            <w:shd w:val="clear" w:color="auto" w:fill="auto"/>
            <w:vAlign w:val="center"/>
          </w:tcPr>
          <w:p w14:paraId="3CA7E68F" w14:textId="77777777" w:rsidR="0030261D" w:rsidRPr="00205C60" w:rsidRDefault="00982DDF" w:rsidP="005F015D">
            <w:pPr>
              <w:rPr>
                <w:rFonts w:ascii="Verdana" w:hAnsi="Verdana" w:cs="Arial"/>
                <w:sz w:val="22"/>
                <w:szCs w:val="22"/>
              </w:rPr>
            </w:pPr>
            <w:r w:rsidRPr="00205C60">
              <w:rPr>
                <w:rFonts w:ascii="Verdana" w:hAnsi="Verdana" w:cs="Arial"/>
                <w:sz w:val="22"/>
                <w:szCs w:val="22"/>
              </w:rPr>
              <w:t>Subasta por Bolsa</w:t>
            </w:r>
          </w:p>
        </w:tc>
      </w:tr>
      <w:tr w:rsidR="0030261D" w:rsidRPr="00205C60" w14:paraId="3CA7E693" w14:textId="77777777" w:rsidTr="005F015D">
        <w:tc>
          <w:tcPr>
            <w:tcW w:w="2835" w:type="dxa"/>
            <w:shd w:val="clear" w:color="auto" w:fill="auto"/>
            <w:vAlign w:val="center"/>
          </w:tcPr>
          <w:p w14:paraId="3CA7E691" w14:textId="77777777" w:rsidR="0030261D" w:rsidRPr="00205C60" w:rsidRDefault="00982DDF" w:rsidP="005F015D">
            <w:pPr>
              <w:rPr>
                <w:rFonts w:ascii="Verdana" w:hAnsi="Verdana" w:cs="Arial"/>
                <w:sz w:val="22"/>
                <w:szCs w:val="22"/>
              </w:rPr>
            </w:pPr>
            <w:r w:rsidRPr="00205C60">
              <w:rPr>
                <w:rFonts w:ascii="Verdana" w:hAnsi="Verdana" w:cs="Arial"/>
                <w:sz w:val="22"/>
                <w:szCs w:val="22"/>
              </w:rPr>
              <w:t>Criterio de Asignación</w:t>
            </w:r>
          </w:p>
        </w:tc>
        <w:tc>
          <w:tcPr>
            <w:tcW w:w="4394" w:type="dxa"/>
            <w:shd w:val="clear" w:color="auto" w:fill="auto"/>
            <w:vAlign w:val="center"/>
          </w:tcPr>
          <w:p w14:paraId="3CA7E692" w14:textId="77777777" w:rsidR="0030261D" w:rsidRPr="00205C60" w:rsidRDefault="00982DDF" w:rsidP="005F015D">
            <w:pPr>
              <w:rPr>
                <w:rFonts w:ascii="Verdana" w:hAnsi="Verdana" w:cs="Arial"/>
                <w:sz w:val="22"/>
                <w:szCs w:val="22"/>
              </w:rPr>
            </w:pPr>
            <w:r w:rsidRPr="00205C60">
              <w:rPr>
                <w:rFonts w:ascii="Verdana" w:hAnsi="Verdana" w:cs="Arial"/>
                <w:sz w:val="22"/>
                <w:szCs w:val="22"/>
              </w:rPr>
              <w:t>Precio ofrecido</w:t>
            </w:r>
          </w:p>
        </w:tc>
      </w:tr>
    </w:tbl>
    <w:p w14:paraId="3CA7E694" w14:textId="77777777" w:rsidR="0030261D" w:rsidRPr="00205C60" w:rsidRDefault="0030261D" w:rsidP="0030261D">
      <w:pPr>
        <w:jc w:val="center"/>
        <w:rPr>
          <w:rFonts w:ascii="Verdana" w:hAnsi="Verdana" w:cs="Arial"/>
          <w:sz w:val="22"/>
          <w:szCs w:val="22"/>
        </w:rPr>
      </w:pPr>
    </w:p>
    <w:p w14:paraId="3CA7E697" w14:textId="77777777" w:rsidR="00EA1894" w:rsidRPr="00205C60" w:rsidRDefault="00EA1894" w:rsidP="008D0232">
      <w:pPr>
        <w:jc w:val="both"/>
        <w:rPr>
          <w:rFonts w:ascii="Verdana" w:hAnsi="Verdana"/>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4394"/>
      </w:tblGrid>
      <w:tr w:rsidR="00D214AF" w:rsidRPr="00205C60" w14:paraId="3CA7E69A" w14:textId="77777777" w:rsidTr="005F015D">
        <w:tc>
          <w:tcPr>
            <w:tcW w:w="2835" w:type="dxa"/>
            <w:shd w:val="clear" w:color="auto" w:fill="auto"/>
          </w:tcPr>
          <w:p w14:paraId="3CA7E698" w14:textId="77777777" w:rsidR="00D214AF" w:rsidRPr="00205C60" w:rsidRDefault="00D214AF" w:rsidP="00D214AF">
            <w:pPr>
              <w:jc w:val="center"/>
              <w:rPr>
                <w:rFonts w:ascii="Verdana" w:eastAsia="SimSun" w:hAnsi="Verdana" w:cs="Arial"/>
                <w:b/>
                <w:sz w:val="22"/>
                <w:szCs w:val="22"/>
                <w:lang w:val="es-CR"/>
              </w:rPr>
            </w:pPr>
            <w:r w:rsidRPr="00205C60">
              <w:rPr>
                <w:rFonts w:ascii="Verdana" w:eastAsia="SimSun" w:hAnsi="Verdana" w:cs="Arial"/>
                <w:b/>
                <w:sz w:val="22"/>
                <w:szCs w:val="22"/>
                <w:lang w:val="es-CR"/>
              </w:rPr>
              <w:t>DETALLE</w:t>
            </w:r>
          </w:p>
        </w:tc>
        <w:tc>
          <w:tcPr>
            <w:tcW w:w="4394" w:type="dxa"/>
            <w:shd w:val="clear" w:color="auto" w:fill="auto"/>
          </w:tcPr>
          <w:p w14:paraId="3CA7E699" w14:textId="77777777" w:rsidR="00D214AF" w:rsidRPr="00205C60" w:rsidRDefault="00D214AF" w:rsidP="0001327D">
            <w:pPr>
              <w:jc w:val="center"/>
              <w:rPr>
                <w:rFonts w:ascii="Verdana" w:eastAsia="SimSun" w:hAnsi="Verdana" w:cs="Arial"/>
                <w:b/>
                <w:sz w:val="22"/>
                <w:szCs w:val="22"/>
                <w:lang w:val="es-CR"/>
              </w:rPr>
            </w:pPr>
            <w:r w:rsidRPr="00205C60">
              <w:rPr>
                <w:rFonts w:ascii="Verdana" w:eastAsia="SimSun" w:hAnsi="Verdana" w:cs="Arial"/>
                <w:b/>
                <w:sz w:val="22"/>
                <w:szCs w:val="22"/>
                <w:lang w:val="es-CR"/>
              </w:rPr>
              <w:t>SERIE B-4</w:t>
            </w:r>
          </w:p>
        </w:tc>
      </w:tr>
      <w:tr w:rsidR="00D214AF" w:rsidRPr="00205C60" w14:paraId="3CA7E69D" w14:textId="77777777" w:rsidTr="005F015D">
        <w:tc>
          <w:tcPr>
            <w:tcW w:w="2835" w:type="dxa"/>
            <w:shd w:val="clear" w:color="auto" w:fill="auto"/>
          </w:tcPr>
          <w:p w14:paraId="3CA7E69B" w14:textId="77777777" w:rsidR="00D214AF" w:rsidRPr="00205C60" w:rsidRDefault="00D214AF" w:rsidP="00D214AF">
            <w:pPr>
              <w:rPr>
                <w:rFonts w:ascii="Verdana" w:eastAsia="SimSun" w:hAnsi="Verdana" w:cs="Arial"/>
                <w:sz w:val="22"/>
                <w:szCs w:val="22"/>
                <w:lang w:val="es-CR"/>
              </w:rPr>
            </w:pPr>
            <w:r w:rsidRPr="00205C60">
              <w:rPr>
                <w:rFonts w:ascii="Verdana" w:eastAsia="SimSun" w:hAnsi="Verdana" w:cs="Arial"/>
                <w:sz w:val="22"/>
                <w:szCs w:val="22"/>
                <w:lang w:val="es-CR"/>
              </w:rPr>
              <w:t>Clase de instrumento</w:t>
            </w:r>
          </w:p>
        </w:tc>
        <w:tc>
          <w:tcPr>
            <w:tcW w:w="4394" w:type="dxa"/>
            <w:shd w:val="clear" w:color="auto" w:fill="auto"/>
          </w:tcPr>
          <w:p w14:paraId="3CA7E69C" w14:textId="77777777" w:rsidR="00D214AF" w:rsidRPr="00205C60" w:rsidRDefault="00D214AF" w:rsidP="0001327D">
            <w:pPr>
              <w:rPr>
                <w:rFonts w:ascii="Verdana" w:eastAsia="SimSun" w:hAnsi="Verdana" w:cs="Arial"/>
                <w:sz w:val="22"/>
                <w:szCs w:val="22"/>
                <w:lang w:val="es-CR"/>
              </w:rPr>
            </w:pPr>
            <w:r w:rsidRPr="00205C60">
              <w:rPr>
                <w:rFonts w:ascii="Verdana" w:eastAsia="SimSun" w:hAnsi="Verdana" w:cs="Arial"/>
                <w:sz w:val="22"/>
                <w:szCs w:val="22"/>
                <w:lang w:val="es-CR"/>
              </w:rPr>
              <w:t>Bonos Estandarizados</w:t>
            </w:r>
          </w:p>
        </w:tc>
      </w:tr>
      <w:tr w:rsidR="00D214AF" w:rsidRPr="00205C60" w14:paraId="3CA7E6A0" w14:textId="77777777" w:rsidTr="005F015D">
        <w:tc>
          <w:tcPr>
            <w:tcW w:w="2835" w:type="dxa"/>
            <w:shd w:val="clear" w:color="auto" w:fill="auto"/>
          </w:tcPr>
          <w:p w14:paraId="3CA7E69E" w14:textId="77777777" w:rsidR="00D214AF" w:rsidRPr="00205C60" w:rsidRDefault="00D214AF" w:rsidP="00D214AF">
            <w:pPr>
              <w:rPr>
                <w:rFonts w:ascii="Verdana" w:eastAsia="SimSun" w:hAnsi="Verdana" w:cs="Arial"/>
                <w:sz w:val="22"/>
                <w:szCs w:val="22"/>
                <w:lang w:val="es-CR"/>
              </w:rPr>
            </w:pPr>
            <w:r w:rsidRPr="00205C60">
              <w:rPr>
                <w:rFonts w:ascii="Verdana" w:eastAsia="SimSun" w:hAnsi="Verdana" w:cs="Arial"/>
                <w:sz w:val="22"/>
                <w:szCs w:val="22"/>
                <w:lang w:val="es-CR"/>
              </w:rPr>
              <w:t>Código ISIN</w:t>
            </w:r>
          </w:p>
        </w:tc>
        <w:tc>
          <w:tcPr>
            <w:tcW w:w="4394" w:type="dxa"/>
            <w:shd w:val="clear" w:color="auto" w:fill="auto"/>
          </w:tcPr>
          <w:p w14:paraId="3CA7E69F" w14:textId="77777777" w:rsidR="00D214AF" w:rsidRPr="00205C60" w:rsidRDefault="00D214AF" w:rsidP="0001327D">
            <w:pPr>
              <w:rPr>
                <w:rFonts w:ascii="Verdana" w:eastAsia="SimSun" w:hAnsi="Verdana" w:cs="Arial"/>
                <w:sz w:val="22"/>
                <w:szCs w:val="22"/>
                <w:lang w:val="es-CR"/>
              </w:rPr>
            </w:pPr>
            <w:r w:rsidRPr="00205C60">
              <w:rPr>
                <w:rFonts w:ascii="Verdana" w:eastAsia="SimSun" w:hAnsi="Verdana" w:cs="Arial"/>
                <w:sz w:val="22"/>
                <w:szCs w:val="22"/>
                <w:lang w:val="es-CR"/>
              </w:rPr>
              <w:t>CRCFLUZB0231</w:t>
            </w:r>
          </w:p>
        </w:tc>
      </w:tr>
      <w:tr w:rsidR="00D214AF" w:rsidRPr="00205C60" w14:paraId="3CA7E6A3" w14:textId="77777777" w:rsidTr="005F015D">
        <w:tc>
          <w:tcPr>
            <w:tcW w:w="2835" w:type="dxa"/>
            <w:shd w:val="clear" w:color="auto" w:fill="auto"/>
          </w:tcPr>
          <w:p w14:paraId="3CA7E6A1" w14:textId="77777777" w:rsidR="00D214AF" w:rsidRPr="00205C60" w:rsidRDefault="00D214AF" w:rsidP="00D214AF">
            <w:pPr>
              <w:rPr>
                <w:rFonts w:ascii="Verdana" w:eastAsia="SimSun" w:hAnsi="Verdana" w:cs="Arial"/>
                <w:sz w:val="22"/>
                <w:szCs w:val="22"/>
                <w:lang w:val="es-CR"/>
              </w:rPr>
            </w:pPr>
            <w:r w:rsidRPr="00205C60">
              <w:rPr>
                <w:rFonts w:ascii="Verdana" w:eastAsia="SimSun" w:hAnsi="Verdana" w:cs="Arial"/>
                <w:sz w:val="22"/>
                <w:szCs w:val="22"/>
                <w:lang w:val="es-CR"/>
              </w:rPr>
              <w:t>Instrumento</w:t>
            </w:r>
          </w:p>
        </w:tc>
        <w:tc>
          <w:tcPr>
            <w:tcW w:w="4394" w:type="dxa"/>
            <w:shd w:val="clear" w:color="auto" w:fill="auto"/>
          </w:tcPr>
          <w:p w14:paraId="3CA7E6A2" w14:textId="77777777" w:rsidR="00D214AF" w:rsidRPr="00205C60" w:rsidRDefault="00D214AF" w:rsidP="0001327D">
            <w:pPr>
              <w:rPr>
                <w:rFonts w:ascii="Verdana" w:eastAsia="SimSun" w:hAnsi="Verdana" w:cs="Arial"/>
                <w:sz w:val="22"/>
                <w:szCs w:val="22"/>
                <w:lang w:val="es-CR"/>
              </w:rPr>
            </w:pPr>
            <w:r w:rsidRPr="00205C60">
              <w:rPr>
                <w:rFonts w:ascii="Verdana" w:eastAsia="SimSun" w:hAnsi="Verdana" w:cs="Arial"/>
                <w:sz w:val="22"/>
                <w:szCs w:val="22"/>
                <w:lang w:val="es-CR"/>
              </w:rPr>
              <w:t>bcfb4</w:t>
            </w:r>
          </w:p>
        </w:tc>
      </w:tr>
      <w:tr w:rsidR="00491D1A" w:rsidRPr="00205C60" w14:paraId="3CA7E6A6" w14:textId="77777777" w:rsidTr="005F015D">
        <w:tc>
          <w:tcPr>
            <w:tcW w:w="2835" w:type="dxa"/>
            <w:shd w:val="clear" w:color="auto" w:fill="auto"/>
          </w:tcPr>
          <w:p w14:paraId="3CA7E6A4" w14:textId="77777777" w:rsidR="00491D1A" w:rsidRPr="00205C60" w:rsidRDefault="00491D1A" w:rsidP="00D214AF">
            <w:pPr>
              <w:rPr>
                <w:rFonts w:ascii="Verdana" w:eastAsia="SimSun" w:hAnsi="Verdana" w:cs="Arial"/>
                <w:sz w:val="22"/>
                <w:szCs w:val="22"/>
                <w:lang w:val="es-CR"/>
              </w:rPr>
            </w:pPr>
            <w:r w:rsidRPr="00205C60">
              <w:rPr>
                <w:rFonts w:ascii="Verdana" w:eastAsia="SimSun" w:hAnsi="Verdana" w:cs="Arial"/>
                <w:sz w:val="22"/>
                <w:szCs w:val="22"/>
                <w:lang w:val="es-CR"/>
              </w:rPr>
              <w:t>Moneda</w:t>
            </w:r>
          </w:p>
        </w:tc>
        <w:tc>
          <w:tcPr>
            <w:tcW w:w="4394" w:type="dxa"/>
            <w:shd w:val="clear" w:color="auto" w:fill="auto"/>
          </w:tcPr>
          <w:p w14:paraId="3CA7E6A5" w14:textId="77777777" w:rsidR="00491D1A" w:rsidRPr="00205C60" w:rsidRDefault="00491D1A" w:rsidP="0001327D">
            <w:pPr>
              <w:rPr>
                <w:rFonts w:ascii="Verdana" w:eastAsia="SimSun" w:hAnsi="Verdana" w:cs="Arial"/>
                <w:sz w:val="22"/>
                <w:szCs w:val="22"/>
                <w:lang w:val="es-CR"/>
              </w:rPr>
            </w:pPr>
            <w:r w:rsidRPr="00205C60">
              <w:rPr>
                <w:rFonts w:ascii="Verdana" w:eastAsia="SimSun" w:hAnsi="Verdana" w:cs="Arial"/>
                <w:sz w:val="22"/>
                <w:szCs w:val="22"/>
                <w:lang w:val="es-CR"/>
              </w:rPr>
              <w:t>Colones moneda de curso legal de la República de Costa Rica</w:t>
            </w:r>
          </w:p>
        </w:tc>
      </w:tr>
      <w:tr w:rsidR="00D214AF" w:rsidRPr="00205C60" w14:paraId="3CA7E6A9" w14:textId="77777777" w:rsidTr="005F015D">
        <w:tc>
          <w:tcPr>
            <w:tcW w:w="2835" w:type="dxa"/>
            <w:shd w:val="clear" w:color="auto" w:fill="auto"/>
          </w:tcPr>
          <w:p w14:paraId="3CA7E6A7" w14:textId="77777777" w:rsidR="00D214AF" w:rsidRPr="00205C60" w:rsidRDefault="00D214AF" w:rsidP="00D214AF">
            <w:pPr>
              <w:rPr>
                <w:rFonts w:ascii="Verdana" w:eastAsia="SimSun" w:hAnsi="Verdana" w:cs="Arial"/>
                <w:sz w:val="22"/>
                <w:szCs w:val="22"/>
                <w:lang w:val="es-CR"/>
              </w:rPr>
            </w:pPr>
            <w:r w:rsidRPr="00205C60">
              <w:rPr>
                <w:rFonts w:ascii="Verdana" w:eastAsia="SimSun" w:hAnsi="Verdana" w:cs="Arial"/>
                <w:sz w:val="22"/>
                <w:szCs w:val="22"/>
                <w:lang w:val="es-CR"/>
              </w:rPr>
              <w:t>Monto total de la emisión</w:t>
            </w:r>
          </w:p>
        </w:tc>
        <w:tc>
          <w:tcPr>
            <w:tcW w:w="4394" w:type="dxa"/>
            <w:shd w:val="clear" w:color="auto" w:fill="auto"/>
          </w:tcPr>
          <w:p w14:paraId="3CA7E6A8" w14:textId="00292DAB" w:rsidR="00D214AF" w:rsidRPr="00205C60" w:rsidRDefault="003C746A" w:rsidP="0001327D">
            <w:pPr>
              <w:rPr>
                <w:rFonts w:ascii="Verdana" w:eastAsia="SimSun" w:hAnsi="Verdana" w:cs="Arial"/>
                <w:sz w:val="22"/>
                <w:szCs w:val="22"/>
                <w:lang w:val="es-CR"/>
              </w:rPr>
            </w:pPr>
            <w:r w:rsidRPr="00205C60">
              <w:rPr>
                <w:rFonts w:ascii="Verdana" w:hAnsi="Verdana" w:cs="Arial"/>
                <w:sz w:val="22"/>
                <w:szCs w:val="22"/>
              </w:rPr>
              <w:t>₡</w:t>
            </w:r>
            <w:r w:rsidR="00D214AF" w:rsidRPr="00205C60">
              <w:rPr>
                <w:rFonts w:ascii="Verdana" w:eastAsia="SimSun" w:hAnsi="Verdana" w:cs="Arial"/>
                <w:sz w:val="22"/>
                <w:szCs w:val="22"/>
                <w:lang w:val="es-CR"/>
              </w:rPr>
              <w:t xml:space="preserve"> 10.300.000.000,00</w:t>
            </w:r>
          </w:p>
        </w:tc>
      </w:tr>
      <w:tr w:rsidR="00D214AF" w:rsidRPr="00205C60" w14:paraId="3CA7E6AC" w14:textId="77777777" w:rsidTr="005F015D">
        <w:tc>
          <w:tcPr>
            <w:tcW w:w="2835" w:type="dxa"/>
            <w:shd w:val="clear" w:color="auto" w:fill="auto"/>
          </w:tcPr>
          <w:p w14:paraId="3CA7E6AA" w14:textId="77777777" w:rsidR="00D214AF" w:rsidRPr="00205C60" w:rsidRDefault="00D214AF" w:rsidP="00D214AF">
            <w:pPr>
              <w:rPr>
                <w:rFonts w:ascii="Verdana" w:eastAsia="SimSun" w:hAnsi="Verdana" w:cs="Arial"/>
                <w:sz w:val="22"/>
                <w:szCs w:val="22"/>
                <w:lang w:val="es-CR"/>
              </w:rPr>
            </w:pPr>
            <w:r w:rsidRPr="00205C60">
              <w:rPr>
                <w:rFonts w:ascii="Verdana" w:eastAsia="SimSun" w:hAnsi="Verdana" w:cs="Arial"/>
                <w:sz w:val="22"/>
                <w:szCs w:val="22"/>
                <w:lang w:val="es-CR"/>
              </w:rPr>
              <w:t>Valor facial</w:t>
            </w:r>
          </w:p>
        </w:tc>
        <w:tc>
          <w:tcPr>
            <w:tcW w:w="4394" w:type="dxa"/>
            <w:shd w:val="clear" w:color="auto" w:fill="auto"/>
          </w:tcPr>
          <w:p w14:paraId="3CA7E6AB" w14:textId="42AA12D9" w:rsidR="00D214AF" w:rsidRPr="00205C60" w:rsidRDefault="003C746A" w:rsidP="0001327D">
            <w:pPr>
              <w:rPr>
                <w:rFonts w:ascii="Verdana" w:eastAsia="SimSun" w:hAnsi="Verdana" w:cs="Arial"/>
                <w:sz w:val="22"/>
                <w:szCs w:val="22"/>
                <w:lang w:val="es-CR"/>
              </w:rPr>
            </w:pPr>
            <w:r w:rsidRPr="00205C60">
              <w:rPr>
                <w:rFonts w:ascii="Verdana" w:hAnsi="Verdana" w:cs="Arial"/>
                <w:sz w:val="22"/>
                <w:szCs w:val="22"/>
              </w:rPr>
              <w:t>₡</w:t>
            </w:r>
            <w:r w:rsidR="00D214AF" w:rsidRPr="00205C60">
              <w:rPr>
                <w:rFonts w:ascii="Verdana" w:eastAsia="SimSun" w:hAnsi="Verdana" w:cs="Arial"/>
                <w:sz w:val="22"/>
                <w:szCs w:val="22"/>
                <w:lang w:val="es-CR"/>
              </w:rPr>
              <w:t xml:space="preserve"> 1.000.000,00</w:t>
            </w:r>
          </w:p>
        </w:tc>
      </w:tr>
      <w:tr w:rsidR="00D214AF" w:rsidRPr="00205C60" w14:paraId="3CA7E6AF" w14:textId="77777777" w:rsidTr="005F015D">
        <w:tc>
          <w:tcPr>
            <w:tcW w:w="2835" w:type="dxa"/>
            <w:shd w:val="clear" w:color="auto" w:fill="auto"/>
          </w:tcPr>
          <w:p w14:paraId="3CA7E6AD" w14:textId="77777777" w:rsidR="00D214AF" w:rsidRPr="00205C60" w:rsidRDefault="00D214AF" w:rsidP="00D214AF">
            <w:pPr>
              <w:rPr>
                <w:rFonts w:ascii="Verdana" w:eastAsia="SimSun" w:hAnsi="Verdana" w:cs="Arial"/>
                <w:sz w:val="22"/>
                <w:szCs w:val="22"/>
                <w:lang w:val="es-CR"/>
              </w:rPr>
            </w:pPr>
            <w:r w:rsidRPr="00205C60">
              <w:rPr>
                <w:rFonts w:ascii="Verdana" w:eastAsia="SimSun" w:hAnsi="Verdana" w:cs="Arial"/>
                <w:sz w:val="22"/>
                <w:szCs w:val="22"/>
                <w:lang w:val="es-CR"/>
              </w:rPr>
              <w:t>Fecha de emisión</w:t>
            </w:r>
          </w:p>
        </w:tc>
        <w:tc>
          <w:tcPr>
            <w:tcW w:w="4394" w:type="dxa"/>
            <w:shd w:val="clear" w:color="auto" w:fill="auto"/>
          </w:tcPr>
          <w:p w14:paraId="3CA7E6AE" w14:textId="77777777" w:rsidR="00D214AF" w:rsidRPr="00205C60" w:rsidRDefault="00D214AF" w:rsidP="0001327D">
            <w:pPr>
              <w:rPr>
                <w:rFonts w:ascii="Verdana" w:eastAsia="SimSun" w:hAnsi="Verdana" w:cs="Arial"/>
                <w:sz w:val="22"/>
                <w:szCs w:val="22"/>
                <w:lang w:val="es-CR"/>
              </w:rPr>
            </w:pPr>
            <w:r w:rsidRPr="00205C60">
              <w:rPr>
                <w:rFonts w:ascii="Verdana" w:eastAsia="SimSun" w:hAnsi="Verdana" w:cs="Arial"/>
                <w:sz w:val="22"/>
                <w:szCs w:val="22"/>
                <w:lang w:val="es-CR"/>
              </w:rPr>
              <w:t>16/05/2013</w:t>
            </w:r>
          </w:p>
        </w:tc>
      </w:tr>
      <w:tr w:rsidR="00D214AF" w:rsidRPr="00205C60" w14:paraId="3CA7E6B2" w14:textId="77777777" w:rsidTr="005F015D">
        <w:tc>
          <w:tcPr>
            <w:tcW w:w="2835" w:type="dxa"/>
            <w:shd w:val="clear" w:color="auto" w:fill="auto"/>
          </w:tcPr>
          <w:p w14:paraId="3CA7E6B0" w14:textId="77777777" w:rsidR="00D214AF" w:rsidRPr="00205C60" w:rsidRDefault="00D214AF" w:rsidP="00D214AF">
            <w:pPr>
              <w:rPr>
                <w:rFonts w:ascii="Verdana" w:eastAsia="SimSun" w:hAnsi="Verdana" w:cs="Arial"/>
                <w:sz w:val="22"/>
                <w:szCs w:val="22"/>
                <w:lang w:val="es-CR"/>
              </w:rPr>
            </w:pPr>
            <w:r w:rsidRPr="00205C60">
              <w:rPr>
                <w:rFonts w:ascii="Verdana" w:eastAsia="SimSun" w:hAnsi="Verdana" w:cs="Arial"/>
                <w:sz w:val="22"/>
                <w:szCs w:val="22"/>
                <w:lang w:val="es-CR"/>
              </w:rPr>
              <w:t>Fecha de vencimiento</w:t>
            </w:r>
          </w:p>
        </w:tc>
        <w:tc>
          <w:tcPr>
            <w:tcW w:w="4394" w:type="dxa"/>
            <w:shd w:val="clear" w:color="auto" w:fill="auto"/>
          </w:tcPr>
          <w:p w14:paraId="3CA7E6B1" w14:textId="77777777" w:rsidR="00D214AF" w:rsidRPr="00205C60" w:rsidRDefault="00D214AF" w:rsidP="0001327D">
            <w:pPr>
              <w:rPr>
                <w:rFonts w:ascii="Verdana" w:eastAsia="SimSun" w:hAnsi="Verdana" w:cs="Arial"/>
                <w:sz w:val="22"/>
                <w:szCs w:val="22"/>
                <w:lang w:val="es-CR"/>
              </w:rPr>
            </w:pPr>
            <w:r w:rsidRPr="00205C60">
              <w:rPr>
                <w:rFonts w:ascii="Verdana" w:eastAsia="SimSun" w:hAnsi="Verdana" w:cs="Arial"/>
                <w:sz w:val="22"/>
                <w:szCs w:val="22"/>
                <w:lang w:val="es-CR"/>
              </w:rPr>
              <w:t>16/05/2033</w:t>
            </w:r>
          </w:p>
        </w:tc>
      </w:tr>
      <w:tr w:rsidR="00D214AF" w:rsidRPr="00205C60" w14:paraId="3CA7E6B5" w14:textId="77777777" w:rsidTr="005F015D">
        <w:tc>
          <w:tcPr>
            <w:tcW w:w="2835" w:type="dxa"/>
            <w:shd w:val="clear" w:color="auto" w:fill="auto"/>
          </w:tcPr>
          <w:p w14:paraId="3CA7E6B3" w14:textId="77777777" w:rsidR="00D214AF" w:rsidRPr="00205C60" w:rsidRDefault="00D214AF" w:rsidP="00D214AF">
            <w:pPr>
              <w:rPr>
                <w:rFonts w:ascii="Verdana" w:eastAsia="SimSun" w:hAnsi="Verdana" w:cs="Arial"/>
                <w:sz w:val="22"/>
                <w:szCs w:val="22"/>
                <w:lang w:val="es-CR"/>
              </w:rPr>
            </w:pPr>
            <w:r w:rsidRPr="00205C60">
              <w:rPr>
                <w:rFonts w:ascii="Verdana" w:eastAsia="SimSun" w:hAnsi="Verdana" w:cs="Arial"/>
                <w:sz w:val="22"/>
                <w:szCs w:val="22"/>
                <w:lang w:val="es-CR"/>
              </w:rPr>
              <w:t>Plazo</w:t>
            </w:r>
          </w:p>
        </w:tc>
        <w:tc>
          <w:tcPr>
            <w:tcW w:w="4394" w:type="dxa"/>
            <w:shd w:val="clear" w:color="auto" w:fill="auto"/>
          </w:tcPr>
          <w:p w14:paraId="3CA7E6B4" w14:textId="77777777" w:rsidR="00D214AF" w:rsidRPr="00205C60" w:rsidRDefault="00D214AF" w:rsidP="0001327D">
            <w:pPr>
              <w:rPr>
                <w:rFonts w:ascii="Verdana" w:eastAsia="SimSun" w:hAnsi="Verdana" w:cs="Arial"/>
                <w:sz w:val="22"/>
                <w:szCs w:val="22"/>
                <w:lang w:val="es-CR"/>
              </w:rPr>
            </w:pPr>
            <w:r w:rsidRPr="00205C60">
              <w:rPr>
                <w:rFonts w:ascii="Verdana" w:eastAsia="SimSun" w:hAnsi="Verdana" w:cs="Arial"/>
                <w:sz w:val="22"/>
                <w:szCs w:val="22"/>
                <w:lang w:val="es-CR"/>
              </w:rPr>
              <w:t>20 AÑOS</w:t>
            </w:r>
          </w:p>
        </w:tc>
      </w:tr>
      <w:tr w:rsidR="00D214AF" w:rsidRPr="00205C60" w14:paraId="3CA7E6B8" w14:textId="77777777" w:rsidTr="005F015D">
        <w:tc>
          <w:tcPr>
            <w:tcW w:w="2835" w:type="dxa"/>
            <w:shd w:val="clear" w:color="auto" w:fill="auto"/>
          </w:tcPr>
          <w:p w14:paraId="3CA7E6B6" w14:textId="77777777" w:rsidR="00D214AF" w:rsidRPr="00205C60" w:rsidRDefault="00D214AF" w:rsidP="00D214AF">
            <w:pPr>
              <w:rPr>
                <w:rFonts w:ascii="Verdana" w:eastAsia="SimSun" w:hAnsi="Verdana" w:cs="Arial"/>
                <w:sz w:val="22"/>
                <w:szCs w:val="22"/>
                <w:lang w:val="es-CR"/>
              </w:rPr>
            </w:pPr>
            <w:r w:rsidRPr="00205C60">
              <w:rPr>
                <w:rFonts w:ascii="Verdana" w:eastAsia="SimSun" w:hAnsi="Verdana" w:cs="Arial"/>
                <w:sz w:val="22"/>
                <w:szCs w:val="22"/>
                <w:lang w:val="es-CR"/>
              </w:rPr>
              <w:t>Tasa de interés bruta</w:t>
            </w:r>
          </w:p>
        </w:tc>
        <w:tc>
          <w:tcPr>
            <w:tcW w:w="4394" w:type="dxa"/>
            <w:shd w:val="clear" w:color="auto" w:fill="auto"/>
          </w:tcPr>
          <w:p w14:paraId="3CA7E6B7" w14:textId="77777777" w:rsidR="00D214AF" w:rsidRPr="00205C60" w:rsidRDefault="00D214AF" w:rsidP="0001327D">
            <w:pPr>
              <w:rPr>
                <w:rFonts w:ascii="Verdana" w:eastAsia="SimSun" w:hAnsi="Verdana" w:cs="Arial"/>
                <w:sz w:val="22"/>
                <w:szCs w:val="22"/>
                <w:lang w:val="es-CR"/>
              </w:rPr>
            </w:pPr>
            <w:r w:rsidRPr="00205C60">
              <w:rPr>
                <w:rFonts w:ascii="Verdana" w:eastAsia="SimSun" w:hAnsi="Verdana" w:cs="Arial"/>
                <w:sz w:val="22"/>
                <w:szCs w:val="22"/>
                <w:lang w:val="es-CR"/>
              </w:rPr>
              <w:t>Tasa básica + 3.43%</w:t>
            </w:r>
          </w:p>
        </w:tc>
      </w:tr>
      <w:tr w:rsidR="00D214AF" w:rsidRPr="00205C60" w14:paraId="3CA7E6BB" w14:textId="77777777" w:rsidTr="005F015D">
        <w:tc>
          <w:tcPr>
            <w:tcW w:w="2835" w:type="dxa"/>
            <w:shd w:val="clear" w:color="auto" w:fill="auto"/>
          </w:tcPr>
          <w:p w14:paraId="3CA7E6B9" w14:textId="77777777" w:rsidR="00D214AF" w:rsidRPr="00205C60" w:rsidRDefault="00D214AF" w:rsidP="00D214AF">
            <w:pPr>
              <w:rPr>
                <w:rFonts w:ascii="Verdana" w:eastAsia="SimSun" w:hAnsi="Verdana" w:cs="Arial"/>
                <w:sz w:val="22"/>
                <w:szCs w:val="22"/>
                <w:lang w:val="es-CR"/>
              </w:rPr>
            </w:pPr>
            <w:r w:rsidRPr="00205C60">
              <w:rPr>
                <w:rFonts w:ascii="Verdana" w:eastAsia="SimSun" w:hAnsi="Verdana" w:cs="Arial"/>
                <w:sz w:val="22"/>
                <w:szCs w:val="22"/>
                <w:lang w:val="es-CR"/>
              </w:rPr>
              <w:t>Tasa de interés neta</w:t>
            </w:r>
          </w:p>
        </w:tc>
        <w:tc>
          <w:tcPr>
            <w:tcW w:w="4394" w:type="dxa"/>
            <w:shd w:val="clear" w:color="auto" w:fill="auto"/>
          </w:tcPr>
          <w:p w14:paraId="3CA7E6BA" w14:textId="77777777" w:rsidR="00D214AF" w:rsidRPr="00205C60" w:rsidRDefault="00D214AF" w:rsidP="0001327D">
            <w:pPr>
              <w:rPr>
                <w:rFonts w:ascii="Verdana" w:eastAsia="SimSun" w:hAnsi="Verdana" w:cs="Arial"/>
                <w:sz w:val="22"/>
                <w:szCs w:val="22"/>
                <w:lang w:val="es-CR"/>
              </w:rPr>
            </w:pPr>
            <w:r w:rsidRPr="00205C60">
              <w:rPr>
                <w:rFonts w:ascii="Verdana" w:eastAsia="SimSun" w:hAnsi="Verdana" w:cs="Arial"/>
                <w:sz w:val="22"/>
                <w:szCs w:val="22"/>
                <w:lang w:val="es-CR"/>
              </w:rPr>
              <w:t>Tasa de interés bruta menos 8%</w:t>
            </w:r>
          </w:p>
        </w:tc>
      </w:tr>
      <w:tr w:rsidR="00D214AF" w:rsidRPr="00205C60" w14:paraId="3CA7E6BE" w14:textId="77777777" w:rsidTr="005F015D">
        <w:tc>
          <w:tcPr>
            <w:tcW w:w="2835" w:type="dxa"/>
            <w:shd w:val="clear" w:color="auto" w:fill="auto"/>
          </w:tcPr>
          <w:p w14:paraId="3CA7E6BC" w14:textId="77777777" w:rsidR="00D214AF" w:rsidRPr="00205C60" w:rsidRDefault="00D214AF" w:rsidP="00D214AF">
            <w:pPr>
              <w:rPr>
                <w:rFonts w:ascii="Verdana" w:eastAsia="SimSun" w:hAnsi="Verdana" w:cs="Arial"/>
                <w:sz w:val="22"/>
                <w:szCs w:val="22"/>
                <w:lang w:val="es-CR"/>
              </w:rPr>
            </w:pPr>
            <w:r w:rsidRPr="00205C60">
              <w:rPr>
                <w:rFonts w:ascii="Verdana" w:eastAsia="SimSun" w:hAnsi="Verdana" w:cs="Arial"/>
                <w:sz w:val="22"/>
                <w:szCs w:val="22"/>
                <w:lang w:val="es-CR"/>
              </w:rPr>
              <w:t>Calificación de riesgo</w:t>
            </w:r>
          </w:p>
        </w:tc>
        <w:tc>
          <w:tcPr>
            <w:tcW w:w="4394" w:type="dxa"/>
            <w:shd w:val="clear" w:color="auto" w:fill="auto"/>
          </w:tcPr>
          <w:p w14:paraId="3CA7E6BD" w14:textId="77777777" w:rsidR="00D214AF" w:rsidRPr="00205C60" w:rsidRDefault="00D214AF" w:rsidP="0001327D">
            <w:pPr>
              <w:rPr>
                <w:rFonts w:ascii="Verdana" w:eastAsia="SimSun" w:hAnsi="Verdana" w:cs="Arial"/>
                <w:sz w:val="22"/>
                <w:szCs w:val="22"/>
                <w:lang w:val="es-CR"/>
              </w:rPr>
            </w:pPr>
            <w:proofErr w:type="gramStart"/>
            <w:r w:rsidRPr="00205C60">
              <w:rPr>
                <w:rFonts w:ascii="Verdana" w:eastAsia="SimSun" w:hAnsi="Verdana" w:cs="Arial"/>
                <w:sz w:val="22"/>
                <w:szCs w:val="22"/>
                <w:lang w:val="es-CR"/>
              </w:rPr>
              <w:t>AAA(</w:t>
            </w:r>
            <w:proofErr w:type="gramEnd"/>
            <w:r w:rsidRPr="00205C60">
              <w:rPr>
                <w:rFonts w:ascii="Verdana" w:eastAsia="SimSun" w:hAnsi="Verdana" w:cs="Arial"/>
                <w:sz w:val="22"/>
                <w:szCs w:val="22"/>
                <w:lang w:val="es-CR"/>
              </w:rPr>
              <w:t>cri)</w:t>
            </w:r>
          </w:p>
        </w:tc>
      </w:tr>
      <w:tr w:rsidR="00D214AF" w:rsidRPr="00205C60" w14:paraId="3CA7E6C1" w14:textId="77777777" w:rsidTr="005F015D">
        <w:tc>
          <w:tcPr>
            <w:tcW w:w="2835" w:type="dxa"/>
            <w:shd w:val="clear" w:color="auto" w:fill="auto"/>
          </w:tcPr>
          <w:p w14:paraId="3CA7E6BF" w14:textId="77777777" w:rsidR="00D214AF" w:rsidRPr="00205C60" w:rsidRDefault="00D214AF" w:rsidP="00D214AF">
            <w:pPr>
              <w:rPr>
                <w:rFonts w:ascii="Verdana" w:eastAsia="SimSun" w:hAnsi="Verdana" w:cs="Arial"/>
                <w:sz w:val="22"/>
                <w:szCs w:val="22"/>
                <w:lang w:val="es-CR"/>
              </w:rPr>
            </w:pPr>
            <w:r w:rsidRPr="00205C60">
              <w:rPr>
                <w:rFonts w:ascii="Verdana" w:eastAsia="SimSun" w:hAnsi="Verdana" w:cs="Arial"/>
                <w:sz w:val="22"/>
                <w:szCs w:val="22"/>
                <w:lang w:val="es-CR"/>
              </w:rPr>
              <w:t>Factor de cálculo</w:t>
            </w:r>
          </w:p>
        </w:tc>
        <w:tc>
          <w:tcPr>
            <w:tcW w:w="4394" w:type="dxa"/>
            <w:shd w:val="clear" w:color="auto" w:fill="auto"/>
          </w:tcPr>
          <w:p w14:paraId="3CA7E6C0" w14:textId="77777777" w:rsidR="00D214AF" w:rsidRPr="00205C60" w:rsidRDefault="00D214AF" w:rsidP="0001327D">
            <w:pPr>
              <w:rPr>
                <w:rFonts w:ascii="Verdana" w:eastAsia="SimSun" w:hAnsi="Verdana" w:cs="Arial"/>
                <w:sz w:val="22"/>
                <w:szCs w:val="22"/>
                <w:lang w:val="es-CR"/>
              </w:rPr>
            </w:pPr>
            <w:r w:rsidRPr="00205C60">
              <w:rPr>
                <w:rFonts w:ascii="Verdana" w:eastAsia="SimSun" w:hAnsi="Verdana" w:cs="Arial"/>
                <w:sz w:val="22"/>
                <w:szCs w:val="22"/>
                <w:lang w:val="es-CR"/>
              </w:rPr>
              <w:t>30/360</w:t>
            </w:r>
          </w:p>
        </w:tc>
      </w:tr>
      <w:tr w:rsidR="00D214AF" w:rsidRPr="00205C60" w14:paraId="3CA7E6C4" w14:textId="77777777" w:rsidTr="005F015D">
        <w:tc>
          <w:tcPr>
            <w:tcW w:w="2835" w:type="dxa"/>
            <w:shd w:val="clear" w:color="auto" w:fill="auto"/>
          </w:tcPr>
          <w:p w14:paraId="3CA7E6C2" w14:textId="77777777" w:rsidR="00D214AF" w:rsidRPr="00205C60" w:rsidRDefault="00D214AF" w:rsidP="00D214AF">
            <w:pPr>
              <w:rPr>
                <w:rFonts w:ascii="Verdana" w:eastAsia="SimSun" w:hAnsi="Verdana" w:cs="Arial"/>
                <w:sz w:val="22"/>
                <w:szCs w:val="22"/>
                <w:lang w:val="es-CR"/>
              </w:rPr>
            </w:pPr>
            <w:r w:rsidRPr="00205C60">
              <w:rPr>
                <w:rFonts w:ascii="Verdana" w:eastAsia="SimSun" w:hAnsi="Verdana" w:cs="Arial"/>
                <w:sz w:val="22"/>
                <w:szCs w:val="22"/>
                <w:lang w:val="es-CR"/>
              </w:rPr>
              <w:t>Forma de representación</w:t>
            </w:r>
          </w:p>
        </w:tc>
        <w:tc>
          <w:tcPr>
            <w:tcW w:w="4394" w:type="dxa"/>
            <w:shd w:val="clear" w:color="auto" w:fill="auto"/>
          </w:tcPr>
          <w:p w14:paraId="3CA7E6C3" w14:textId="77777777" w:rsidR="00D214AF" w:rsidRPr="00205C60" w:rsidRDefault="005C79E5" w:rsidP="0001327D">
            <w:pPr>
              <w:rPr>
                <w:rFonts w:ascii="Verdana" w:eastAsia="SimSun" w:hAnsi="Verdana" w:cs="Arial"/>
                <w:sz w:val="22"/>
                <w:szCs w:val="22"/>
                <w:lang w:val="es-CR"/>
              </w:rPr>
            </w:pPr>
            <w:r w:rsidRPr="00205C60">
              <w:rPr>
                <w:rFonts w:ascii="Verdana" w:eastAsia="SimSun" w:hAnsi="Verdana" w:cs="Arial"/>
                <w:sz w:val="22"/>
                <w:szCs w:val="22"/>
                <w:lang w:val="es-CR"/>
              </w:rPr>
              <w:t>Anotación electrónica en cuenta</w:t>
            </w:r>
          </w:p>
        </w:tc>
      </w:tr>
      <w:tr w:rsidR="00D214AF" w:rsidRPr="00205C60" w14:paraId="3CA7E6C7" w14:textId="77777777" w:rsidTr="005F015D">
        <w:tc>
          <w:tcPr>
            <w:tcW w:w="2835" w:type="dxa"/>
            <w:shd w:val="clear" w:color="auto" w:fill="auto"/>
          </w:tcPr>
          <w:p w14:paraId="3CA7E6C5" w14:textId="77777777" w:rsidR="00D214AF" w:rsidRPr="00205C60" w:rsidRDefault="00D214AF" w:rsidP="00D214AF">
            <w:pPr>
              <w:rPr>
                <w:rFonts w:ascii="Verdana" w:eastAsia="SimSun" w:hAnsi="Verdana" w:cs="Arial"/>
                <w:sz w:val="22"/>
                <w:szCs w:val="22"/>
                <w:lang w:val="es-CR"/>
              </w:rPr>
            </w:pPr>
            <w:r w:rsidRPr="00205C60">
              <w:rPr>
                <w:rFonts w:ascii="Verdana" w:eastAsia="SimSun" w:hAnsi="Verdana" w:cs="Arial"/>
                <w:sz w:val="22"/>
                <w:szCs w:val="22"/>
                <w:lang w:val="es-CR"/>
              </w:rPr>
              <w:t>Ley de circulación</w:t>
            </w:r>
          </w:p>
        </w:tc>
        <w:tc>
          <w:tcPr>
            <w:tcW w:w="4394" w:type="dxa"/>
            <w:shd w:val="clear" w:color="auto" w:fill="auto"/>
          </w:tcPr>
          <w:p w14:paraId="3CA7E6C6" w14:textId="77777777" w:rsidR="00D214AF" w:rsidRPr="00205C60" w:rsidRDefault="00D214AF" w:rsidP="0001327D">
            <w:pPr>
              <w:rPr>
                <w:rFonts w:ascii="Verdana" w:eastAsia="SimSun" w:hAnsi="Verdana" w:cs="Arial"/>
                <w:sz w:val="22"/>
                <w:szCs w:val="22"/>
                <w:lang w:val="es-CR"/>
              </w:rPr>
            </w:pPr>
            <w:r w:rsidRPr="00205C60">
              <w:rPr>
                <w:rFonts w:ascii="Verdana" w:eastAsia="SimSun" w:hAnsi="Verdana" w:cs="Arial"/>
                <w:sz w:val="22"/>
                <w:szCs w:val="22"/>
                <w:lang w:val="es-CR"/>
              </w:rPr>
              <w:t>A la orden</w:t>
            </w:r>
          </w:p>
        </w:tc>
      </w:tr>
      <w:tr w:rsidR="00D214AF" w:rsidRPr="00205C60" w14:paraId="3CA7E6CA" w14:textId="77777777" w:rsidTr="005F015D">
        <w:tc>
          <w:tcPr>
            <w:tcW w:w="2835" w:type="dxa"/>
            <w:shd w:val="clear" w:color="auto" w:fill="auto"/>
          </w:tcPr>
          <w:p w14:paraId="3CA7E6C8" w14:textId="77777777" w:rsidR="00D214AF" w:rsidRPr="00205C60" w:rsidRDefault="00D214AF" w:rsidP="00D214AF">
            <w:pPr>
              <w:rPr>
                <w:rFonts w:ascii="Verdana" w:eastAsia="SimSun" w:hAnsi="Verdana" w:cs="Arial"/>
                <w:sz w:val="22"/>
                <w:szCs w:val="22"/>
                <w:lang w:val="es-CR"/>
              </w:rPr>
            </w:pPr>
            <w:r w:rsidRPr="00205C60">
              <w:rPr>
                <w:rFonts w:ascii="Verdana" w:eastAsia="SimSun" w:hAnsi="Verdana" w:cs="Arial"/>
                <w:sz w:val="22"/>
                <w:szCs w:val="22"/>
                <w:lang w:val="es-CR"/>
              </w:rPr>
              <w:lastRenderedPageBreak/>
              <w:t>Periodicidad</w:t>
            </w:r>
          </w:p>
        </w:tc>
        <w:tc>
          <w:tcPr>
            <w:tcW w:w="4394" w:type="dxa"/>
            <w:shd w:val="clear" w:color="auto" w:fill="auto"/>
          </w:tcPr>
          <w:p w14:paraId="3CA7E6C9" w14:textId="77777777" w:rsidR="00D214AF" w:rsidRPr="00205C60" w:rsidRDefault="00D214AF" w:rsidP="0001327D">
            <w:pPr>
              <w:rPr>
                <w:rFonts w:ascii="Verdana" w:eastAsia="SimSun" w:hAnsi="Verdana" w:cs="Arial"/>
                <w:sz w:val="22"/>
                <w:szCs w:val="22"/>
                <w:lang w:val="es-CR"/>
              </w:rPr>
            </w:pPr>
            <w:r w:rsidRPr="00205C60">
              <w:rPr>
                <w:rFonts w:ascii="Verdana" w:eastAsia="SimSun" w:hAnsi="Verdana" w:cs="Arial"/>
                <w:sz w:val="22"/>
                <w:szCs w:val="22"/>
                <w:lang w:val="es-CR"/>
              </w:rPr>
              <w:t>Semestral</w:t>
            </w:r>
          </w:p>
        </w:tc>
      </w:tr>
      <w:tr w:rsidR="00D214AF" w:rsidRPr="00205C60" w14:paraId="3CA7E6CD" w14:textId="77777777" w:rsidTr="005F015D">
        <w:tc>
          <w:tcPr>
            <w:tcW w:w="2835" w:type="dxa"/>
            <w:shd w:val="clear" w:color="auto" w:fill="auto"/>
          </w:tcPr>
          <w:p w14:paraId="3CA7E6CB" w14:textId="77777777" w:rsidR="00D214AF" w:rsidRPr="00205C60" w:rsidRDefault="00D214AF" w:rsidP="00D214AF">
            <w:pPr>
              <w:rPr>
                <w:rFonts w:ascii="Verdana" w:eastAsia="SimSun" w:hAnsi="Verdana" w:cs="Arial"/>
                <w:sz w:val="22"/>
                <w:szCs w:val="22"/>
                <w:lang w:val="es-CR"/>
              </w:rPr>
            </w:pPr>
            <w:r w:rsidRPr="00205C60">
              <w:rPr>
                <w:rFonts w:ascii="Verdana" w:eastAsia="SimSun" w:hAnsi="Verdana" w:cs="Arial"/>
                <w:sz w:val="22"/>
                <w:szCs w:val="22"/>
                <w:lang w:val="es-CR"/>
              </w:rPr>
              <w:t>Amortización al principal</w:t>
            </w:r>
          </w:p>
        </w:tc>
        <w:tc>
          <w:tcPr>
            <w:tcW w:w="4394" w:type="dxa"/>
            <w:shd w:val="clear" w:color="auto" w:fill="auto"/>
          </w:tcPr>
          <w:p w14:paraId="3CA7E6CC" w14:textId="77777777" w:rsidR="00D214AF" w:rsidRPr="00205C60" w:rsidRDefault="00D214AF" w:rsidP="0001327D">
            <w:pPr>
              <w:rPr>
                <w:rFonts w:ascii="Verdana" w:eastAsia="SimSun" w:hAnsi="Verdana" w:cs="Arial"/>
                <w:sz w:val="22"/>
                <w:szCs w:val="22"/>
                <w:lang w:val="es-CR"/>
              </w:rPr>
            </w:pPr>
            <w:r w:rsidRPr="00205C60">
              <w:rPr>
                <w:rFonts w:ascii="Verdana" w:eastAsia="SimSun" w:hAnsi="Verdana" w:cs="Arial"/>
                <w:sz w:val="22"/>
                <w:szCs w:val="22"/>
                <w:lang w:val="es-CR"/>
              </w:rPr>
              <w:t>Al vencimiento</w:t>
            </w:r>
          </w:p>
        </w:tc>
      </w:tr>
      <w:tr w:rsidR="00D214AF" w:rsidRPr="00205C60" w14:paraId="3CA7E6D0" w14:textId="77777777" w:rsidTr="005F015D">
        <w:tc>
          <w:tcPr>
            <w:tcW w:w="2835" w:type="dxa"/>
            <w:shd w:val="clear" w:color="auto" w:fill="auto"/>
          </w:tcPr>
          <w:p w14:paraId="3CA7E6CE" w14:textId="77777777" w:rsidR="00D214AF" w:rsidRPr="00205C60" w:rsidRDefault="00D214AF" w:rsidP="00D214AF">
            <w:pPr>
              <w:rPr>
                <w:rFonts w:ascii="Verdana" w:eastAsia="SimSun" w:hAnsi="Verdana" w:cs="Arial"/>
                <w:sz w:val="22"/>
                <w:szCs w:val="22"/>
                <w:lang w:val="es-CR"/>
              </w:rPr>
            </w:pPr>
            <w:r w:rsidRPr="00205C60">
              <w:rPr>
                <w:rFonts w:ascii="Verdana" w:eastAsia="SimSun" w:hAnsi="Verdana" w:cs="Arial"/>
                <w:sz w:val="22"/>
                <w:szCs w:val="22"/>
                <w:lang w:val="es-CR"/>
              </w:rPr>
              <w:t>Forma de colocación</w:t>
            </w:r>
          </w:p>
        </w:tc>
        <w:tc>
          <w:tcPr>
            <w:tcW w:w="4394" w:type="dxa"/>
            <w:shd w:val="clear" w:color="auto" w:fill="auto"/>
          </w:tcPr>
          <w:p w14:paraId="3CA7E6CF" w14:textId="77777777" w:rsidR="00D214AF" w:rsidRPr="00205C60" w:rsidRDefault="00D214AF" w:rsidP="0001327D">
            <w:pPr>
              <w:rPr>
                <w:rFonts w:ascii="Verdana" w:eastAsia="SimSun" w:hAnsi="Verdana" w:cs="Arial"/>
                <w:sz w:val="22"/>
                <w:szCs w:val="22"/>
                <w:lang w:val="es-CR"/>
              </w:rPr>
            </w:pPr>
            <w:r w:rsidRPr="00205C60">
              <w:rPr>
                <w:rFonts w:ascii="Verdana" w:eastAsia="SimSun" w:hAnsi="Verdana" w:cs="Arial"/>
                <w:sz w:val="22"/>
                <w:szCs w:val="22"/>
                <w:lang w:val="es-CR"/>
              </w:rPr>
              <w:t>Suscripción en firme</w:t>
            </w:r>
          </w:p>
        </w:tc>
      </w:tr>
    </w:tbl>
    <w:p w14:paraId="3CA7E6D1" w14:textId="77777777" w:rsidR="00D214AF" w:rsidRPr="00205C60" w:rsidRDefault="00D214AF" w:rsidP="00D214AF">
      <w:pPr>
        <w:jc w:val="center"/>
        <w:rPr>
          <w:rFonts w:ascii="Verdana" w:hAnsi="Verdana"/>
          <w:sz w:val="22"/>
          <w:szCs w:val="22"/>
          <w:lang w:val="es-CR"/>
        </w:rPr>
      </w:pPr>
    </w:p>
    <w:p w14:paraId="3CA7E6D2" w14:textId="68F17E1B" w:rsidR="00464A0E" w:rsidRPr="00205C60" w:rsidRDefault="00464A0E" w:rsidP="00882F32">
      <w:pPr>
        <w:pStyle w:val="Prrafodelista"/>
        <w:numPr>
          <w:ilvl w:val="0"/>
          <w:numId w:val="36"/>
        </w:numPr>
        <w:jc w:val="both"/>
        <w:rPr>
          <w:rFonts w:ascii="Verdana" w:hAnsi="Verdana"/>
          <w:sz w:val="22"/>
          <w:szCs w:val="22"/>
          <w:lang w:val="es-ES_tradnl"/>
        </w:rPr>
      </w:pPr>
      <w:r w:rsidRPr="00205C60">
        <w:rPr>
          <w:rFonts w:ascii="Verdana" w:hAnsi="Verdana" w:cs="Arial"/>
          <w:sz w:val="22"/>
          <w:szCs w:val="22"/>
          <w:lang w:val="es-ES_tradnl"/>
        </w:rPr>
        <w:t>La tasa de referencia que se utilizará para estas emisiones será</w:t>
      </w:r>
      <w:r w:rsidR="002D40B0" w:rsidRPr="00205C60">
        <w:rPr>
          <w:rFonts w:ascii="Verdana" w:hAnsi="Verdana" w:cs="Arial"/>
          <w:sz w:val="22"/>
          <w:szCs w:val="22"/>
          <w:lang w:val="es-ES_tradnl"/>
        </w:rPr>
        <w:t xml:space="preserve"> la tasa básica </w:t>
      </w:r>
      <w:r w:rsidRPr="00205C60">
        <w:rPr>
          <w:rFonts w:ascii="Verdana" w:hAnsi="Verdana" w:cs="Arial"/>
          <w:sz w:val="22"/>
          <w:szCs w:val="22"/>
          <w:lang w:val="es-ES_tradnl"/>
        </w:rPr>
        <w:t>vigente un (1) día hábil antes del inicio de cada periodo de pago de intereses, de acuerdo con el inciso e) del artículo 9 del Reglamento sobre Oferta Pública de Valores</w:t>
      </w:r>
      <w:r w:rsidRPr="00205C60">
        <w:rPr>
          <w:rFonts w:ascii="Verdana" w:hAnsi="Verdana"/>
          <w:sz w:val="22"/>
          <w:szCs w:val="22"/>
          <w:lang w:val="es-ES_tradnl"/>
        </w:rPr>
        <w:t>.</w:t>
      </w:r>
    </w:p>
    <w:p w14:paraId="3CA7E6D3" w14:textId="77777777" w:rsidR="003E6650" w:rsidRPr="00205C60" w:rsidRDefault="00CF4687" w:rsidP="00882F32">
      <w:pPr>
        <w:pStyle w:val="Prrafodelista"/>
        <w:numPr>
          <w:ilvl w:val="0"/>
          <w:numId w:val="36"/>
        </w:numPr>
        <w:jc w:val="both"/>
        <w:rPr>
          <w:rStyle w:val="Hipervnculo"/>
          <w:rFonts w:ascii="Verdana" w:hAnsi="Verdana"/>
          <w:color w:val="auto"/>
          <w:sz w:val="22"/>
          <w:szCs w:val="22"/>
          <w:u w:val="none"/>
        </w:rPr>
      </w:pPr>
      <w:r w:rsidRPr="00205C60">
        <w:rPr>
          <w:rFonts w:ascii="Verdana" w:hAnsi="Verdana" w:cs="Arial"/>
          <w:sz w:val="22"/>
          <w:szCs w:val="22"/>
          <w:lang w:val="es-ES_tradnl"/>
        </w:rPr>
        <w:t xml:space="preserve">Esta </w:t>
      </w:r>
      <w:r w:rsidR="002E61C9" w:rsidRPr="00205C60">
        <w:rPr>
          <w:rFonts w:ascii="Verdana" w:hAnsi="Verdana" w:cs="Arial"/>
          <w:sz w:val="22"/>
          <w:szCs w:val="22"/>
          <w:lang w:val="es-ES_tradnl"/>
        </w:rPr>
        <w:t xml:space="preserve">tasa </w:t>
      </w:r>
      <w:r w:rsidRPr="00205C60">
        <w:rPr>
          <w:rFonts w:ascii="Verdana" w:hAnsi="Verdana" w:cs="Arial"/>
          <w:sz w:val="22"/>
          <w:szCs w:val="22"/>
          <w:lang w:val="es-ES_tradnl"/>
        </w:rPr>
        <w:t xml:space="preserve">de referencia </w:t>
      </w:r>
      <w:r w:rsidR="00464A0E" w:rsidRPr="00205C60">
        <w:rPr>
          <w:rFonts w:ascii="Verdana" w:hAnsi="Verdana" w:cs="Arial"/>
          <w:sz w:val="22"/>
          <w:szCs w:val="22"/>
          <w:lang w:val="es-ES_tradnl"/>
        </w:rPr>
        <w:t xml:space="preserve">es calculada por el Banco Central de Costa Rica y publicada semanalmente </w:t>
      </w:r>
      <w:r w:rsidRPr="00205C60">
        <w:rPr>
          <w:rFonts w:ascii="Verdana" w:hAnsi="Verdana" w:cs="Arial"/>
          <w:sz w:val="22"/>
          <w:szCs w:val="22"/>
          <w:lang w:val="es-ES_tradnl"/>
        </w:rPr>
        <w:t xml:space="preserve">los </w:t>
      </w:r>
      <w:proofErr w:type="gramStart"/>
      <w:r w:rsidRPr="00205C60">
        <w:rPr>
          <w:rFonts w:ascii="Verdana" w:hAnsi="Verdana" w:cs="Arial"/>
          <w:sz w:val="22"/>
          <w:szCs w:val="22"/>
          <w:lang w:val="es-ES_tradnl"/>
        </w:rPr>
        <w:t>días miércoles</w:t>
      </w:r>
      <w:proofErr w:type="gramEnd"/>
      <w:r w:rsidRPr="00205C60">
        <w:rPr>
          <w:rFonts w:ascii="Verdana" w:hAnsi="Verdana" w:cs="Arial"/>
          <w:sz w:val="22"/>
          <w:szCs w:val="22"/>
          <w:lang w:val="es-ES_tradnl"/>
        </w:rPr>
        <w:t xml:space="preserve"> en horas de la tarde </w:t>
      </w:r>
      <w:r w:rsidR="00464A0E" w:rsidRPr="00205C60">
        <w:rPr>
          <w:rFonts w:ascii="Verdana" w:hAnsi="Verdana" w:cs="Arial"/>
          <w:sz w:val="22"/>
          <w:szCs w:val="22"/>
          <w:lang w:val="es-ES_tradnl"/>
        </w:rPr>
        <w:t xml:space="preserve">a través de su sitio web </w:t>
      </w:r>
      <w:hyperlink r:id="rId11" w:history="1">
        <w:r w:rsidR="00464A0E" w:rsidRPr="00205C60">
          <w:rPr>
            <w:rStyle w:val="Hipervnculo"/>
            <w:rFonts w:ascii="Verdana" w:hAnsi="Verdana" w:cs="Arial"/>
            <w:sz w:val="22"/>
            <w:szCs w:val="22"/>
            <w:lang w:val="es-ES_tradnl"/>
          </w:rPr>
          <w:t>http://www.bccr.fi.cr</w:t>
        </w:r>
      </w:hyperlink>
      <w:r w:rsidR="00464A0E" w:rsidRPr="00205C60">
        <w:rPr>
          <w:rFonts w:ascii="Verdana" w:hAnsi="Verdana"/>
          <w:sz w:val="22"/>
          <w:szCs w:val="22"/>
          <w:lang w:val="es-ES_tradnl"/>
        </w:rPr>
        <w:t xml:space="preserve">. </w:t>
      </w:r>
      <w:r w:rsidR="00464A0E" w:rsidRPr="00205C60">
        <w:rPr>
          <w:rFonts w:ascii="Verdana" w:hAnsi="Verdana" w:cs="Arial"/>
          <w:sz w:val="22"/>
          <w:szCs w:val="22"/>
          <w:lang w:val="es-ES_tradnl"/>
        </w:rPr>
        <w:t xml:space="preserve">En este mismo sitio puede consultarse su metodología y forma de cálculo mediante el siguiente enlace electrónico:  </w:t>
      </w:r>
      <w:hyperlink r:id="rId12" w:history="1">
        <w:r w:rsidR="00464A0E" w:rsidRPr="00205C60">
          <w:rPr>
            <w:rStyle w:val="Hipervnculo"/>
            <w:rFonts w:ascii="Verdana" w:hAnsi="Verdana" w:cs="Arial"/>
            <w:sz w:val="22"/>
            <w:szCs w:val="22"/>
            <w:lang w:val="es-ES_tradnl"/>
          </w:rPr>
          <w:t>https://www.bccr.fi.cr/sección-indicadores-económicos/tasas-de-interés</w:t>
        </w:r>
      </w:hyperlink>
    </w:p>
    <w:p w14:paraId="3CA7E6D4" w14:textId="77777777" w:rsidR="00464A0E" w:rsidRPr="00205C60" w:rsidRDefault="00B52429" w:rsidP="00882F32">
      <w:pPr>
        <w:pStyle w:val="Prrafodelista"/>
        <w:numPr>
          <w:ilvl w:val="0"/>
          <w:numId w:val="36"/>
        </w:numPr>
        <w:jc w:val="both"/>
        <w:rPr>
          <w:rFonts w:ascii="Verdana" w:hAnsi="Verdana"/>
          <w:sz w:val="22"/>
          <w:szCs w:val="22"/>
        </w:rPr>
      </w:pPr>
      <w:r w:rsidRPr="00205C60">
        <w:rPr>
          <w:rFonts w:ascii="Verdana" w:hAnsi="Verdana" w:cs="Arial"/>
          <w:sz w:val="22"/>
          <w:szCs w:val="22"/>
          <w:lang w:val="es-ES_tradnl"/>
        </w:rPr>
        <w:t>En el evento de que a la fecha de liquidación de intereses la tasa básica no haya sido publicada para la semana correspondiente, el rendimiento se liquidará con el último dato oficial disponible, sin que posteriormente haya lugar a reliquidación.</w:t>
      </w:r>
    </w:p>
    <w:p w14:paraId="3CA7E6D5" w14:textId="77777777" w:rsidR="00C9413C" w:rsidRPr="00205C60" w:rsidRDefault="002716D6" w:rsidP="00882F32">
      <w:pPr>
        <w:pStyle w:val="Prrafodelista"/>
        <w:numPr>
          <w:ilvl w:val="0"/>
          <w:numId w:val="36"/>
        </w:numPr>
        <w:jc w:val="both"/>
        <w:rPr>
          <w:rFonts w:ascii="Verdana" w:hAnsi="Verdana"/>
          <w:sz w:val="22"/>
          <w:szCs w:val="22"/>
        </w:rPr>
      </w:pPr>
      <w:r w:rsidRPr="00205C60">
        <w:rPr>
          <w:rFonts w:ascii="Verdana" w:hAnsi="Verdana" w:cs="Arial"/>
          <w:sz w:val="22"/>
          <w:szCs w:val="22"/>
          <w:lang w:val="es-ES_tradnl"/>
        </w:rPr>
        <w:t>En caso de que eventualmente se elimine la tasa básica, ésta será reemplazada para los efectos de cálculo de intereses por la tasa que la autoridad</w:t>
      </w:r>
      <w:r w:rsidR="003A5BB5" w:rsidRPr="00205C60">
        <w:rPr>
          <w:rFonts w:ascii="Verdana" w:hAnsi="Verdana" w:cs="Arial"/>
          <w:sz w:val="22"/>
          <w:szCs w:val="22"/>
          <w:lang w:val="es-ES_tradnl"/>
        </w:rPr>
        <w:t xml:space="preserve"> competente defina, siempre y cuando la misma tenga en consideración similares supuestos económicos, pudien</w:t>
      </w:r>
      <w:r w:rsidR="00E5405E" w:rsidRPr="00205C60">
        <w:rPr>
          <w:rFonts w:ascii="Verdana" w:hAnsi="Verdana" w:cs="Arial"/>
          <w:sz w:val="22"/>
          <w:szCs w:val="22"/>
          <w:lang w:val="es-ES_tradnl"/>
        </w:rPr>
        <w:t>do</w:t>
      </w:r>
      <w:r w:rsidR="003A5BB5" w:rsidRPr="00205C60">
        <w:rPr>
          <w:rFonts w:ascii="Verdana" w:hAnsi="Verdana" w:cs="Arial"/>
          <w:sz w:val="22"/>
          <w:szCs w:val="22"/>
          <w:lang w:val="es-ES_tradnl"/>
        </w:rPr>
        <w:t xml:space="preserve"> traer consecuencias al inversionista al existir la posibilidad de que perciba un interés diferente al esperado.</w:t>
      </w:r>
    </w:p>
    <w:p w14:paraId="3CA7E6D6" w14:textId="77777777" w:rsidR="003A5BB5" w:rsidRPr="00205C60" w:rsidRDefault="003A5BB5" w:rsidP="00882F32">
      <w:pPr>
        <w:pStyle w:val="Prrafodelista"/>
        <w:numPr>
          <w:ilvl w:val="0"/>
          <w:numId w:val="36"/>
        </w:numPr>
        <w:jc w:val="both"/>
        <w:rPr>
          <w:rFonts w:ascii="Verdana" w:hAnsi="Verdana"/>
          <w:sz w:val="22"/>
          <w:szCs w:val="22"/>
        </w:rPr>
      </w:pPr>
      <w:r w:rsidRPr="00205C60">
        <w:rPr>
          <w:rFonts w:ascii="Verdana" w:hAnsi="Verdana" w:cs="Arial"/>
          <w:sz w:val="22"/>
          <w:szCs w:val="22"/>
          <w:lang w:val="es-ES_tradnl"/>
        </w:rPr>
        <w:t>Ante un cambio en la fórmula de cálculo de la tasa básica, se mantendrá las condiciones de tasa de interés pactadas para las emisiones vigentes al momento del cambio, en tanto la tasa de referencia no varía, únicamente su cálculo.</w:t>
      </w:r>
    </w:p>
    <w:p w14:paraId="3CA7E6D7" w14:textId="77777777" w:rsidR="003A5BB5" w:rsidRPr="00205C60" w:rsidRDefault="003A5BB5" w:rsidP="003A5BB5">
      <w:pPr>
        <w:jc w:val="both"/>
        <w:rPr>
          <w:rFonts w:ascii="Verdana" w:hAnsi="Verdana"/>
          <w:sz w:val="22"/>
          <w:szCs w:val="22"/>
        </w:rPr>
      </w:pPr>
    </w:p>
    <w:p w14:paraId="3CA7E6D8" w14:textId="77777777" w:rsidR="00EA1894" w:rsidRPr="00205C60" w:rsidRDefault="00EA1894" w:rsidP="008D0232">
      <w:pPr>
        <w:jc w:val="both"/>
        <w:rPr>
          <w:rFonts w:ascii="Verdana" w:hAnsi="Verdana"/>
          <w:sz w:val="22"/>
          <w:szCs w:val="22"/>
        </w:rPr>
      </w:pPr>
    </w:p>
    <w:p w14:paraId="3CA7E6D9" w14:textId="77777777" w:rsidR="008B29AB" w:rsidRPr="00205C60" w:rsidRDefault="008B29AB" w:rsidP="00882F32">
      <w:pPr>
        <w:pStyle w:val="Ttulo2"/>
        <w:numPr>
          <w:ilvl w:val="1"/>
          <w:numId w:val="18"/>
        </w:numPr>
        <w:rPr>
          <w:rFonts w:ascii="Verdana" w:hAnsi="Verdana" w:cs="Arial"/>
          <w:sz w:val="22"/>
          <w:szCs w:val="22"/>
        </w:rPr>
      </w:pPr>
      <w:bookmarkStart w:id="19" w:name="_Toc104529440"/>
      <w:r w:rsidRPr="00205C60">
        <w:rPr>
          <w:rFonts w:ascii="Verdana" w:hAnsi="Verdana" w:cs="Arial"/>
          <w:sz w:val="22"/>
          <w:szCs w:val="22"/>
        </w:rPr>
        <w:t>Modificación de la</w:t>
      </w:r>
      <w:r w:rsidR="00852F36" w:rsidRPr="00205C60">
        <w:rPr>
          <w:rFonts w:ascii="Verdana" w:hAnsi="Verdana" w:cs="Arial"/>
          <w:sz w:val="22"/>
          <w:szCs w:val="22"/>
        </w:rPr>
        <w:t>s</w:t>
      </w:r>
      <w:r w:rsidRPr="00205C60">
        <w:rPr>
          <w:rFonts w:ascii="Verdana" w:hAnsi="Verdana" w:cs="Arial"/>
          <w:sz w:val="22"/>
          <w:szCs w:val="22"/>
        </w:rPr>
        <w:t xml:space="preserve"> </w:t>
      </w:r>
      <w:r w:rsidR="00852F36" w:rsidRPr="00205C60">
        <w:rPr>
          <w:rFonts w:ascii="Verdana" w:hAnsi="Verdana" w:cs="Arial"/>
          <w:sz w:val="22"/>
          <w:szCs w:val="22"/>
        </w:rPr>
        <w:t>e</w:t>
      </w:r>
      <w:r w:rsidRPr="00205C60">
        <w:rPr>
          <w:rFonts w:ascii="Verdana" w:hAnsi="Verdana" w:cs="Arial"/>
          <w:sz w:val="22"/>
          <w:szCs w:val="22"/>
        </w:rPr>
        <w:t>misi</w:t>
      </w:r>
      <w:r w:rsidR="00852F36" w:rsidRPr="00205C60">
        <w:rPr>
          <w:rFonts w:ascii="Verdana" w:hAnsi="Verdana" w:cs="Arial"/>
          <w:sz w:val="22"/>
          <w:szCs w:val="22"/>
        </w:rPr>
        <w:t>ones</w:t>
      </w:r>
      <w:r w:rsidRPr="00205C60">
        <w:rPr>
          <w:rFonts w:ascii="Verdana" w:hAnsi="Verdana" w:cs="Arial"/>
          <w:sz w:val="22"/>
          <w:szCs w:val="22"/>
        </w:rPr>
        <w:t>:</w:t>
      </w:r>
      <w:bookmarkEnd w:id="19"/>
    </w:p>
    <w:p w14:paraId="3CA7E6DA" w14:textId="77777777" w:rsidR="00731454" w:rsidRPr="00205C60" w:rsidRDefault="00731454" w:rsidP="00731454">
      <w:pPr>
        <w:jc w:val="both"/>
        <w:rPr>
          <w:rFonts w:ascii="Verdana" w:hAnsi="Verdana" w:cs="Arial"/>
          <w:sz w:val="22"/>
          <w:szCs w:val="22"/>
        </w:rPr>
      </w:pPr>
    </w:p>
    <w:p w14:paraId="3CA7E6DB" w14:textId="77777777" w:rsidR="00303CD5" w:rsidRPr="00205C60" w:rsidRDefault="00731454" w:rsidP="0001327D">
      <w:pPr>
        <w:spacing w:after="240"/>
        <w:jc w:val="both"/>
        <w:rPr>
          <w:rFonts w:ascii="Verdana" w:hAnsi="Verdana" w:cs="Arial"/>
          <w:sz w:val="22"/>
          <w:szCs w:val="22"/>
        </w:rPr>
      </w:pPr>
      <w:r w:rsidRPr="00205C60">
        <w:rPr>
          <w:rFonts w:ascii="Verdana" w:hAnsi="Verdana" w:cs="Arial"/>
          <w:sz w:val="22"/>
          <w:szCs w:val="22"/>
        </w:rPr>
        <w:t>L</w:t>
      </w:r>
      <w:r w:rsidR="00C377DE" w:rsidRPr="00205C60">
        <w:rPr>
          <w:rFonts w:ascii="Verdana" w:hAnsi="Verdana" w:cs="Arial"/>
          <w:sz w:val="22"/>
          <w:szCs w:val="22"/>
        </w:rPr>
        <w:t xml:space="preserve">as </w:t>
      </w:r>
      <w:r w:rsidR="00303CD5" w:rsidRPr="00205C60">
        <w:rPr>
          <w:rFonts w:ascii="Verdana" w:hAnsi="Verdana" w:cs="Arial"/>
          <w:sz w:val="22"/>
          <w:szCs w:val="22"/>
          <w:lang w:val="es-ES_tradnl"/>
        </w:rPr>
        <w:t xml:space="preserve">características de cada serie del Programa de </w:t>
      </w:r>
      <w:r w:rsidR="00303CD5" w:rsidRPr="00205C60">
        <w:rPr>
          <w:rFonts w:ascii="Verdana" w:hAnsi="Verdana" w:cs="Arial"/>
          <w:sz w:val="22"/>
          <w:szCs w:val="22"/>
        </w:rPr>
        <w:t xml:space="preserve">Emisiones de Bonos Estandarizados Serie B, una vez que se encuentren en circulación, podrán ser modificadas en asamblea de acreedores. </w:t>
      </w:r>
    </w:p>
    <w:p w14:paraId="3CA7E6DC" w14:textId="77777777" w:rsidR="00303CD5" w:rsidRPr="00205C60" w:rsidRDefault="00303CD5" w:rsidP="005413EE">
      <w:pPr>
        <w:spacing w:before="100" w:beforeAutospacing="1" w:after="240"/>
        <w:jc w:val="both"/>
        <w:rPr>
          <w:rFonts w:ascii="Verdana" w:hAnsi="Verdana" w:cs="Arial"/>
          <w:sz w:val="22"/>
          <w:szCs w:val="22"/>
        </w:rPr>
      </w:pPr>
      <w:r w:rsidRPr="00205C60">
        <w:rPr>
          <w:rFonts w:ascii="Verdana" w:hAnsi="Verdana" w:cs="Arial"/>
          <w:sz w:val="22"/>
          <w:szCs w:val="22"/>
        </w:rPr>
        <w:t>Las reglas atenientes a la convocatoria de dicha asamblea de acreedores, al quórum y a la mayoría requerida para la aprobación de las modificaciones serán las siguientes:</w:t>
      </w:r>
    </w:p>
    <w:p w14:paraId="3CA7E6DD" w14:textId="77777777" w:rsidR="00303CD5" w:rsidRPr="00205C60" w:rsidRDefault="00303CD5" w:rsidP="00E4507C">
      <w:pPr>
        <w:numPr>
          <w:ilvl w:val="0"/>
          <w:numId w:val="15"/>
        </w:numPr>
        <w:spacing w:before="100" w:beforeAutospacing="1" w:after="240"/>
        <w:jc w:val="both"/>
        <w:rPr>
          <w:rFonts w:ascii="Verdana" w:hAnsi="Verdana" w:cs="Arial"/>
          <w:sz w:val="22"/>
          <w:szCs w:val="22"/>
        </w:rPr>
      </w:pPr>
      <w:r w:rsidRPr="00205C60">
        <w:rPr>
          <w:rFonts w:ascii="Verdana" w:hAnsi="Verdana" w:cs="Arial"/>
          <w:b/>
          <w:sz w:val="22"/>
          <w:szCs w:val="22"/>
        </w:rPr>
        <w:t>Convocatoria:</w:t>
      </w:r>
      <w:r w:rsidRPr="00205C60">
        <w:rPr>
          <w:rFonts w:ascii="Verdana" w:hAnsi="Verdana" w:cs="Arial"/>
          <w:sz w:val="22"/>
          <w:szCs w:val="22"/>
        </w:rPr>
        <w:t xml:space="preserve"> La asamblea de acreedores deberá ser convocada por el Emisor, mediante publicación de la convocatoria en un diario de circulación nacional, al menos con quince (15) días calendario de anticipación a la fecha de realización de la asamblea.</w:t>
      </w:r>
    </w:p>
    <w:p w14:paraId="3CA7E6DF" w14:textId="77777777" w:rsidR="00303CD5" w:rsidRPr="00205C60" w:rsidRDefault="00303CD5" w:rsidP="00E4507C">
      <w:pPr>
        <w:numPr>
          <w:ilvl w:val="0"/>
          <w:numId w:val="15"/>
        </w:numPr>
        <w:spacing w:before="100" w:beforeAutospacing="1" w:after="240"/>
        <w:jc w:val="both"/>
        <w:rPr>
          <w:rFonts w:ascii="Verdana" w:hAnsi="Verdana" w:cs="Arial"/>
          <w:sz w:val="22"/>
          <w:szCs w:val="22"/>
          <w:lang w:val="es-ES_tradnl"/>
        </w:rPr>
      </w:pPr>
      <w:r w:rsidRPr="00205C60">
        <w:rPr>
          <w:rFonts w:ascii="Verdana" w:hAnsi="Verdana" w:cs="Arial"/>
          <w:b/>
          <w:sz w:val="22"/>
          <w:szCs w:val="22"/>
        </w:rPr>
        <w:t>Quórum:</w:t>
      </w:r>
      <w:r w:rsidRPr="00205C60">
        <w:rPr>
          <w:rFonts w:ascii="Verdana" w:hAnsi="Verdana" w:cs="Arial"/>
          <w:sz w:val="22"/>
          <w:szCs w:val="22"/>
        </w:rPr>
        <w:t xml:space="preserve"> El quórum de la asamblea de acreedores en primera convocatoria será la totalidad de los inversionistas de la serie colocada a modificar. En caso de que no se alcance dicho quórum en primera convocatoria, se realizara una segunda convocatoria una (1) hora </w:t>
      </w:r>
      <w:r w:rsidRPr="00205C60">
        <w:rPr>
          <w:rFonts w:ascii="Verdana" w:hAnsi="Verdana" w:cs="Arial"/>
          <w:sz w:val="22"/>
          <w:szCs w:val="22"/>
        </w:rPr>
        <w:lastRenderedPageBreak/>
        <w:t>después, cuyo quórum se constituirá válidamente con la totalidad de los inversionistas de la serie colocada a modificar.</w:t>
      </w:r>
    </w:p>
    <w:p w14:paraId="3CA7E6E0" w14:textId="77777777" w:rsidR="00303CD5" w:rsidRPr="00205C60" w:rsidRDefault="00303CD5" w:rsidP="00E4507C">
      <w:pPr>
        <w:numPr>
          <w:ilvl w:val="0"/>
          <w:numId w:val="15"/>
        </w:numPr>
        <w:spacing w:before="100" w:beforeAutospacing="1" w:after="240"/>
        <w:jc w:val="both"/>
        <w:rPr>
          <w:rFonts w:ascii="Verdana" w:hAnsi="Verdana" w:cs="Arial"/>
          <w:sz w:val="22"/>
          <w:szCs w:val="22"/>
          <w:lang w:val="es-ES_tradnl"/>
        </w:rPr>
      </w:pPr>
      <w:r w:rsidRPr="00205C60">
        <w:rPr>
          <w:rFonts w:ascii="Verdana" w:hAnsi="Verdana" w:cs="Arial"/>
          <w:b/>
          <w:sz w:val="22"/>
          <w:szCs w:val="22"/>
          <w:lang w:val="es-ES_tradnl"/>
        </w:rPr>
        <w:t xml:space="preserve">Mayoría requerida: </w:t>
      </w:r>
      <w:r w:rsidRPr="00205C60">
        <w:rPr>
          <w:rFonts w:ascii="Verdana" w:hAnsi="Verdana" w:cs="Arial"/>
          <w:sz w:val="22"/>
          <w:szCs w:val="22"/>
          <w:lang w:val="es-ES_tradnl"/>
        </w:rPr>
        <w:t>La mayoría requerida para la aprobación de las modificaciones será la totalidad de los inversionistas de la serie colocada a modificar.</w:t>
      </w:r>
    </w:p>
    <w:p w14:paraId="3CA7E6E1" w14:textId="6692D4AB" w:rsidR="00852F36" w:rsidRPr="00205C60" w:rsidRDefault="000B708F" w:rsidP="00201F98">
      <w:pPr>
        <w:spacing w:before="100" w:beforeAutospacing="1"/>
        <w:jc w:val="both"/>
        <w:rPr>
          <w:rFonts w:ascii="Verdana" w:hAnsi="Verdana" w:cs="Arial"/>
          <w:sz w:val="22"/>
          <w:szCs w:val="22"/>
          <w:lang w:val="es-ES_tradnl"/>
        </w:rPr>
      </w:pPr>
      <w:r w:rsidRPr="00205C60">
        <w:rPr>
          <w:rFonts w:ascii="Verdana" w:hAnsi="Verdana" w:cs="Arial"/>
          <w:sz w:val="22"/>
          <w:szCs w:val="22"/>
          <w:lang w:val="es-ES_tradnl"/>
        </w:rPr>
        <w:t>El Emisor</w:t>
      </w:r>
      <w:r w:rsidR="00303CD5" w:rsidRPr="00205C60">
        <w:rPr>
          <w:rFonts w:ascii="Verdana" w:hAnsi="Verdana" w:cs="Arial"/>
          <w:sz w:val="22"/>
          <w:szCs w:val="22"/>
          <w:lang w:val="es-ES_tradnl"/>
        </w:rPr>
        <w:t xml:space="preserve"> se encargará de notificar a la SUGEVAL los cambios o modificaciones realizadas, con el fin de actualizar las características de la serie registrada en el RNVI y requerirán la autorización previa de la SUGEVAL.</w:t>
      </w:r>
    </w:p>
    <w:p w14:paraId="29F58BD3" w14:textId="44DF3BFD" w:rsidR="000F114E" w:rsidRPr="00205C60" w:rsidRDefault="000F114E" w:rsidP="00201F98">
      <w:pPr>
        <w:spacing w:before="100" w:beforeAutospacing="1"/>
        <w:jc w:val="both"/>
        <w:rPr>
          <w:rFonts w:ascii="Verdana" w:hAnsi="Verdana" w:cs="Arial"/>
          <w:color w:val="FF0000"/>
          <w:sz w:val="22"/>
          <w:szCs w:val="22"/>
          <w:lang w:val="es-ES_tradnl"/>
        </w:rPr>
      </w:pPr>
    </w:p>
    <w:p w14:paraId="3CA7E6E3" w14:textId="77777777" w:rsidR="00051F09" w:rsidRPr="00205C60" w:rsidRDefault="00051F09" w:rsidP="00882F32">
      <w:pPr>
        <w:pStyle w:val="Ttulo2"/>
        <w:numPr>
          <w:ilvl w:val="1"/>
          <w:numId w:val="18"/>
        </w:numPr>
        <w:rPr>
          <w:rFonts w:ascii="Verdana" w:hAnsi="Verdana" w:cs="Arial"/>
          <w:sz w:val="22"/>
          <w:szCs w:val="22"/>
        </w:rPr>
      </w:pPr>
      <w:bookmarkStart w:id="20" w:name="_Toc104529441"/>
      <w:bookmarkStart w:id="21" w:name="_Toc64699206"/>
      <w:bookmarkStart w:id="22" w:name="_Toc102455512"/>
      <w:r w:rsidRPr="00205C60">
        <w:rPr>
          <w:rFonts w:ascii="Verdana" w:hAnsi="Verdana" w:cs="Arial"/>
          <w:sz w:val="22"/>
          <w:szCs w:val="22"/>
        </w:rPr>
        <w:t>Calificación de riesgo</w:t>
      </w:r>
      <w:bookmarkEnd w:id="20"/>
    </w:p>
    <w:bookmarkEnd w:id="21"/>
    <w:bookmarkEnd w:id="22"/>
    <w:p w14:paraId="3CA7E6E4" w14:textId="0A9E6B96" w:rsidR="00731454" w:rsidRPr="00205C60" w:rsidRDefault="00731454" w:rsidP="001037E4">
      <w:pPr>
        <w:jc w:val="both"/>
        <w:rPr>
          <w:rFonts w:ascii="Verdana" w:hAnsi="Verdana" w:cs="Arial"/>
          <w:sz w:val="22"/>
          <w:szCs w:val="22"/>
        </w:rPr>
      </w:pPr>
    </w:p>
    <w:p w14:paraId="7A921A4D" w14:textId="100BB5F0" w:rsidR="008E6D0D" w:rsidRPr="00205C60" w:rsidRDefault="008E6D0D" w:rsidP="001037E4">
      <w:pPr>
        <w:jc w:val="both"/>
        <w:rPr>
          <w:rFonts w:ascii="Verdana" w:hAnsi="Verdana" w:cs="Arial"/>
          <w:sz w:val="22"/>
          <w:szCs w:val="22"/>
        </w:rPr>
      </w:pPr>
      <w:r w:rsidRPr="00205C60">
        <w:rPr>
          <w:rFonts w:ascii="Verdana" w:hAnsi="Verdana" w:cs="Arial"/>
          <w:sz w:val="22"/>
          <w:szCs w:val="22"/>
        </w:rPr>
        <w:t>Antecedentes</w:t>
      </w:r>
      <w:r w:rsidR="000F114E" w:rsidRPr="00205C60">
        <w:rPr>
          <w:rFonts w:ascii="Verdana" w:hAnsi="Verdana" w:cs="Arial"/>
          <w:sz w:val="22"/>
          <w:szCs w:val="22"/>
        </w:rPr>
        <w:t>:</w:t>
      </w:r>
    </w:p>
    <w:p w14:paraId="2C4F63AF" w14:textId="77777777" w:rsidR="000F114E" w:rsidRPr="00205C60" w:rsidRDefault="000F114E" w:rsidP="001037E4">
      <w:pPr>
        <w:jc w:val="both"/>
        <w:rPr>
          <w:rFonts w:ascii="Verdana" w:hAnsi="Verdana" w:cs="Arial"/>
          <w:sz w:val="22"/>
          <w:szCs w:val="22"/>
        </w:rPr>
      </w:pPr>
    </w:p>
    <w:p w14:paraId="3CA7E6E5" w14:textId="77777777" w:rsidR="006C5A5C" w:rsidRPr="00205C60" w:rsidRDefault="006C5A5C" w:rsidP="006C5A5C">
      <w:pPr>
        <w:jc w:val="both"/>
        <w:rPr>
          <w:rFonts w:ascii="Verdana" w:hAnsi="Verdana" w:cs="Arial"/>
          <w:sz w:val="22"/>
          <w:szCs w:val="22"/>
        </w:rPr>
      </w:pPr>
      <w:r w:rsidRPr="00205C60">
        <w:rPr>
          <w:rFonts w:ascii="Verdana" w:hAnsi="Verdana" w:cs="Arial"/>
          <w:sz w:val="22"/>
          <w:szCs w:val="22"/>
        </w:rPr>
        <w:t>Desde el año 2006, la CNFL contrató el servicio de calificación pública de riesgo a escala nacional de su Programa de Emisiones de Bonos Estandarizados Serie B a Fitch Costa Rica Calificadora de Riesgo S.A., sociedad registrada en Costa Rica y entidad calificadora reconocida por la Superintendencia General de Valores, contratación que se venía renovando año a año directamente con el mismo proveedor mediante la debida justificación, hasta el 31 de agosto del 2020, día en que venció.</w:t>
      </w:r>
    </w:p>
    <w:p w14:paraId="3CA7E6E6" w14:textId="77777777" w:rsidR="006C5A5C" w:rsidRPr="00205C60" w:rsidRDefault="006C5A5C" w:rsidP="006C5A5C">
      <w:pPr>
        <w:jc w:val="both"/>
        <w:rPr>
          <w:rFonts w:ascii="Verdana" w:hAnsi="Verdana" w:cs="Arial"/>
          <w:sz w:val="22"/>
          <w:szCs w:val="22"/>
        </w:rPr>
      </w:pPr>
    </w:p>
    <w:p w14:paraId="3CA7E6E7" w14:textId="1865492C" w:rsidR="006C5A5C" w:rsidRPr="00205C60" w:rsidRDefault="006C5A5C" w:rsidP="006C5A5C">
      <w:pPr>
        <w:jc w:val="both"/>
        <w:rPr>
          <w:rFonts w:ascii="Verdana" w:eastAsiaTheme="minorHAnsi" w:hAnsi="Verdana" w:cs="Arial"/>
          <w:color w:val="000000"/>
          <w:sz w:val="22"/>
          <w:szCs w:val="22"/>
          <w:lang w:val="es-CR" w:eastAsia="en-US"/>
        </w:rPr>
      </w:pPr>
      <w:r w:rsidRPr="00205C60">
        <w:rPr>
          <w:rFonts w:ascii="Verdana" w:eastAsiaTheme="minorHAnsi" w:hAnsi="Verdana" w:cs="Arial"/>
          <w:color w:val="000000"/>
          <w:sz w:val="22"/>
          <w:szCs w:val="22"/>
          <w:lang w:val="es-CR" w:eastAsia="en-US"/>
        </w:rPr>
        <w:t xml:space="preserve">De acuerdo con lo anterior, se consideró que para el año 2021 la renovación del contrato sería similar a los años anteriores, por lo cual, el proceso se inició a finales del mes </w:t>
      </w:r>
      <w:r w:rsidR="0081178C" w:rsidRPr="00205C60">
        <w:rPr>
          <w:rFonts w:ascii="Verdana" w:eastAsiaTheme="minorHAnsi" w:hAnsi="Verdana" w:cs="Arial"/>
          <w:color w:val="000000"/>
          <w:sz w:val="22"/>
          <w:szCs w:val="22"/>
          <w:lang w:val="es-CR" w:eastAsia="en-US"/>
        </w:rPr>
        <w:t>de agosto</w:t>
      </w:r>
      <w:r w:rsidRPr="00205C60">
        <w:rPr>
          <w:rFonts w:ascii="Verdana" w:eastAsiaTheme="minorHAnsi" w:hAnsi="Verdana" w:cs="Arial"/>
          <w:color w:val="000000"/>
          <w:sz w:val="22"/>
          <w:szCs w:val="22"/>
          <w:lang w:val="es-CR" w:eastAsia="en-US"/>
        </w:rPr>
        <w:t xml:space="preserve"> 2020. </w:t>
      </w:r>
    </w:p>
    <w:p w14:paraId="3CA7E6E8" w14:textId="77777777" w:rsidR="006C5A5C" w:rsidRPr="00205C60" w:rsidRDefault="006C5A5C" w:rsidP="006C5A5C">
      <w:pPr>
        <w:jc w:val="both"/>
        <w:rPr>
          <w:rFonts w:ascii="Verdana" w:hAnsi="Verdana" w:cs="Arial"/>
          <w:sz w:val="22"/>
          <w:szCs w:val="22"/>
        </w:rPr>
      </w:pPr>
    </w:p>
    <w:p w14:paraId="3CA7E6E9" w14:textId="12D06C29" w:rsidR="003A4E0C" w:rsidRPr="00205C60" w:rsidRDefault="006C5A5C" w:rsidP="003A4E0C">
      <w:pPr>
        <w:spacing w:after="200"/>
        <w:contextualSpacing/>
        <w:jc w:val="both"/>
        <w:rPr>
          <w:rFonts w:ascii="Verdana" w:eastAsiaTheme="minorHAnsi" w:hAnsi="Verdana" w:cs="Arial"/>
          <w:sz w:val="22"/>
          <w:szCs w:val="22"/>
          <w:lang w:val="es-CR" w:eastAsia="en-US"/>
        </w:rPr>
      </w:pPr>
      <w:r w:rsidRPr="00205C60">
        <w:rPr>
          <w:rFonts w:ascii="Verdana" w:eastAsiaTheme="minorHAnsi" w:hAnsi="Verdana" w:cs="Arial"/>
          <w:color w:val="000000"/>
          <w:sz w:val="22"/>
          <w:szCs w:val="22"/>
          <w:lang w:val="es-CR" w:eastAsia="en-US"/>
        </w:rPr>
        <w:t xml:space="preserve">No obstante, por lineamiento emitido </w:t>
      </w:r>
      <w:r w:rsidRPr="00205C60">
        <w:rPr>
          <w:rFonts w:ascii="Verdana" w:eastAsiaTheme="minorHAnsi" w:hAnsi="Verdana" w:cs="Arial"/>
          <w:color w:val="000000"/>
          <w:sz w:val="22"/>
          <w:szCs w:val="22"/>
          <w:lang w:val="es-MX" w:eastAsia="en-US"/>
        </w:rPr>
        <w:t>por la Unidad de Contratación Administrativa de nuestra Asesoría Jurídica Empresarial, de fecha 28 de mayo del 2020, sobre solicitudes de dictámenes de factibilidad legal para contrataciones</w:t>
      </w:r>
      <w:r w:rsidR="003A4E0C" w:rsidRPr="00205C60">
        <w:rPr>
          <w:rFonts w:ascii="Verdana" w:eastAsiaTheme="minorHAnsi" w:hAnsi="Verdana" w:cs="Arial"/>
          <w:color w:val="000000"/>
          <w:sz w:val="22"/>
          <w:szCs w:val="22"/>
          <w:lang w:val="es-MX" w:eastAsia="en-US"/>
        </w:rPr>
        <w:t xml:space="preserve">, la contratación de la calificadora de riesgo se tuvo que sacar a concurso </w:t>
      </w:r>
      <w:r w:rsidR="003A4E0C" w:rsidRPr="00205C60">
        <w:rPr>
          <w:rFonts w:ascii="Verdana" w:eastAsiaTheme="minorHAnsi" w:hAnsi="Verdana" w:cs="Arial"/>
          <w:sz w:val="22"/>
          <w:szCs w:val="22"/>
          <w:lang w:val="es-CR" w:eastAsia="en-US"/>
        </w:rPr>
        <w:t xml:space="preserve">la recepción de ofertas, su selección </w:t>
      </w:r>
      <w:r w:rsidR="000F7D95" w:rsidRPr="00205C60">
        <w:rPr>
          <w:rFonts w:ascii="Verdana" w:eastAsiaTheme="minorHAnsi" w:hAnsi="Verdana" w:cs="Arial"/>
          <w:sz w:val="22"/>
          <w:szCs w:val="22"/>
          <w:lang w:val="es-CR" w:eastAsia="en-US"/>
        </w:rPr>
        <w:t>y adjudicación</w:t>
      </w:r>
      <w:r w:rsidR="003A4E0C" w:rsidRPr="00205C60">
        <w:rPr>
          <w:rFonts w:ascii="Verdana" w:eastAsiaTheme="minorHAnsi" w:hAnsi="Verdana" w:cs="Arial"/>
          <w:sz w:val="22"/>
          <w:szCs w:val="22"/>
          <w:lang w:val="es-CR" w:eastAsia="en-US"/>
        </w:rPr>
        <w:t>, omitiendo la referencia a un determinado proveedor.</w:t>
      </w:r>
    </w:p>
    <w:p w14:paraId="3CA7E6EA" w14:textId="77777777" w:rsidR="003A4E0C" w:rsidRPr="00205C60" w:rsidRDefault="003A4E0C" w:rsidP="006C5A5C">
      <w:pPr>
        <w:autoSpaceDE w:val="0"/>
        <w:autoSpaceDN w:val="0"/>
        <w:adjustRightInd w:val="0"/>
        <w:contextualSpacing/>
        <w:jc w:val="both"/>
        <w:rPr>
          <w:rFonts w:ascii="Verdana" w:eastAsiaTheme="minorHAnsi" w:hAnsi="Verdana" w:cs="Arial"/>
          <w:color w:val="000000"/>
          <w:sz w:val="22"/>
          <w:szCs w:val="22"/>
          <w:lang w:val="es-MX" w:eastAsia="en-US"/>
        </w:rPr>
      </w:pPr>
    </w:p>
    <w:p w14:paraId="7A460E38" w14:textId="0D8DB3B1" w:rsidR="00B82434" w:rsidRPr="00205C60" w:rsidRDefault="006C5A5C" w:rsidP="006C5A5C">
      <w:pPr>
        <w:spacing w:after="200"/>
        <w:contextualSpacing/>
        <w:jc w:val="both"/>
        <w:rPr>
          <w:rFonts w:ascii="Verdana" w:eastAsiaTheme="minorHAnsi" w:hAnsi="Verdana" w:cs="Arial"/>
          <w:sz w:val="22"/>
          <w:szCs w:val="22"/>
          <w:lang w:val="es-CR" w:eastAsia="en-US"/>
        </w:rPr>
      </w:pPr>
      <w:r w:rsidRPr="00205C60">
        <w:rPr>
          <w:rFonts w:ascii="Verdana" w:eastAsiaTheme="minorHAnsi" w:hAnsi="Verdana" w:cs="Arial"/>
          <w:sz w:val="22"/>
          <w:szCs w:val="22"/>
          <w:lang w:val="es-CR" w:eastAsia="en-US"/>
        </w:rPr>
        <w:t xml:space="preserve">Todo este trámite, que conllevó la elaboración y publicación del cartel, la recepción de ofertas y su análisis, culminó con la adjudicación de la firma Sociedad Calificadora de Riesgo Centroamericana S.A. el 23 de febrero del </w:t>
      </w:r>
      <w:r w:rsidR="00425709" w:rsidRPr="00205C60">
        <w:rPr>
          <w:rFonts w:ascii="Verdana" w:eastAsiaTheme="minorHAnsi" w:hAnsi="Verdana" w:cs="Arial"/>
          <w:sz w:val="22"/>
          <w:szCs w:val="22"/>
          <w:lang w:val="es-CR" w:eastAsia="en-US"/>
        </w:rPr>
        <w:t>2021, para los cuales presenta</w:t>
      </w:r>
      <w:r w:rsidR="002159E4" w:rsidRPr="00205C60">
        <w:rPr>
          <w:rFonts w:ascii="Verdana" w:eastAsiaTheme="minorHAnsi" w:hAnsi="Verdana" w:cs="Arial"/>
          <w:sz w:val="22"/>
          <w:szCs w:val="22"/>
          <w:lang w:val="es-CR" w:eastAsia="en-US"/>
        </w:rPr>
        <w:t>r</w:t>
      </w:r>
      <w:r w:rsidR="00425709" w:rsidRPr="00205C60">
        <w:rPr>
          <w:rFonts w:ascii="Verdana" w:eastAsiaTheme="minorHAnsi" w:hAnsi="Verdana" w:cs="Arial"/>
          <w:sz w:val="22"/>
          <w:szCs w:val="22"/>
          <w:lang w:val="es-CR" w:eastAsia="en-US"/>
        </w:rPr>
        <w:t>o</w:t>
      </w:r>
      <w:r w:rsidR="008A0F07" w:rsidRPr="00205C60">
        <w:rPr>
          <w:rFonts w:ascii="Verdana" w:eastAsiaTheme="minorHAnsi" w:hAnsi="Verdana" w:cs="Arial"/>
          <w:sz w:val="22"/>
          <w:szCs w:val="22"/>
          <w:lang w:val="es-CR" w:eastAsia="en-US"/>
        </w:rPr>
        <w:t>n</w:t>
      </w:r>
      <w:r w:rsidR="00425709" w:rsidRPr="00205C60">
        <w:rPr>
          <w:rFonts w:ascii="Verdana" w:eastAsiaTheme="minorHAnsi" w:hAnsi="Verdana" w:cs="Arial"/>
          <w:sz w:val="22"/>
          <w:szCs w:val="22"/>
          <w:lang w:val="es-CR" w:eastAsia="en-US"/>
        </w:rPr>
        <w:t xml:space="preserve"> sus informes semestrales en marzo y setiembre 2021.</w:t>
      </w:r>
      <w:r w:rsidR="009D264C" w:rsidRPr="00205C60">
        <w:rPr>
          <w:rFonts w:ascii="Verdana" w:eastAsiaTheme="minorHAnsi" w:hAnsi="Verdana" w:cs="Arial"/>
          <w:sz w:val="22"/>
          <w:szCs w:val="22"/>
          <w:lang w:val="es-CR" w:eastAsia="en-US"/>
        </w:rPr>
        <w:t xml:space="preserve"> </w:t>
      </w:r>
    </w:p>
    <w:p w14:paraId="4AFC1442" w14:textId="77777777" w:rsidR="00B82434" w:rsidRPr="00205C60" w:rsidRDefault="00B82434" w:rsidP="006C5A5C">
      <w:pPr>
        <w:spacing w:after="200"/>
        <w:contextualSpacing/>
        <w:jc w:val="both"/>
        <w:rPr>
          <w:rFonts w:ascii="Verdana" w:eastAsiaTheme="minorHAnsi" w:hAnsi="Verdana" w:cs="Arial"/>
          <w:sz w:val="22"/>
          <w:szCs w:val="22"/>
          <w:lang w:val="es-CR" w:eastAsia="en-US"/>
        </w:rPr>
      </w:pPr>
    </w:p>
    <w:p w14:paraId="38A14F42" w14:textId="77777777" w:rsidR="0002624E" w:rsidRPr="00205C60" w:rsidRDefault="00425709" w:rsidP="006C5A5C">
      <w:pPr>
        <w:spacing w:after="200"/>
        <w:contextualSpacing/>
        <w:jc w:val="both"/>
        <w:rPr>
          <w:rFonts w:ascii="Verdana" w:eastAsiaTheme="minorHAnsi" w:hAnsi="Verdana" w:cs="Arial"/>
          <w:sz w:val="22"/>
          <w:szCs w:val="22"/>
          <w:lang w:val="es-CR" w:eastAsia="en-US"/>
        </w:rPr>
      </w:pPr>
      <w:r w:rsidRPr="00205C60">
        <w:rPr>
          <w:rFonts w:ascii="Verdana" w:eastAsiaTheme="minorHAnsi" w:hAnsi="Verdana" w:cs="Arial"/>
          <w:sz w:val="22"/>
          <w:szCs w:val="22"/>
          <w:lang w:val="es-CR" w:eastAsia="en-US"/>
        </w:rPr>
        <w:t xml:space="preserve">Debido al cumplimiento </w:t>
      </w:r>
      <w:r w:rsidR="0012457A" w:rsidRPr="00205C60">
        <w:rPr>
          <w:rFonts w:ascii="Verdana" w:eastAsiaTheme="minorHAnsi" w:hAnsi="Verdana" w:cs="Arial"/>
          <w:sz w:val="22"/>
          <w:szCs w:val="22"/>
          <w:lang w:val="es-CR" w:eastAsia="en-US"/>
        </w:rPr>
        <w:t xml:space="preserve">en tiempo y forma </w:t>
      </w:r>
      <w:r w:rsidRPr="00205C60">
        <w:rPr>
          <w:rFonts w:ascii="Verdana" w:eastAsiaTheme="minorHAnsi" w:hAnsi="Verdana" w:cs="Arial"/>
          <w:sz w:val="22"/>
          <w:szCs w:val="22"/>
          <w:lang w:val="es-CR" w:eastAsia="en-US"/>
        </w:rPr>
        <w:t>de dicha</w:t>
      </w:r>
      <w:r w:rsidR="00C47D85" w:rsidRPr="00205C60">
        <w:rPr>
          <w:rFonts w:ascii="Verdana" w:eastAsiaTheme="minorHAnsi" w:hAnsi="Verdana" w:cs="Arial"/>
          <w:sz w:val="22"/>
          <w:szCs w:val="22"/>
          <w:lang w:val="es-CR" w:eastAsia="en-US"/>
        </w:rPr>
        <w:t xml:space="preserve"> firma</w:t>
      </w:r>
      <w:r w:rsidRPr="00205C60">
        <w:rPr>
          <w:rFonts w:ascii="Verdana" w:eastAsiaTheme="minorHAnsi" w:hAnsi="Verdana" w:cs="Arial"/>
          <w:sz w:val="22"/>
          <w:szCs w:val="22"/>
          <w:lang w:val="es-CR" w:eastAsia="en-US"/>
        </w:rPr>
        <w:t xml:space="preserve"> calificadora</w:t>
      </w:r>
      <w:r w:rsidR="00561FE7" w:rsidRPr="00205C60">
        <w:rPr>
          <w:rFonts w:ascii="Verdana" w:eastAsiaTheme="minorHAnsi" w:hAnsi="Verdana" w:cs="Arial"/>
          <w:sz w:val="22"/>
          <w:szCs w:val="22"/>
          <w:lang w:val="es-CR" w:eastAsia="en-US"/>
        </w:rPr>
        <w:t xml:space="preserve"> de riesgo</w:t>
      </w:r>
      <w:r w:rsidRPr="00205C60">
        <w:rPr>
          <w:rFonts w:ascii="Verdana" w:eastAsiaTheme="minorHAnsi" w:hAnsi="Verdana" w:cs="Arial"/>
          <w:sz w:val="22"/>
          <w:szCs w:val="22"/>
          <w:lang w:val="es-CR" w:eastAsia="en-US"/>
        </w:rPr>
        <w:t xml:space="preserve">, se volvió a </w:t>
      </w:r>
      <w:r w:rsidR="002375D1" w:rsidRPr="00205C60">
        <w:rPr>
          <w:rFonts w:ascii="Verdana" w:eastAsiaTheme="minorHAnsi" w:hAnsi="Verdana" w:cs="Arial"/>
          <w:sz w:val="22"/>
          <w:szCs w:val="22"/>
          <w:lang w:val="es-CR" w:eastAsia="en-US"/>
        </w:rPr>
        <w:t>re</w:t>
      </w:r>
      <w:r w:rsidRPr="00205C60">
        <w:rPr>
          <w:rFonts w:ascii="Verdana" w:eastAsiaTheme="minorHAnsi" w:hAnsi="Verdana" w:cs="Arial"/>
          <w:sz w:val="22"/>
          <w:szCs w:val="22"/>
          <w:lang w:val="es-CR" w:eastAsia="en-US"/>
        </w:rPr>
        <w:t xml:space="preserve">contratar </w:t>
      </w:r>
      <w:r w:rsidR="00DD24FA" w:rsidRPr="00205C60">
        <w:rPr>
          <w:rFonts w:ascii="Verdana" w:eastAsiaTheme="minorHAnsi" w:hAnsi="Verdana" w:cs="Arial"/>
          <w:sz w:val="22"/>
          <w:szCs w:val="22"/>
          <w:lang w:val="es-CR" w:eastAsia="en-US"/>
        </w:rPr>
        <w:t>p</w:t>
      </w:r>
      <w:r w:rsidR="00561FE7" w:rsidRPr="00205C60">
        <w:rPr>
          <w:rFonts w:ascii="Verdana" w:eastAsiaTheme="minorHAnsi" w:hAnsi="Verdana" w:cs="Arial"/>
          <w:sz w:val="22"/>
          <w:szCs w:val="22"/>
          <w:lang w:val="es-CR" w:eastAsia="en-US"/>
        </w:rPr>
        <w:t xml:space="preserve">ara el </w:t>
      </w:r>
      <w:r w:rsidR="00FD1B65" w:rsidRPr="00205C60">
        <w:rPr>
          <w:rFonts w:ascii="Verdana" w:eastAsiaTheme="minorHAnsi" w:hAnsi="Verdana" w:cs="Arial"/>
          <w:sz w:val="22"/>
          <w:szCs w:val="22"/>
          <w:lang w:val="es-CR" w:eastAsia="en-US"/>
        </w:rPr>
        <w:t>periodo 2022</w:t>
      </w:r>
      <w:r w:rsidR="000058D1" w:rsidRPr="00205C60">
        <w:rPr>
          <w:rFonts w:ascii="Verdana" w:eastAsiaTheme="minorHAnsi" w:hAnsi="Verdana" w:cs="Arial"/>
          <w:sz w:val="22"/>
          <w:szCs w:val="22"/>
          <w:lang w:val="es-CR" w:eastAsia="en-US"/>
        </w:rPr>
        <w:t>,</w:t>
      </w:r>
      <w:r w:rsidR="009120D7" w:rsidRPr="00205C60">
        <w:rPr>
          <w:rFonts w:ascii="Verdana" w:eastAsiaTheme="minorHAnsi" w:hAnsi="Verdana" w:cs="Arial"/>
          <w:sz w:val="22"/>
          <w:szCs w:val="22"/>
          <w:lang w:val="es-CR" w:eastAsia="en-US"/>
        </w:rPr>
        <w:t xml:space="preserve"> presentando</w:t>
      </w:r>
      <w:r w:rsidR="001A1F07" w:rsidRPr="00205C60">
        <w:rPr>
          <w:rFonts w:ascii="Verdana" w:eastAsiaTheme="minorHAnsi" w:hAnsi="Verdana" w:cs="Arial"/>
          <w:sz w:val="22"/>
          <w:szCs w:val="22"/>
          <w:lang w:val="es-CR" w:eastAsia="en-US"/>
        </w:rPr>
        <w:t xml:space="preserve"> su</w:t>
      </w:r>
      <w:r w:rsidR="008A0F07" w:rsidRPr="00205C60">
        <w:rPr>
          <w:rFonts w:ascii="Verdana" w:eastAsiaTheme="minorHAnsi" w:hAnsi="Verdana" w:cs="Arial"/>
          <w:sz w:val="22"/>
          <w:szCs w:val="22"/>
          <w:lang w:val="es-CR" w:eastAsia="en-US"/>
        </w:rPr>
        <w:t>s</w:t>
      </w:r>
      <w:r w:rsidR="001A1F07" w:rsidRPr="00205C60">
        <w:rPr>
          <w:rFonts w:ascii="Verdana" w:eastAsiaTheme="minorHAnsi" w:hAnsi="Verdana" w:cs="Arial"/>
          <w:sz w:val="22"/>
          <w:szCs w:val="22"/>
          <w:lang w:val="es-CR" w:eastAsia="en-US"/>
        </w:rPr>
        <w:t xml:space="preserve"> </w:t>
      </w:r>
      <w:r w:rsidR="009C61CB" w:rsidRPr="00205C60">
        <w:rPr>
          <w:rFonts w:ascii="Verdana" w:eastAsiaTheme="minorHAnsi" w:hAnsi="Verdana" w:cs="Arial"/>
          <w:sz w:val="22"/>
          <w:szCs w:val="22"/>
          <w:lang w:val="es-CR" w:eastAsia="en-US"/>
        </w:rPr>
        <w:t xml:space="preserve">respectivos </w:t>
      </w:r>
      <w:r w:rsidR="001A1F07" w:rsidRPr="00205C60">
        <w:rPr>
          <w:rFonts w:ascii="Verdana" w:eastAsiaTheme="minorHAnsi" w:hAnsi="Verdana" w:cs="Arial"/>
          <w:sz w:val="22"/>
          <w:szCs w:val="22"/>
          <w:lang w:val="es-CR" w:eastAsia="en-US"/>
        </w:rPr>
        <w:t>informe</w:t>
      </w:r>
      <w:r w:rsidR="000F4F89" w:rsidRPr="00205C60">
        <w:rPr>
          <w:rFonts w:ascii="Verdana" w:eastAsiaTheme="minorHAnsi" w:hAnsi="Verdana" w:cs="Arial"/>
          <w:sz w:val="22"/>
          <w:szCs w:val="22"/>
          <w:lang w:val="es-CR" w:eastAsia="en-US"/>
        </w:rPr>
        <w:t>s</w:t>
      </w:r>
      <w:r w:rsidR="001A1F07" w:rsidRPr="00205C60">
        <w:rPr>
          <w:rFonts w:ascii="Verdana" w:eastAsiaTheme="minorHAnsi" w:hAnsi="Verdana" w:cs="Arial"/>
          <w:sz w:val="22"/>
          <w:szCs w:val="22"/>
          <w:lang w:val="es-CR" w:eastAsia="en-US"/>
        </w:rPr>
        <w:t xml:space="preserve"> el 18 marzo </w:t>
      </w:r>
      <w:r w:rsidR="0083633F" w:rsidRPr="00205C60">
        <w:rPr>
          <w:rFonts w:ascii="Verdana" w:eastAsiaTheme="minorHAnsi" w:hAnsi="Verdana" w:cs="Arial"/>
          <w:sz w:val="22"/>
          <w:szCs w:val="22"/>
          <w:lang w:val="es-CR" w:eastAsia="en-US"/>
        </w:rPr>
        <w:t xml:space="preserve">y </w:t>
      </w:r>
      <w:r w:rsidR="004217AD" w:rsidRPr="00205C60">
        <w:rPr>
          <w:rFonts w:ascii="Verdana" w:eastAsiaTheme="minorHAnsi" w:hAnsi="Verdana" w:cs="Arial"/>
          <w:sz w:val="22"/>
          <w:szCs w:val="22"/>
          <w:lang w:val="es-CR" w:eastAsia="en-US"/>
        </w:rPr>
        <w:t>06 de setiembre 2022</w:t>
      </w:r>
      <w:r w:rsidR="00E53D39" w:rsidRPr="00205C60">
        <w:rPr>
          <w:rFonts w:ascii="Verdana" w:eastAsiaTheme="minorHAnsi" w:hAnsi="Verdana" w:cs="Arial"/>
          <w:sz w:val="22"/>
          <w:szCs w:val="22"/>
          <w:lang w:val="es-CR" w:eastAsia="en-US"/>
        </w:rPr>
        <w:t>;</w:t>
      </w:r>
      <w:r w:rsidR="002A3C87" w:rsidRPr="00205C60">
        <w:rPr>
          <w:rFonts w:ascii="Verdana" w:eastAsiaTheme="minorHAnsi" w:hAnsi="Verdana" w:cs="Arial"/>
          <w:sz w:val="22"/>
          <w:szCs w:val="22"/>
          <w:lang w:val="es-CR" w:eastAsia="en-US"/>
        </w:rPr>
        <w:t xml:space="preserve"> </w:t>
      </w:r>
      <w:r w:rsidR="00DD24FA" w:rsidRPr="00205C60">
        <w:rPr>
          <w:rFonts w:ascii="Verdana" w:eastAsiaTheme="minorHAnsi" w:hAnsi="Verdana" w:cs="Arial"/>
          <w:sz w:val="22"/>
          <w:szCs w:val="22"/>
          <w:lang w:val="es-CR" w:eastAsia="en-US"/>
        </w:rPr>
        <w:t xml:space="preserve">este </w:t>
      </w:r>
      <w:r w:rsidR="00A77EDB" w:rsidRPr="00205C60">
        <w:rPr>
          <w:rFonts w:ascii="Verdana" w:eastAsiaTheme="minorHAnsi" w:hAnsi="Verdana" w:cs="Arial"/>
          <w:sz w:val="22"/>
          <w:szCs w:val="22"/>
          <w:lang w:val="es-CR" w:eastAsia="en-US"/>
        </w:rPr>
        <w:t>contrato, finalizó</w:t>
      </w:r>
      <w:r w:rsidR="00DD24FA" w:rsidRPr="00205C60">
        <w:rPr>
          <w:rFonts w:ascii="Verdana" w:eastAsiaTheme="minorHAnsi" w:hAnsi="Verdana" w:cs="Arial"/>
          <w:sz w:val="22"/>
          <w:szCs w:val="22"/>
          <w:lang w:val="es-CR" w:eastAsia="en-US"/>
        </w:rPr>
        <w:t xml:space="preserve"> </w:t>
      </w:r>
      <w:r w:rsidR="007638F4" w:rsidRPr="00205C60">
        <w:rPr>
          <w:rFonts w:ascii="Verdana" w:eastAsiaTheme="minorHAnsi" w:hAnsi="Verdana" w:cs="Arial"/>
          <w:sz w:val="22"/>
          <w:szCs w:val="22"/>
          <w:lang w:val="es-CR" w:eastAsia="en-US"/>
        </w:rPr>
        <w:t xml:space="preserve">en </w:t>
      </w:r>
      <w:r w:rsidR="00536BC2" w:rsidRPr="00205C60">
        <w:rPr>
          <w:rFonts w:ascii="Verdana" w:eastAsiaTheme="minorHAnsi" w:hAnsi="Verdana" w:cs="Arial"/>
          <w:sz w:val="22"/>
          <w:szCs w:val="22"/>
          <w:lang w:val="es-CR" w:eastAsia="en-US"/>
        </w:rPr>
        <w:t xml:space="preserve">el mes de </w:t>
      </w:r>
      <w:r w:rsidR="007638F4" w:rsidRPr="00205C60">
        <w:rPr>
          <w:rFonts w:ascii="Verdana" w:eastAsiaTheme="minorHAnsi" w:hAnsi="Verdana" w:cs="Arial"/>
          <w:sz w:val="22"/>
          <w:szCs w:val="22"/>
          <w:lang w:val="es-CR" w:eastAsia="en-US"/>
        </w:rPr>
        <w:t xml:space="preserve">octubre </w:t>
      </w:r>
      <w:r w:rsidR="00C4543B" w:rsidRPr="00205C60">
        <w:rPr>
          <w:rFonts w:ascii="Verdana" w:eastAsiaTheme="minorHAnsi" w:hAnsi="Verdana" w:cs="Arial"/>
          <w:sz w:val="22"/>
          <w:szCs w:val="22"/>
          <w:lang w:val="es-CR" w:eastAsia="en-US"/>
        </w:rPr>
        <w:t>2022</w:t>
      </w:r>
      <w:r w:rsidR="0002624E" w:rsidRPr="00205C60">
        <w:rPr>
          <w:rFonts w:ascii="Verdana" w:eastAsiaTheme="minorHAnsi" w:hAnsi="Verdana" w:cs="Arial"/>
          <w:sz w:val="22"/>
          <w:szCs w:val="22"/>
          <w:lang w:val="es-CR" w:eastAsia="en-US"/>
        </w:rPr>
        <w:t>.</w:t>
      </w:r>
    </w:p>
    <w:p w14:paraId="4EED30D3" w14:textId="77777777" w:rsidR="0002624E" w:rsidRPr="00205C60" w:rsidRDefault="0002624E" w:rsidP="006C5A5C">
      <w:pPr>
        <w:spacing w:after="200"/>
        <w:contextualSpacing/>
        <w:jc w:val="both"/>
        <w:rPr>
          <w:rFonts w:ascii="Verdana" w:eastAsiaTheme="minorHAnsi" w:hAnsi="Verdana" w:cs="Arial"/>
          <w:sz w:val="22"/>
          <w:szCs w:val="22"/>
          <w:lang w:val="es-CR" w:eastAsia="en-US"/>
        </w:rPr>
      </w:pPr>
    </w:p>
    <w:p w14:paraId="6910C09F" w14:textId="0812D32E" w:rsidR="00B96089" w:rsidRPr="00205C60" w:rsidRDefault="0002624E" w:rsidP="006C5A5C">
      <w:pPr>
        <w:spacing w:after="200"/>
        <w:contextualSpacing/>
        <w:jc w:val="both"/>
        <w:rPr>
          <w:rFonts w:ascii="Verdana" w:eastAsiaTheme="minorHAnsi" w:hAnsi="Verdana" w:cs="Arial"/>
          <w:sz w:val="22"/>
          <w:szCs w:val="22"/>
          <w:lang w:val="es-CR" w:eastAsia="en-US"/>
        </w:rPr>
      </w:pPr>
      <w:r w:rsidRPr="00205C60">
        <w:rPr>
          <w:rFonts w:ascii="Verdana" w:eastAsiaTheme="minorHAnsi" w:hAnsi="Verdana" w:cs="Arial"/>
          <w:sz w:val="22"/>
          <w:szCs w:val="22"/>
          <w:lang w:val="es-CR" w:eastAsia="en-US"/>
        </w:rPr>
        <w:t>El nuevo p</w:t>
      </w:r>
      <w:r w:rsidR="00110F17" w:rsidRPr="00205C60">
        <w:rPr>
          <w:rFonts w:ascii="Verdana" w:eastAsiaTheme="minorHAnsi" w:hAnsi="Verdana" w:cs="Arial"/>
          <w:sz w:val="22"/>
          <w:szCs w:val="22"/>
          <w:lang w:val="es-CR" w:eastAsia="en-US"/>
        </w:rPr>
        <w:t xml:space="preserve">roceso de </w:t>
      </w:r>
      <w:r w:rsidR="003C6588" w:rsidRPr="00205C60">
        <w:rPr>
          <w:rFonts w:ascii="Verdana" w:eastAsiaTheme="minorHAnsi" w:hAnsi="Verdana" w:cs="Arial"/>
          <w:sz w:val="22"/>
          <w:szCs w:val="22"/>
          <w:lang w:val="es-CR" w:eastAsia="en-US"/>
        </w:rPr>
        <w:t>contratación</w:t>
      </w:r>
      <w:r w:rsidR="008E5971" w:rsidRPr="00205C60">
        <w:rPr>
          <w:rFonts w:ascii="Verdana" w:eastAsiaTheme="minorHAnsi" w:hAnsi="Verdana" w:cs="Arial"/>
          <w:sz w:val="22"/>
          <w:szCs w:val="22"/>
          <w:lang w:val="es-CR" w:eastAsia="en-US"/>
        </w:rPr>
        <w:t xml:space="preserve"> </w:t>
      </w:r>
      <w:r w:rsidRPr="00205C60">
        <w:rPr>
          <w:rFonts w:ascii="Verdana" w:eastAsiaTheme="minorHAnsi" w:hAnsi="Verdana" w:cs="Arial"/>
          <w:sz w:val="22"/>
          <w:szCs w:val="22"/>
          <w:lang w:val="es-CR" w:eastAsia="en-US"/>
        </w:rPr>
        <w:t xml:space="preserve">se realiza </w:t>
      </w:r>
      <w:r w:rsidR="006258AF" w:rsidRPr="00205C60">
        <w:rPr>
          <w:rFonts w:ascii="Verdana" w:eastAsiaTheme="minorHAnsi" w:hAnsi="Verdana" w:cs="Arial"/>
          <w:sz w:val="22"/>
          <w:szCs w:val="22"/>
          <w:lang w:val="es-CR" w:eastAsia="en-US"/>
        </w:rPr>
        <w:t xml:space="preserve">a finales del año </w:t>
      </w:r>
      <w:r w:rsidR="00842629" w:rsidRPr="00205C60">
        <w:rPr>
          <w:rFonts w:ascii="Verdana" w:eastAsiaTheme="minorHAnsi" w:hAnsi="Verdana" w:cs="Arial"/>
          <w:sz w:val="22"/>
          <w:szCs w:val="22"/>
          <w:lang w:val="es-CR" w:eastAsia="en-US"/>
        </w:rPr>
        <w:t>pasado, culminando</w:t>
      </w:r>
      <w:r w:rsidR="006A125D" w:rsidRPr="00205C60">
        <w:rPr>
          <w:rFonts w:ascii="Verdana" w:eastAsiaTheme="minorHAnsi" w:hAnsi="Verdana" w:cs="Arial"/>
          <w:sz w:val="22"/>
          <w:szCs w:val="22"/>
          <w:lang w:val="es-CR" w:eastAsia="en-US"/>
        </w:rPr>
        <w:t xml:space="preserve"> con la adjudicación de la firma </w:t>
      </w:r>
      <w:proofErr w:type="spellStart"/>
      <w:r w:rsidR="006A125D" w:rsidRPr="00205C60">
        <w:rPr>
          <w:rFonts w:ascii="Verdana" w:eastAsiaTheme="minorHAnsi" w:hAnsi="Verdana" w:cs="Arial"/>
          <w:sz w:val="22"/>
          <w:szCs w:val="22"/>
          <w:lang w:val="es-CR" w:eastAsia="en-US"/>
        </w:rPr>
        <w:t>Pacific</w:t>
      </w:r>
      <w:proofErr w:type="spellEnd"/>
      <w:r w:rsidR="006A125D" w:rsidRPr="00205C60">
        <w:rPr>
          <w:rFonts w:ascii="Verdana" w:eastAsiaTheme="minorHAnsi" w:hAnsi="Verdana" w:cs="Arial"/>
          <w:sz w:val="22"/>
          <w:szCs w:val="22"/>
          <w:lang w:val="es-CR" w:eastAsia="en-US"/>
        </w:rPr>
        <w:t xml:space="preserve"> </w:t>
      </w:r>
      <w:proofErr w:type="spellStart"/>
      <w:r w:rsidR="006A125D" w:rsidRPr="00205C60">
        <w:rPr>
          <w:rFonts w:ascii="Verdana" w:eastAsiaTheme="minorHAnsi" w:hAnsi="Verdana" w:cs="Arial"/>
          <w:sz w:val="22"/>
          <w:szCs w:val="22"/>
          <w:lang w:val="es-CR" w:eastAsia="en-US"/>
        </w:rPr>
        <w:t>Credit</w:t>
      </w:r>
      <w:proofErr w:type="spellEnd"/>
      <w:r w:rsidR="006A125D" w:rsidRPr="00205C60">
        <w:rPr>
          <w:rFonts w:ascii="Verdana" w:eastAsiaTheme="minorHAnsi" w:hAnsi="Verdana" w:cs="Arial"/>
          <w:sz w:val="22"/>
          <w:szCs w:val="22"/>
          <w:lang w:val="es-CR" w:eastAsia="en-US"/>
        </w:rPr>
        <w:t xml:space="preserve"> Rating el 22 diciembre 2022</w:t>
      </w:r>
      <w:r w:rsidRPr="00205C60">
        <w:rPr>
          <w:rFonts w:ascii="Verdana" w:eastAsiaTheme="minorHAnsi" w:hAnsi="Verdana" w:cs="Arial"/>
          <w:sz w:val="22"/>
          <w:szCs w:val="22"/>
          <w:lang w:val="es-CR" w:eastAsia="en-US"/>
        </w:rPr>
        <w:t xml:space="preserve">, empresa </w:t>
      </w:r>
      <w:r w:rsidR="006258AF" w:rsidRPr="00205C60">
        <w:rPr>
          <w:rFonts w:ascii="Verdana" w:eastAsiaTheme="minorHAnsi" w:hAnsi="Verdana" w:cs="Arial"/>
          <w:sz w:val="22"/>
          <w:szCs w:val="22"/>
          <w:lang w:val="es-CR" w:eastAsia="en-US"/>
        </w:rPr>
        <w:t xml:space="preserve">contratada </w:t>
      </w:r>
      <w:r w:rsidR="00362F6B" w:rsidRPr="00205C60">
        <w:rPr>
          <w:rFonts w:ascii="Verdana" w:eastAsiaTheme="minorHAnsi" w:hAnsi="Verdana" w:cs="Arial"/>
          <w:sz w:val="22"/>
          <w:szCs w:val="22"/>
          <w:lang w:val="es-CR" w:eastAsia="en-US"/>
        </w:rPr>
        <w:t xml:space="preserve">para </w:t>
      </w:r>
      <w:r w:rsidR="00937601" w:rsidRPr="00205C60">
        <w:rPr>
          <w:rFonts w:ascii="Verdana" w:eastAsiaTheme="minorHAnsi" w:hAnsi="Verdana" w:cs="Arial"/>
          <w:sz w:val="22"/>
          <w:szCs w:val="22"/>
          <w:lang w:val="es-CR" w:eastAsia="en-US"/>
        </w:rPr>
        <w:t xml:space="preserve">realizar </w:t>
      </w:r>
      <w:r w:rsidR="00A05BAA" w:rsidRPr="00205C60">
        <w:rPr>
          <w:rFonts w:ascii="Verdana" w:eastAsiaTheme="minorHAnsi" w:hAnsi="Verdana" w:cs="Arial"/>
          <w:sz w:val="22"/>
          <w:szCs w:val="22"/>
          <w:lang w:val="es-CR" w:eastAsia="en-US"/>
        </w:rPr>
        <w:t>el servicio de calificación publica</w:t>
      </w:r>
      <w:r w:rsidR="00362F6B" w:rsidRPr="00205C60">
        <w:rPr>
          <w:rFonts w:ascii="Verdana" w:eastAsiaTheme="minorHAnsi" w:hAnsi="Verdana" w:cs="Arial"/>
          <w:sz w:val="22"/>
          <w:szCs w:val="22"/>
          <w:lang w:val="es-CR" w:eastAsia="en-US"/>
        </w:rPr>
        <w:t xml:space="preserve"> </w:t>
      </w:r>
      <w:r w:rsidR="00D90D1E" w:rsidRPr="00205C60">
        <w:rPr>
          <w:rFonts w:ascii="Verdana" w:eastAsiaTheme="minorHAnsi" w:hAnsi="Verdana" w:cs="Arial"/>
          <w:sz w:val="22"/>
          <w:szCs w:val="22"/>
          <w:lang w:val="es-CR" w:eastAsia="en-US"/>
        </w:rPr>
        <w:t xml:space="preserve">de riesgo </w:t>
      </w:r>
      <w:r w:rsidR="00362F6B" w:rsidRPr="00205C60">
        <w:rPr>
          <w:rFonts w:ascii="Verdana" w:eastAsiaTheme="minorHAnsi" w:hAnsi="Verdana" w:cs="Arial"/>
          <w:sz w:val="22"/>
          <w:szCs w:val="22"/>
          <w:lang w:val="es-CR" w:eastAsia="en-US"/>
        </w:rPr>
        <w:t xml:space="preserve">para la </w:t>
      </w:r>
      <w:r w:rsidR="00587289" w:rsidRPr="00205C60">
        <w:rPr>
          <w:rFonts w:ascii="Verdana" w:eastAsiaTheme="minorHAnsi" w:hAnsi="Verdana" w:cs="Arial"/>
          <w:sz w:val="22"/>
          <w:szCs w:val="22"/>
          <w:lang w:val="es-CR" w:eastAsia="en-US"/>
        </w:rPr>
        <w:t>CNFL</w:t>
      </w:r>
      <w:r w:rsidR="00362F6B" w:rsidRPr="00205C60">
        <w:rPr>
          <w:rFonts w:ascii="Verdana" w:eastAsiaTheme="minorHAnsi" w:hAnsi="Verdana" w:cs="Arial"/>
          <w:sz w:val="22"/>
          <w:szCs w:val="22"/>
          <w:lang w:val="es-CR" w:eastAsia="en-US"/>
        </w:rPr>
        <w:t>.</w:t>
      </w:r>
    </w:p>
    <w:p w14:paraId="12510A9B" w14:textId="77777777" w:rsidR="00B82434" w:rsidRPr="00205C60" w:rsidRDefault="00B82434" w:rsidP="006C5A5C">
      <w:pPr>
        <w:spacing w:after="200"/>
        <w:contextualSpacing/>
        <w:jc w:val="both"/>
        <w:rPr>
          <w:rFonts w:ascii="Verdana" w:eastAsiaTheme="minorHAnsi" w:hAnsi="Verdana" w:cs="Arial"/>
          <w:sz w:val="22"/>
          <w:szCs w:val="22"/>
          <w:lang w:val="es-CR" w:eastAsia="en-US"/>
        </w:rPr>
      </w:pPr>
    </w:p>
    <w:p w14:paraId="3CA7E6ED" w14:textId="69249A38" w:rsidR="00F4503B" w:rsidRPr="00205C60" w:rsidRDefault="00F4503B" w:rsidP="006F5AA0">
      <w:pPr>
        <w:jc w:val="both"/>
        <w:rPr>
          <w:rFonts w:ascii="Verdana" w:hAnsi="Verdana" w:cs="Arial"/>
          <w:sz w:val="22"/>
          <w:szCs w:val="22"/>
        </w:rPr>
      </w:pPr>
      <w:r w:rsidRPr="00205C60">
        <w:rPr>
          <w:rFonts w:ascii="Verdana" w:hAnsi="Verdana" w:cs="Arial"/>
          <w:sz w:val="22"/>
          <w:szCs w:val="22"/>
        </w:rPr>
        <w:lastRenderedPageBreak/>
        <w:t xml:space="preserve">El Consejo de Calificación de dicha firma en sesión ordinaria Nº </w:t>
      </w:r>
      <w:r w:rsidR="006F5AA0" w:rsidRPr="00205C60">
        <w:rPr>
          <w:rFonts w:ascii="Verdana" w:hAnsi="Verdana" w:cs="Arial"/>
          <w:sz w:val="22"/>
          <w:szCs w:val="22"/>
        </w:rPr>
        <w:t>04/2023, del 09 de marzo de 2023</w:t>
      </w:r>
      <w:r w:rsidRPr="00205C60">
        <w:rPr>
          <w:rFonts w:ascii="Verdana" w:hAnsi="Verdana" w:cs="Arial"/>
          <w:sz w:val="22"/>
          <w:szCs w:val="22"/>
        </w:rPr>
        <w:t xml:space="preserve">, </w:t>
      </w:r>
      <w:r w:rsidR="00636522" w:rsidRPr="00205C60">
        <w:rPr>
          <w:rFonts w:ascii="Verdana" w:hAnsi="Verdana" w:cs="Arial"/>
          <w:sz w:val="22"/>
          <w:szCs w:val="22"/>
        </w:rPr>
        <w:t>otorgó</w:t>
      </w:r>
      <w:r w:rsidRPr="00205C60">
        <w:rPr>
          <w:rFonts w:ascii="Verdana" w:hAnsi="Verdana" w:cs="Arial"/>
          <w:sz w:val="22"/>
          <w:szCs w:val="22"/>
        </w:rPr>
        <w:t xml:space="preserve"> las siguientes calificaciones, las cuales </w:t>
      </w:r>
      <w:r w:rsidRPr="00205C60">
        <w:rPr>
          <w:rFonts w:ascii="Verdana" w:hAnsi="Verdana" w:cs="Arial"/>
          <w:bCs/>
          <w:sz w:val="22"/>
          <w:szCs w:val="22"/>
        </w:rPr>
        <w:t>sirven como una variable de información que los inversionistas utilizan a la hora de tomar sus decisiones de inversión sobre la capacidad de pago de las obligaciones de la empresa.</w:t>
      </w:r>
    </w:p>
    <w:p w14:paraId="09E1004C" w14:textId="77777777" w:rsidR="00E96DD0" w:rsidRPr="00205C60" w:rsidRDefault="00E96DD0" w:rsidP="00F4503B">
      <w:pPr>
        <w:jc w:val="both"/>
        <w:rPr>
          <w:rFonts w:ascii="Verdana" w:hAnsi="Verdana" w:cs="Arial"/>
          <w:b/>
          <w:sz w:val="22"/>
          <w:szCs w:val="22"/>
        </w:rPr>
      </w:pPr>
    </w:p>
    <w:p w14:paraId="3CA7E6EF" w14:textId="77777777" w:rsidR="00F4503B" w:rsidRPr="00205C60" w:rsidRDefault="00F4503B" w:rsidP="00F4503B">
      <w:pPr>
        <w:ind w:left="360"/>
        <w:jc w:val="both"/>
        <w:rPr>
          <w:rFonts w:ascii="Verdana" w:hAnsi="Verdana" w:cs="Arial"/>
          <w:sz w:val="22"/>
          <w:szCs w:val="22"/>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976"/>
      </w:tblGrid>
      <w:tr w:rsidR="00F4503B" w:rsidRPr="00205C60" w14:paraId="3CA7E6F2" w14:textId="77777777" w:rsidTr="003A4E0C">
        <w:trPr>
          <w:trHeight w:val="508"/>
        </w:trPr>
        <w:tc>
          <w:tcPr>
            <w:tcW w:w="4678" w:type="dxa"/>
            <w:shd w:val="clear" w:color="auto" w:fill="auto"/>
            <w:vAlign w:val="center"/>
          </w:tcPr>
          <w:p w14:paraId="3CA7E6F0" w14:textId="77777777" w:rsidR="00F4503B" w:rsidRPr="00205C60" w:rsidRDefault="00F4503B" w:rsidP="00F4503B">
            <w:pPr>
              <w:jc w:val="center"/>
              <w:rPr>
                <w:rFonts w:ascii="Verdana" w:hAnsi="Verdana" w:cs="Arial"/>
                <w:sz w:val="22"/>
                <w:szCs w:val="22"/>
              </w:rPr>
            </w:pPr>
            <w:r w:rsidRPr="00205C60">
              <w:rPr>
                <w:rFonts w:ascii="Verdana" w:hAnsi="Verdana" w:cs="Arial"/>
                <w:sz w:val="22"/>
                <w:szCs w:val="22"/>
              </w:rPr>
              <w:t>Emisor: Compañía Nacional de Fuerza y Luz S.A.</w:t>
            </w:r>
          </w:p>
        </w:tc>
        <w:tc>
          <w:tcPr>
            <w:tcW w:w="2976" w:type="dxa"/>
            <w:shd w:val="clear" w:color="auto" w:fill="auto"/>
            <w:vAlign w:val="center"/>
          </w:tcPr>
          <w:p w14:paraId="3CA7E6F1" w14:textId="0C7515F8" w:rsidR="00F4503B" w:rsidRPr="00205C60" w:rsidRDefault="00F4503B" w:rsidP="00F4503B">
            <w:pPr>
              <w:jc w:val="center"/>
              <w:rPr>
                <w:rFonts w:ascii="Verdana" w:hAnsi="Verdana" w:cs="Arial"/>
                <w:sz w:val="22"/>
                <w:szCs w:val="22"/>
              </w:rPr>
            </w:pPr>
            <w:r w:rsidRPr="00205C60">
              <w:rPr>
                <w:rFonts w:ascii="Verdana" w:hAnsi="Verdana" w:cs="Arial"/>
                <w:sz w:val="22"/>
                <w:szCs w:val="22"/>
              </w:rPr>
              <w:t xml:space="preserve">scr </w:t>
            </w:r>
            <w:r w:rsidR="00665E3A" w:rsidRPr="00205C60">
              <w:rPr>
                <w:rFonts w:ascii="Verdana" w:hAnsi="Verdana" w:cs="Arial"/>
                <w:sz w:val="22"/>
                <w:szCs w:val="22"/>
              </w:rPr>
              <w:t>AA</w:t>
            </w:r>
            <w:r w:rsidR="00665E3A" w:rsidRPr="00205C60">
              <w:rPr>
                <w:rFonts w:ascii="Verdana" w:hAnsi="Verdana" w:cs="Arial"/>
                <w:sz w:val="18"/>
                <w:szCs w:val="18"/>
              </w:rPr>
              <w:t>+</w:t>
            </w:r>
            <w:r w:rsidR="00665E3A" w:rsidRPr="00205C60">
              <w:rPr>
                <w:rFonts w:ascii="Verdana" w:hAnsi="Verdana" w:cs="Arial"/>
                <w:sz w:val="22"/>
                <w:szCs w:val="22"/>
              </w:rPr>
              <w:t xml:space="preserve"> </w:t>
            </w:r>
            <w:r w:rsidRPr="00205C60">
              <w:rPr>
                <w:rFonts w:ascii="Verdana" w:hAnsi="Verdana" w:cs="Arial"/>
                <w:sz w:val="22"/>
                <w:szCs w:val="22"/>
              </w:rPr>
              <w:t>(CR) Perspectiva Estable</w:t>
            </w:r>
          </w:p>
        </w:tc>
      </w:tr>
      <w:tr w:rsidR="00F4503B" w:rsidRPr="00205C60" w14:paraId="3CA7E6F5" w14:textId="77777777" w:rsidTr="003A4E0C">
        <w:trPr>
          <w:trHeight w:val="699"/>
        </w:trPr>
        <w:tc>
          <w:tcPr>
            <w:tcW w:w="4678" w:type="dxa"/>
            <w:shd w:val="clear" w:color="auto" w:fill="auto"/>
            <w:vAlign w:val="center"/>
          </w:tcPr>
          <w:p w14:paraId="3CA7E6F3" w14:textId="77777777" w:rsidR="00F4503B" w:rsidRPr="00205C60" w:rsidRDefault="00F4503B" w:rsidP="00F4503B">
            <w:pPr>
              <w:jc w:val="center"/>
              <w:rPr>
                <w:rFonts w:ascii="Verdana" w:hAnsi="Verdana" w:cs="Arial"/>
                <w:sz w:val="22"/>
                <w:szCs w:val="22"/>
              </w:rPr>
            </w:pPr>
            <w:r w:rsidRPr="00205C60">
              <w:rPr>
                <w:rFonts w:ascii="Verdana" w:hAnsi="Verdana" w:cs="Arial"/>
                <w:sz w:val="22"/>
                <w:szCs w:val="22"/>
              </w:rPr>
              <w:t>Programa de Emisiones de Bonos Estandarizados Serie B</w:t>
            </w:r>
          </w:p>
        </w:tc>
        <w:tc>
          <w:tcPr>
            <w:tcW w:w="2976" w:type="dxa"/>
            <w:shd w:val="clear" w:color="auto" w:fill="auto"/>
            <w:vAlign w:val="center"/>
          </w:tcPr>
          <w:p w14:paraId="3CA7E6F4" w14:textId="72463233" w:rsidR="00F4503B" w:rsidRPr="00205C60" w:rsidRDefault="00F4503B" w:rsidP="00F4503B">
            <w:pPr>
              <w:jc w:val="center"/>
              <w:rPr>
                <w:rFonts w:ascii="Verdana" w:hAnsi="Verdana" w:cs="Arial"/>
                <w:sz w:val="22"/>
                <w:szCs w:val="22"/>
              </w:rPr>
            </w:pPr>
            <w:r w:rsidRPr="00205C60">
              <w:rPr>
                <w:rFonts w:ascii="Verdana" w:hAnsi="Verdana" w:cs="Arial"/>
                <w:sz w:val="22"/>
                <w:szCs w:val="22"/>
              </w:rPr>
              <w:t>scr AA</w:t>
            </w:r>
            <w:r w:rsidR="00FD4D58" w:rsidRPr="00205C60">
              <w:rPr>
                <w:rFonts w:ascii="Verdana" w:hAnsi="Verdana" w:cs="Arial"/>
                <w:sz w:val="18"/>
                <w:szCs w:val="18"/>
              </w:rPr>
              <w:t>+</w:t>
            </w:r>
            <w:r w:rsidRPr="00205C60">
              <w:rPr>
                <w:rFonts w:ascii="Verdana" w:hAnsi="Verdana" w:cs="Arial"/>
                <w:sz w:val="22"/>
                <w:szCs w:val="22"/>
              </w:rPr>
              <w:t xml:space="preserve"> (CR)</w:t>
            </w:r>
          </w:p>
        </w:tc>
      </w:tr>
    </w:tbl>
    <w:p w14:paraId="3CA7E6F6" w14:textId="77777777" w:rsidR="00F4503B" w:rsidRPr="00205C60" w:rsidRDefault="00F4503B" w:rsidP="00F4503B">
      <w:pPr>
        <w:jc w:val="both"/>
        <w:rPr>
          <w:rFonts w:ascii="Verdana" w:hAnsi="Verdana" w:cs="Arial"/>
          <w:sz w:val="22"/>
          <w:szCs w:val="22"/>
        </w:rPr>
      </w:pPr>
    </w:p>
    <w:p w14:paraId="3CA7E6F7" w14:textId="77777777" w:rsidR="00F4503B" w:rsidRPr="00205C60" w:rsidRDefault="00F4503B" w:rsidP="00F4503B">
      <w:pPr>
        <w:autoSpaceDE w:val="0"/>
        <w:autoSpaceDN w:val="0"/>
        <w:adjustRightInd w:val="0"/>
        <w:rPr>
          <w:rFonts w:ascii="Verdana" w:eastAsiaTheme="minorHAnsi" w:hAnsi="Verdana" w:cs="Arial"/>
          <w:b/>
          <w:bCs/>
          <w:color w:val="000000"/>
          <w:sz w:val="22"/>
          <w:szCs w:val="22"/>
          <w:lang w:val="es-CR" w:eastAsia="en-US"/>
        </w:rPr>
      </w:pPr>
      <w:r w:rsidRPr="00205C60">
        <w:rPr>
          <w:rFonts w:ascii="Verdana" w:eastAsiaTheme="minorHAnsi" w:hAnsi="Verdana" w:cs="Arial"/>
          <w:b/>
          <w:bCs/>
          <w:color w:val="000000"/>
          <w:sz w:val="22"/>
          <w:szCs w:val="22"/>
          <w:lang w:val="es-CR" w:eastAsia="en-US"/>
        </w:rPr>
        <w:t xml:space="preserve">Explicación de la calificación otorgada: </w:t>
      </w:r>
    </w:p>
    <w:p w14:paraId="3CA7E6F8" w14:textId="77777777" w:rsidR="00F4503B" w:rsidRPr="00205C60" w:rsidRDefault="00F4503B" w:rsidP="00F4503B">
      <w:pPr>
        <w:autoSpaceDE w:val="0"/>
        <w:autoSpaceDN w:val="0"/>
        <w:adjustRightInd w:val="0"/>
        <w:rPr>
          <w:rFonts w:ascii="Verdana" w:eastAsiaTheme="minorHAnsi" w:hAnsi="Verdana" w:cs="Arial"/>
          <w:color w:val="000000"/>
          <w:sz w:val="22"/>
          <w:szCs w:val="22"/>
          <w:lang w:val="es-CR" w:eastAsia="en-US"/>
        </w:rPr>
      </w:pPr>
    </w:p>
    <w:p w14:paraId="3CA7E6F9" w14:textId="0CE0C97A" w:rsidR="00F4503B" w:rsidRPr="00205C60" w:rsidRDefault="00F4503B" w:rsidP="00A46F43">
      <w:pPr>
        <w:autoSpaceDE w:val="0"/>
        <w:autoSpaceDN w:val="0"/>
        <w:adjustRightInd w:val="0"/>
        <w:jc w:val="both"/>
        <w:rPr>
          <w:rFonts w:ascii="Verdana" w:eastAsiaTheme="minorHAnsi" w:hAnsi="Verdana" w:cs="Arial"/>
          <w:color w:val="000000"/>
          <w:sz w:val="22"/>
          <w:szCs w:val="22"/>
          <w:lang w:val="es-CR" w:eastAsia="en-US"/>
        </w:rPr>
      </w:pPr>
      <w:r w:rsidRPr="00205C60">
        <w:rPr>
          <w:rFonts w:ascii="Verdana" w:eastAsiaTheme="minorHAnsi" w:hAnsi="Verdana" w:cs="Arial"/>
          <w:b/>
          <w:bCs/>
          <w:color w:val="000000"/>
          <w:sz w:val="22"/>
          <w:szCs w:val="22"/>
          <w:lang w:val="es-CR" w:eastAsia="en-US"/>
        </w:rPr>
        <w:t>scr AA</w:t>
      </w:r>
      <w:r w:rsidR="004A3DA3" w:rsidRPr="00205C60">
        <w:rPr>
          <w:rFonts w:ascii="Verdana" w:eastAsiaTheme="minorHAnsi" w:hAnsi="Verdana" w:cs="Arial"/>
          <w:b/>
          <w:bCs/>
          <w:color w:val="000000"/>
          <w:sz w:val="20"/>
          <w:lang w:val="es-CR" w:eastAsia="en-US"/>
        </w:rPr>
        <w:t>+</w:t>
      </w:r>
      <w:r w:rsidRPr="00205C60">
        <w:rPr>
          <w:rFonts w:ascii="Verdana" w:eastAsiaTheme="minorHAnsi" w:hAnsi="Verdana" w:cs="Arial"/>
          <w:b/>
          <w:bCs/>
          <w:color w:val="000000"/>
          <w:sz w:val="22"/>
          <w:szCs w:val="22"/>
          <w:lang w:val="es-CR" w:eastAsia="en-US"/>
        </w:rPr>
        <w:t xml:space="preserve"> (CR)</w:t>
      </w:r>
      <w:r w:rsidRPr="00205C60">
        <w:rPr>
          <w:rFonts w:ascii="Verdana" w:eastAsiaTheme="minorHAnsi" w:hAnsi="Verdana" w:cs="Arial"/>
          <w:color w:val="000000"/>
          <w:sz w:val="22"/>
          <w:szCs w:val="22"/>
          <w:lang w:val="es-CR" w:eastAsia="en-US"/>
        </w:rPr>
        <w:t>:</w:t>
      </w:r>
      <w:r w:rsidR="00A46F43" w:rsidRPr="00205C60">
        <w:t xml:space="preserve"> </w:t>
      </w:r>
      <w:r w:rsidR="00A46F43" w:rsidRPr="00205C60">
        <w:rPr>
          <w:rFonts w:ascii="Verdana" w:eastAsiaTheme="minorHAnsi" w:hAnsi="Verdana" w:cs="Arial"/>
          <w:color w:val="000000"/>
          <w:sz w:val="22"/>
          <w:szCs w:val="22"/>
          <w:lang w:val="es-CR" w:eastAsia="en-US"/>
        </w:rPr>
        <w:t>Emisiones con alta calidad crediticia. Los factores de protección son fuertes. El riesgo es modesto, pudiendo variar en forma ocasional por las condiciones económicas</w:t>
      </w:r>
      <w:r w:rsidRPr="00205C60">
        <w:rPr>
          <w:rFonts w:ascii="Verdana" w:eastAsiaTheme="minorHAnsi" w:hAnsi="Verdana" w:cs="Arial"/>
          <w:color w:val="000000"/>
          <w:sz w:val="22"/>
          <w:szCs w:val="22"/>
          <w:lang w:val="es-CR" w:eastAsia="en-US"/>
        </w:rPr>
        <w:t xml:space="preserve">. </w:t>
      </w:r>
    </w:p>
    <w:p w14:paraId="3CA7E6FA" w14:textId="77777777" w:rsidR="00F4503B" w:rsidRPr="00205C60" w:rsidRDefault="00F4503B" w:rsidP="00F4503B">
      <w:pPr>
        <w:autoSpaceDE w:val="0"/>
        <w:autoSpaceDN w:val="0"/>
        <w:adjustRightInd w:val="0"/>
        <w:jc w:val="both"/>
        <w:rPr>
          <w:rFonts w:ascii="Verdana" w:eastAsiaTheme="minorHAnsi" w:hAnsi="Verdana" w:cs="Arial"/>
          <w:color w:val="000000"/>
          <w:sz w:val="22"/>
          <w:szCs w:val="22"/>
          <w:lang w:val="es-CR" w:eastAsia="en-US"/>
        </w:rPr>
      </w:pPr>
    </w:p>
    <w:p w14:paraId="3CA7E6FB" w14:textId="77777777" w:rsidR="00F4503B" w:rsidRPr="00205C60" w:rsidRDefault="00F4503B" w:rsidP="00F4503B">
      <w:pPr>
        <w:jc w:val="both"/>
        <w:rPr>
          <w:rFonts w:ascii="Verdana" w:hAnsi="Verdana" w:cs="Arial"/>
          <w:sz w:val="22"/>
          <w:szCs w:val="22"/>
        </w:rPr>
      </w:pPr>
      <w:r w:rsidRPr="00205C60">
        <w:rPr>
          <w:rFonts w:ascii="Verdana" w:hAnsi="Verdana" w:cs="Arial"/>
          <w:b/>
          <w:bCs/>
          <w:sz w:val="22"/>
          <w:szCs w:val="22"/>
        </w:rPr>
        <w:t xml:space="preserve">Perspectiva estable: </w:t>
      </w:r>
      <w:r w:rsidRPr="00205C60">
        <w:rPr>
          <w:rFonts w:ascii="Verdana" w:hAnsi="Verdana" w:cs="Arial"/>
          <w:sz w:val="22"/>
          <w:szCs w:val="22"/>
        </w:rPr>
        <w:t>Se percibe una baja probabilidad de que la calificación varíe en el mediano plazo.</w:t>
      </w:r>
    </w:p>
    <w:p w14:paraId="3CA7E6FC" w14:textId="77777777" w:rsidR="00F4503B" w:rsidRPr="00205C60" w:rsidRDefault="00F4503B" w:rsidP="00F4503B">
      <w:pPr>
        <w:jc w:val="both"/>
        <w:rPr>
          <w:rFonts w:ascii="Verdana" w:hAnsi="Verdana" w:cs="Arial"/>
          <w:sz w:val="22"/>
          <w:szCs w:val="22"/>
        </w:rPr>
      </w:pPr>
    </w:p>
    <w:p w14:paraId="3CA7E6FD" w14:textId="51C509BA" w:rsidR="00F4503B" w:rsidRPr="00205C60" w:rsidRDefault="00F4503B" w:rsidP="00214726">
      <w:pPr>
        <w:jc w:val="both"/>
        <w:rPr>
          <w:rFonts w:ascii="Verdana" w:hAnsi="Verdana" w:cs="Arial"/>
          <w:sz w:val="22"/>
          <w:szCs w:val="22"/>
        </w:rPr>
      </w:pPr>
      <w:r w:rsidRPr="00205C60">
        <w:rPr>
          <w:rFonts w:ascii="Verdana" w:hAnsi="Verdana" w:cs="Arial"/>
          <w:sz w:val="22"/>
          <w:szCs w:val="22"/>
        </w:rPr>
        <w:t xml:space="preserve">Es importante mencionar, que las calificaciones nacionales “AA” denotan expectativas de muy bajo riesgo de incumplimiento </w:t>
      </w:r>
      <w:r w:rsidR="00B7323C" w:rsidRPr="00205C60">
        <w:rPr>
          <w:rFonts w:ascii="Verdana" w:hAnsi="Verdana" w:cs="Arial"/>
          <w:sz w:val="22"/>
          <w:szCs w:val="22"/>
        </w:rPr>
        <w:t>en relación con</w:t>
      </w:r>
      <w:r w:rsidRPr="00205C60">
        <w:rPr>
          <w:rFonts w:ascii="Verdana" w:hAnsi="Verdana" w:cs="Arial"/>
          <w:sz w:val="22"/>
          <w:szCs w:val="22"/>
        </w:rPr>
        <w:t xml:space="preserve"> otros emisores u obligaciones en el mismo país</w:t>
      </w:r>
      <w:r w:rsidR="00214726" w:rsidRPr="00205C60">
        <w:rPr>
          <w:rFonts w:ascii="Verdana" w:hAnsi="Verdana" w:cs="Arial"/>
          <w:sz w:val="22"/>
          <w:szCs w:val="22"/>
        </w:rPr>
        <w:t xml:space="preserve">, y se complementan, </w:t>
      </w:r>
      <w:r w:rsidR="003B15BF" w:rsidRPr="00205C60">
        <w:rPr>
          <w:rFonts w:ascii="Verdana" w:hAnsi="Verdana" w:cs="Arial"/>
          <w:sz w:val="22"/>
          <w:szCs w:val="22"/>
        </w:rPr>
        <w:t>en caso de que corresponda</w:t>
      </w:r>
      <w:r w:rsidR="00214726" w:rsidRPr="00205C60">
        <w:rPr>
          <w:rFonts w:ascii="Verdana" w:hAnsi="Verdana" w:cs="Arial"/>
          <w:sz w:val="22"/>
          <w:szCs w:val="22"/>
        </w:rPr>
        <w:t>, mediante los signos (+/-) mejorando o desmejorando respectivamente la clasificación alcanzada</w:t>
      </w:r>
      <w:r w:rsidRPr="00205C60">
        <w:rPr>
          <w:rFonts w:ascii="Verdana" w:hAnsi="Verdana" w:cs="Arial"/>
          <w:sz w:val="22"/>
          <w:szCs w:val="22"/>
        </w:rPr>
        <w:t>. El riesgo de incumplimiento difiere solo ligeramente del de los emisores u obligaciones con las más altas calificaciones del país.</w:t>
      </w:r>
    </w:p>
    <w:p w14:paraId="3CA7E6FE" w14:textId="77777777" w:rsidR="00F4503B" w:rsidRPr="00205C60" w:rsidRDefault="00F4503B" w:rsidP="00F4503B">
      <w:pPr>
        <w:rPr>
          <w:rFonts w:ascii="Verdana" w:hAnsi="Verdana"/>
          <w:sz w:val="22"/>
          <w:szCs w:val="22"/>
        </w:rPr>
      </w:pPr>
    </w:p>
    <w:p w14:paraId="3CA7E6FF" w14:textId="0B4F410E" w:rsidR="00F4503B" w:rsidRPr="00205C60" w:rsidRDefault="00F4503B" w:rsidP="007F5E3C">
      <w:pPr>
        <w:jc w:val="both"/>
        <w:rPr>
          <w:rFonts w:ascii="Verdana" w:hAnsi="Verdana" w:cs="Arial"/>
          <w:sz w:val="22"/>
          <w:szCs w:val="22"/>
        </w:rPr>
      </w:pPr>
      <w:r w:rsidRPr="00205C60">
        <w:rPr>
          <w:rFonts w:ascii="Verdana" w:hAnsi="Verdana" w:cs="Arial"/>
          <w:sz w:val="22"/>
          <w:szCs w:val="22"/>
        </w:rPr>
        <w:t>El análisis se efectuó con base</w:t>
      </w:r>
      <w:r w:rsidR="00323DD8" w:rsidRPr="00205C60">
        <w:rPr>
          <w:rFonts w:ascii="Verdana" w:hAnsi="Verdana" w:cs="Arial"/>
          <w:sz w:val="22"/>
          <w:szCs w:val="22"/>
        </w:rPr>
        <w:t xml:space="preserve"> en información financiera no auditada al 31 de diciembre de</w:t>
      </w:r>
      <w:r w:rsidR="00FD4637" w:rsidRPr="00205C60">
        <w:rPr>
          <w:rFonts w:ascii="Verdana" w:hAnsi="Verdana" w:cs="Arial"/>
          <w:sz w:val="22"/>
          <w:szCs w:val="22"/>
        </w:rPr>
        <w:t>l</w:t>
      </w:r>
      <w:r w:rsidR="00323DD8" w:rsidRPr="00205C60">
        <w:rPr>
          <w:rFonts w:ascii="Verdana" w:hAnsi="Verdana" w:cs="Arial"/>
          <w:sz w:val="22"/>
          <w:szCs w:val="22"/>
        </w:rPr>
        <w:t xml:space="preserve"> 2022</w:t>
      </w:r>
      <w:r w:rsidR="007F5E3C" w:rsidRPr="00205C60">
        <w:rPr>
          <w:rFonts w:ascii="Verdana" w:hAnsi="Verdana" w:cs="Arial"/>
          <w:sz w:val="22"/>
          <w:szCs w:val="22"/>
        </w:rPr>
        <w:t>. La metodología empleada corresponde a la Metodología de Calificación de Riesgo instrumentos de deuda de corto, mediano y largo plazo, acciones preferentes y emisores, la cual fue registrada ante el ente Supervisor el 19 de diciembre de 2017</w:t>
      </w:r>
      <w:r w:rsidRPr="00205C60">
        <w:rPr>
          <w:rFonts w:ascii="Verdana" w:hAnsi="Verdana" w:cs="Arial"/>
          <w:color w:val="000000"/>
          <w:sz w:val="22"/>
          <w:szCs w:val="22"/>
        </w:rPr>
        <w:t>.</w:t>
      </w:r>
      <w:r w:rsidRPr="00205C60">
        <w:rPr>
          <w:rFonts w:ascii="Verdana" w:hAnsi="Verdana" w:cs="Arial"/>
          <w:sz w:val="22"/>
          <w:szCs w:val="22"/>
        </w:rPr>
        <w:t xml:space="preserve"> </w:t>
      </w:r>
    </w:p>
    <w:p w14:paraId="3CA7E700" w14:textId="77777777" w:rsidR="00905E2C" w:rsidRPr="00205C60" w:rsidRDefault="00905E2C" w:rsidP="00905E2C">
      <w:pPr>
        <w:jc w:val="both"/>
        <w:rPr>
          <w:rFonts w:ascii="Verdana" w:hAnsi="Verdana" w:cs="Arial"/>
          <w:sz w:val="22"/>
          <w:szCs w:val="22"/>
        </w:rPr>
      </w:pPr>
    </w:p>
    <w:p w14:paraId="3CA7E701" w14:textId="77777777" w:rsidR="00F00453" w:rsidRPr="00205C60" w:rsidRDefault="00F00453" w:rsidP="00F00453">
      <w:pPr>
        <w:jc w:val="both"/>
        <w:rPr>
          <w:rFonts w:ascii="Verdana" w:hAnsi="Verdana" w:cs="Arial"/>
          <w:sz w:val="22"/>
          <w:szCs w:val="22"/>
        </w:rPr>
      </w:pPr>
      <w:r w:rsidRPr="00205C60">
        <w:rPr>
          <w:rFonts w:ascii="Verdana" w:hAnsi="Verdana" w:cs="Arial"/>
          <w:sz w:val="22"/>
          <w:szCs w:val="22"/>
        </w:rPr>
        <w:t xml:space="preserve">En el informe que se adjunta en el anexo 1, están contenidas las consideraciones del Consejo de Calificación para otorgar la calificación, la cual se actualiza cada seis meses.  </w:t>
      </w:r>
    </w:p>
    <w:p w14:paraId="3CA7E702" w14:textId="77777777" w:rsidR="00F00453" w:rsidRPr="00205C60" w:rsidRDefault="00F00453" w:rsidP="00D505C2">
      <w:pPr>
        <w:autoSpaceDE w:val="0"/>
        <w:autoSpaceDN w:val="0"/>
        <w:adjustRightInd w:val="0"/>
        <w:jc w:val="both"/>
        <w:rPr>
          <w:rFonts w:ascii="Verdana" w:hAnsi="Verdana" w:cs="Arial"/>
          <w:sz w:val="22"/>
          <w:szCs w:val="22"/>
        </w:rPr>
      </w:pPr>
    </w:p>
    <w:p w14:paraId="3CA7E703" w14:textId="77777777" w:rsidR="00F00453" w:rsidRPr="00205C60" w:rsidRDefault="00F00453" w:rsidP="00D505C2">
      <w:pPr>
        <w:autoSpaceDE w:val="0"/>
        <w:autoSpaceDN w:val="0"/>
        <w:adjustRightInd w:val="0"/>
        <w:jc w:val="both"/>
        <w:rPr>
          <w:rFonts w:ascii="Verdana" w:hAnsi="Verdana" w:cs="Arial"/>
          <w:sz w:val="22"/>
          <w:szCs w:val="22"/>
        </w:rPr>
      </w:pPr>
    </w:p>
    <w:p w14:paraId="3CA7E704" w14:textId="77777777" w:rsidR="00051F09" w:rsidRPr="00205C60" w:rsidRDefault="00051F09" w:rsidP="00882F32">
      <w:pPr>
        <w:pStyle w:val="Ttulo2"/>
        <w:numPr>
          <w:ilvl w:val="1"/>
          <w:numId w:val="18"/>
        </w:numPr>
        <w:rPr>
          <w:rFonts w:ascii="Verdana" w:hAnsi="Verdana" w:cs="Arial"/>
          <w:sz w:val="22"/>
          <w:szCs w:val="22"/>
        </w:rPr>
      </w:pPr>
      <w:bookmarkStart w:id="23" w:name="_Toc104529442"/>
      <w:r w:rsidRPr="00205C60">
        <w:rPr>
          <w:rFonts w:ascii="Verdana" w:hAnsi="Verdana" w:cs="Arial"/>
          <w:sz w:val="22"/>
          <w:szCs w:val="22"/>
        </w:rPr>
        <w:t>Propósito de las emisiones y destino de los recursos</w:t>
      </w:r>
      <w:bookmarkEnd w:id="23"/>
    </w:p>
    <w:p w14:paraId="3CA7E705" w14:textId="77777777" w:rsidR="00731454" w:rsidRPr="00205C60" w:rsidRDefault="00731454" w:rsidP="00F53144">
      <w:pPr>
        <w:jc w:val="both"/>
        <w:rPr>
          <w:rFonts w:ascii="Verdana" w:hAnsi="Verdana" w:cs="Arial"/>
          <w:sz w:val="22"/>
          <w:szCs w:val="22"/>
        </w:rPr>
      </w:pPr>
    </w:p>
    <w:p w14:paraId="3CA7E707" w14:textId="77777777" w:rsidR="00B44125" w:rsidRPr="00205C60" w:rsidRDefault="00731454" w:rsidP="00F53144">
      <w:pPr>
        <w:jc w:val="both"/>
        <w:rPr>
          <w:rFonts w:ascii="Verdana" w:hAnsi="Verdana" w:cs="Arial"/>
          <w:sz w:val="22"/>
          <w:szCs w:val="22"/>
        </w:rPr>
      </w:pPr>
      <w:r w:rsidRPr="00205C60">
        <w:rPr>
          <w:rFonts w:ascii="Verdana" w:hAnsi="Verdana" w:cs="Arial"/>
          <w:sz w:val="22"/>
          <w:szCs w:val="22"/>
        </w:rPr>
        <w:t>L</w:t>
      </w:r>
      <w:r w:rsidR="00B44125" w:rsidRPr="00205C60">
        <w:rPr>
          <w:rFonts w:ascii="Verdana" w:hAnsi="Verdana" w:cs="Arial"/>
          <w:sz w:val="22"/>
          <w:szCs w:val="22"/>
        </w:rPr>
        <w:t xml:space="preserve">a Compañía Nacional de Fuerza y Luz S.A. es la encargada del suministro de energía eléctrica en la Gran Área Metropolitana, zona en que se desarrolla una parte significativa de la actividad industrial y comercial más importante del país y se concentra gran parte de la población, atendiendo en la actualidad a más de </w:t>
      </w:r>
      <w:r w:rsidR="001921D6" w:rsidRPr="00205C60">
        <w:rPr>
          <w:rFonts w:ascii="Verdana" w:hAnsi="Verdana" w:cs="Arial"/>
          <w:sz w:val="22"/>
          <w:szCs w:val="22"/>
        </w:rPr>
        <w:t xml:space="preserve">quinientos mil </w:t>
      </w:r>
      <w:r w:rsidR="00B44125" w:rsidRPr="00205C60">
        <w:rPr>
          <w:rFonts w:ascii="Verdana" w:hAnsi="Verdana" w:cs="Arial"/>
          <w:sz w:val="22"/>
          <w:szCs w:val="22"/>
        </w:rPr>
        <w:t>abonados.</w:t>
      </w:r>
    </w:p>
    <w:p w14:paraId="3CA7E708" w14:textId="77777777" w:rsidR="00B44125" w:rsidRPr="00205C60" w:rsidRDefault="00B44125">
      <w:pPr>
        <w:ind w:left="360"/>
        <w:jc w:val="both"/>
        <w:rPr>
          <w:rFonts w:ascii="Verdana" w:hAnsi="Verdana" w:cs="Arial"/>
          <w:sz w:val="22"/>
          <w:szCs w:val="22"/>
        </w:rPr>
      </w:pPr>
    </w:p>
    <w:p w14:paraId="3CA7E709" w14:textId="187844DF" w:rsidR="00B44125" w:rsidRPr="00205C60" w:rsidRDefault="00B44125" w:rsidP="00F53144">
      <w:pPr>
        <w:jc w:val="both"/>
        <w:rPr>
          <w:rFonts w:ascii="Verdana" w:hAnsi="Verdana" w:cs="Arial"/>
          <w:sz w:val="22"/>
          <w:szCs w:val="22"/>
        </w:rPr>
      </w:pPr>
      <w:r w:rsidRPr="00205C60">
        <w:rPr>
          <w:rFonts w:ascii="Verdana" w:hAnsi="Verdana" w:cs="Arial"/>
          <w:sz w:val="22"/>
          <w:szCs w:val="22"/>
        </w:rPr>
        <w:lastRenderedPageBreak/>
        <w:t xml:space="preserve">La naturaleza misma del servicio eléctrico que se </w:t>
      </w:r>
      <w:r w:rsidR="005C2F67" w:rsidRPr="00205C60">
        <w:rPr>
          <w:rFonts w:ascii="Verdana" w:hAnsi="Verdana" w:cs="Arial"/>
          <w:sz w:val="22"/>
          <w:szCs w:val="22"/>
        </w:rPr>
        <w:t>brinda</w:t>
      </w:r>
      <w:r w:rsidRPr="00205C60">
        <w:rPr>
          <w:rFonts w:ascii="Verdana" w:hAnsi="Verdana" w:cs="Arial"/>
          <w:sz w:val="22"/>
          <w:szCs w:val="22"/>
        </w:rPr>
        <w:t xml:space="preserve"> exige a la Compañía realizar permanentemente obras de inversión, indispensables para garantizar a los clientes, oportunidad, calidad, eficiencia y continuidad en el servicio prestado.</w:t>
      </w:r>
    </w:p>
    <w:p w14:paraId="3CA7E70A" w14:textId="77777777" w:rsidR="00F53144" w:rsidRPr="00205C60" w:rsidRDefault="00F53144" w:rsidP="00F53144">
      <w:pPr>
        <w:jc w:val="both"/>
        <w:rPr>
          <w:rFonts w:ascii="Verdana" w:hAnsi="Verdana" w:cs="Arial"/>
          <w:sz w:val="22"/>
          <w:szCs w:val="22"/>
        </w:rPr>
      </w:pPr>
    </w:p>
    <w:p w14:paraId="3CA7E70B" w14:textId="77777777" w:rsidR="00B44125" w:rsidRPr="00205C60" w:rsidRDefault="00B44125" w:rsidP="00F53144">
      <w:pPr>
        <w:jc w:val="both"/>
        <w:rPr>
          <w:rFonts w:ascii="Verdana" w:hAnsi="Verdana" w:cs="Arial"/>
          <w:sz w:val="22"/>
          <w:szCs w:val="22"/>
        </w:rPr>
      </w:pPr>
      <w:r w:rsidRPr="00205C60">
        <w:rPr>
          <w:rFonts w:ascii="Verdana" w:hAnsi="Verdana" w:cs="Arial"/>
          <w:sz w:val="22"/>
          <w:szCs w:val="22"/>
        </w:rPr>
        <w:t>En un sistema eléctrico, las inversiones para el crecimiento, aumento de capacidad instalada, renovación de equipo e incorporación de tecnología reciente, deben ajustarse con oportunidad, adelantándose a las exigencias y necesidades de los clientes.</w:t>
      </w:r>
    </w:p>
    <w:p w14:paraId="3CA7E70C" w14:textId="77777777" w:rsidR="00B44125" w:rsidRPr="00205C60" w:rsidRDefault="00B44125">
      <w:pPr>
        <w:ind w:left="360"/>
        <w:jc w:val="both"/>
        <w:rPr>
          <w:rFonts w:ascii="Verdana" w:hAnsi="Verdana" w:cs="Arial"/>
          <w:sz w:val="22"/>
          <w:szCs w:val="22"/>
        </w:rPr>
      </w:pPr>
    </w:p>
    <w:p w14:paraId="3CA7E70D" w14:textId="77777777" w:rsidR="00B44125" w:rsidRPr="00205C60" w:rsidRDefault="00B44125" w:rsidP="00F53144">
      <w:pPr>
        <w:jc w:val="both"/>
        <w:rPr>
          <w:rFonts w:ascii="Verdana" w:hAnsi="Verdana" w:cs="Arial"/>
          <w:sz w:val="22"/>
          <w:szCs w:val="22"/>
        </w:rPr>
      </w:pPr>
      <w:r w:rsidRPr="00205C60">
        <w:rPr>
          <w:rFonts w:ascii="Verdana" w:hAnsi="Verdana" w:cs="Arial"/>
          <w:sz w:val="22"/>
          <w:szCs w:val="22"/>
        </w:rPr>
        <w:t xml:space="preserve">Dado que la ejecución de estas obras </w:t>
      </w:r>
      <w:r w:rsidR="00681F9E" w:rsidRPr="00205C60">
        <w:rPr>
          <w:rFonts w:ascii="Verdana" w:hAnsi="Verdana" w:cs="Arial"/>
          <w:sz w:val="22"/>
          <w:szCs w:val="22"/>
        </w:rPr>
        <w:t>es</w:t>
      </w:r>
      <w:r w:rsidRPr="00205C60">
        <w:rPr>
          <w:rFonts w:ascii="Verdana" w:hAnsi="Verdana" w:cs="Arial"/>
          <w:sz w:val="22"/>
          <w:szCs w:val="22"/>
        </w:rPr>
        <w:t xml:space="preserve"> </w:t>
      </w:r>
      <w:r w:rsidR="00681F9E" w:rsidRPr="00205C60">
        <w:rPr>
          <w:rFonts w:ascii="Verdana" w:hAnsi="Verdana" w:cs="Arial"/>
          <w:sz w:val="22"/>
          <w:szCs w:val="22"/>
        </w:rPr>
        <w:t>vital</w:t>
      </w:r>
      <w:r w:rsidRPr="00205C60">
        <w:rPr>
          <w:rFonts w:ascii="Verdana" w:hAnsi="Verdana" w:cs="Arial"/>
          <w:sz w:val="22"/>
          <w:szCs w:val="22"/>
        </w:rPr>
        <w:t xml:space="preserve"> para asegurar la oferta energética mediante el suministro del servicio eléctrico con calidad y así contribuir al desarrollo económico, ambiental y social del país, la Compañía recurr</w:t>
      </w:r>
      <w:r w:rsidR="008F29CE" w:rsidRPr="00205C60">
        <w:rPr>
          <w:rFonts w:ascii="Verdana" w:hAnsi="Verdana" w:cs="Arial"/>
          <w:sz w:val="22"/>
          <w:szCs w:val="22"/>
        </w:rPr>
        <w:t>ió</w:t>
      </w:r>
      <w:r w:rsidRPr="00205C60">
        <w:rPr>
          <w:rFonts w:ascii="Verdana" w:hAnsi="Verdana" w:cs="Arial"/>
          <w:sz w:val="22"/>
          <w:szCs w:val="22"/>
        </w:rPr>
        <w:t xml:space="preserve"> a la estructuración de </w:t>
      </w:r>
      <w:r w:rsidR="00F55964" w:rsidRPr="00205C60">
        <w:rPr>
          <w:rFonts w:ascii="Verdana" w:hAnsi="Verdana" w:cs="Arial"/>
          <w:sz w:val="22"/>
          <w:szCs w:val="22"/>
        </w:rPr>
        <w:t xml:space="preserve">un programa de emisiones </w:t>
      </w:r>
      <w:r w:rsidR="00065672" w:rsidRPr="00205C60">
        <w:rPr>
          <w:rFonts w:ascii="Verdana" w:hAnsi="Verdana" w:cs="Arial"/>
          <w:sz w:val="22"/>
          <w:szCs w:val="22"/>
        </w:rPr>
        <w:t xml:space="preserve">de bonos estandarizados </w:t>
      </w:r>
      <w:r w:rsidR="00F55964" w:rsidRPr="00205C60">
        <w:rPr>
          <w:rFonts w:ascii="Verdana" w:hAnsi="Verdana" w:cs="Arial"/>
          <w:sz w:val="22"/>
          <w:szCs w:val="22"/>
        </w:rPr>
        <w:t>po</w:t>
      </w:r>
      <w:r w:rsidR="0030261D" w:rsidRPr="00205C60">
        <w:rPr>
          <w:rFonts w:ascii="Verdana" w:hAnsi="Verdana" w:cs="Arial"/>
          <w:sz w:val="22"/>
          <w:szCs w:val="22"/>
        </w:rPr>
        <w:t>r la suma de USD 106.000.000,00 o su equivalente en colones.</w:t>
      </w:r>
    </w:p>
    <w:p w14:paraId="3CA7E70E" w14:textId="77777777" w:rsidR="009350DE" w:rsidRPr="00205C60" w:rsidRDefault="009350DE" w:rsidP="00EB3EF9">
      <w:pPr>
        <w:jc w:val="both"/>
        <w:rPr>
          <w:rFonts w:ascii="Verdana" w:hAnsi="Verdana" w:cs="Arial"/>
          <w:sz w:val="22"/>
          <w:szCs w:val="22"/>
        </w:rPr>
      </w:pPr>
    </w:p>
    <w:p w14:paraId="3CA7E70F" w14:textId="77777777" w:rsidR="009867A1" w:rsidRPr="00205C60" w:rsidRDefault="009867A1" w:rsidP="00EB3EF9">
      <w:pPr>
        <w:jc w:val="both"/>
        <w:rPr>
          <w:rFonts w:ascii="Verdana" w:hAnsi="Verdana" w:cs="Arial"/>
          <w:sz w:val="22"/>
          <w:szCs w:val="22"/>
        </w:rPr>
      </w:pPr>
    </w:p>
    <w:p w14:paraId="3CA7E710" w14:textId="77777777" w:rsidR="00B44125" w:rsidRPr="00205C60" w:rsidRDefault="004537E5" w:rsidP="00751C6A">
      <w:pPr>
        <w:rPr>
          <w:rFonts w:ascii="Verdana" w:hAnsi="Verdana" w:cs="Arial"/>
          <w:b/>
          <w:sz w:val="22"/>
          <w:szCs w:val="22"/>
        </w:rPr>
      </w:pPr>
      <w:bookmarkStart w:id="24" w:name="_Toc102455514"/>
      <w:r w:rsidRPr="00205C60">
        <w:rPr>
          <w:rFonts w:ascii="Verdana" w:hAnsi="Verdana" w:cs="Arial"/>
          <w:b/>
          <w:sz w:val="22"/>
          <w:szCs w:val="22"/>
        </w:rPr>
        <w:t>De las i</w:t>
      </w:r>
      <w:r w:rsidR="00B44125" w:rsidRPr="00205C60">
        <w:rPr>
          <w:rFonts w:ascii="Verdana" w:hAnsi="Verdana" w:cs="Arial"/>
          <w:b/>
          <w:sz w:val="22"/>
          <w:szCs w:val="22"/>
        </w:rPr>
        <w:t xml:space="preserve">nversiones a </w:t>
      </w:r>
      <w:r w:rsidR="00892771" w:rsidRPr="00205C60">
        <w:rPr>
          <w:rFonts w:ascii="Verdana" w:hAnsi="Verdana" w:cs="Arial"/>
          <w:b/>
          <w:sz w:val="22"/>
          <w:szCs w:val="22"/>
        </w:rPr>
        <w:t>f</w:t>
      </w:r>
      <w:r w:rsidR="00B44125" w:rsidRPr="00205C60">
        <w:rPr>
          <w:rFonts w:ascii="Verdana" w:hAnsi="Verdana" w:cs="Arial"/>
          <w:b/>
          <w:sz w:val="22"/>
          <w:szCs w:val="22"/>
        </w:rPr>
        <w:t>inanciar</w:t>
      </w:r>
      <w:bookmarkEnd w:id="24"/>
    </w:p>
    <w:p w14:paraId="3CA7E712" w14:textId="77777777" w:rsidR="003E6650" w:rsidRPr="00205C60" w:rsidRDefault="003E6650" w:rsidP="00751C6A">
      <w:pPr>
        <w:rPr>
          <w:rFonts w:ascii="Verdana" w:hAnsi="Verdana" w:cs="Arial"/>
          <w:b/>
          <w:sz w:val="22"/>
          <w:szCs w:val="22"/>
        </w:rPr>
      </w:pPr>
    </w:p>
    <w:p w14:paraId="3CA7E713" w14:textId="152F2BB2" w:rsidR="003F7E81" w:rsidRPr="00205C60" w:rsidRDefault="003F7E81" w:rsidP="005A7F14">
      <w:pPr>
        <w:jc w:val="both"/>
        <w:rPr>
          <w:rFonts w:ascii="Verdana" w:hAnsi="Verdana" w:cs="Arial"/>
          <w:sz w:val="22"/>
          <w:szCs w:val="22"/>
        </w:rPr>
      </w:pPr>
      <w:bookmarkStart w:id="25" w:name="_Toc64699208"/>
      <w:r w:rsidRPr="00205C60">
        <w:rPr>
          <w:rFonts w:ascii="Verdana" w:hAnsi="Verdana" w:cs="Arial"/>
          <w:sz w:val="22"/>
          <w:szCs w:val="22"/>
        </w:rPr>
        <w:t>Con el fin de contribuir a cubrir las necesidades de energía que requiere el país a mediano plazo; dentro del “Plan de Expansión de la Generación Eléctrica Período 2010-2021” elabo</w:t>
      </w:r>
      <w:r w:rsidR="00F51A1F" w:rsidRPr="00205C60">
        <w:rPr>
          <w:rFonts w:ascii="Verdana" w:hAnsi="Verdana" w:cs="Arial"/>
          <w:sz w:val="22"/>
          <w:szCs w:val="22"/>
        </w:rPr>
        <w:t>rado por el Centro Nacional de P</w:t>
      </w:r>
      <w:r w:rsidRPr="00205C60">
        <w:rPr>
          <w:rFonts w:ascii="Verdana" w:hAnsi="Verdana" w:cs="Arial"/>
          <w:sz w:val="22"/>
          <w:szCs w:val="22"/>
        </w:rPr>
        <w:t>lanificación Eléctrica – Proceso de Expansión Integrada del ICE, se contempl</w:t>
      </w:r>
      <w:r w:rsidR="00F51A1F" w:rsidRPr="00205C60">
        <w:rPr>
          <w:rFonts w:ascii="Verdana" w:hAnsi="Verdana" w:cs="Arial"/>
          <w:sz w:val="22"/>
          <w:szCs w:val="22"/>
        </w:rPr>
        <w:t>ó</w:t>
      </w:r>
      <w:r w:rsidRPr="00205C60">
        <w:rPr>
          <w:rFonts w:ascii="Verdana" w:hAnsi="Verdana" w:cs="Arial"/>
          <w:color w:val="C00000"/>
          <w:sz w:val="22"/>
          <w:szCs w:val="22"/>
        </w:rPr>
        <w:t xml:space="preserve"> </w:t>
      </w:r>
      <w:r w:rsidRPr="00205C60">
        <w:rPr>
          <w:rFonts w:ascii="Verdana" w:hAnsi="Verdana" w:cs="Arial"/>
          <w:sz w:val="22"/>
          <w:szCs w:val="22"/>
        </w:rPr>
        <w:t xml:space="preserve">el Proyecto Hidroeléctrico Balsa </w:t>
      </w:r>
      <w:r w:rsidR="00AC064B" w:rsidRPr="00205C60">
        <w:rPr>
          <w:rFonts w:ascii="Verdana" w:hAnsi="Verdana" w:cs="Arial"/>
          <w:sz w:val="22"/>
          <w:szCs w:val="22"/>
        </w:rPr>
        <w:t>Inferior como</w:t>
      </w:r>
      <w:r w:rsidRPr="00205C60">
        <w:rPr>
          <w:rFonts w:ascii="Verdana" w:hAnsi="Verdana" w:cs="Arial"/>
          <w:sz w:val="22"/>
          <w:szCs w:val="22"/>
        </w:rPr>
        <w:t xml:space="preserve"> uno de los proyectos que permitirá atender y mejorar la demanda de los clientes adscritos a su área de concesión. Este proyecto hidroeléctrico se encuentra ubicado en Santa Rita de Florencia, </w:t>
      </w:r>
      <w:r w:rsidR="00F51A1F" w:rsidRPr="00205C60">
        <w:rPr>
          <w:rFonts w:ascii="Verdana" w:hAnsi="Verdana" w:cs="Arial"/>
          <w:sz w:val="22"/>
          <w:szCs w:val="22"/>
        </w:rPr>
        <w:t>cantón de San Carlos, y</w:t>
      </w:r>
      <w:r w:rsidRPr="00205C60">
        <w:rPr>
          <w:rFonts w:ascii="Verdana" w:hAnsi="Verdana" w:cs="Arial"/>
          <w:sz w:val="22"/>
          <w:szCs w:val="22"/>
        </w:rPr>
        <w:t xml:space="preserve"> aprovech</w:t>
      </w:r>
      <w:r w:rsidR="00E507C6" w:rsidRPr="00205C60">
        <w:rPr>
          <w:rFonts w:ascii="Verdana" w:hAnsi="Verdana" w:cs="Arial"/>
          <w:sz w:val="22"/>
          <w:szCs w:val="22"/>
        </w:rPr>
        <w:t>ará</w:t>
      </w:r>
      <w:r w:rsidRPr="00205C60">
        <w:rPr>
          <w:rFonts w:ascii="Verdana" w:hAnsi="Verdana" w:cs="Arial"/>
          <w:sz w:val="22"/>
          <w:szCs w:val="22"/>
        </w:rPr>
        <w:t xml:space="preserve"> el potencial del caudal del Río Balsa para la generación de una potencia máxima de 37,5 MW y una producción media anual de </w:t>
      </w:r>
      <w:r w:rsidR="00F51A1F" w:rsidRPr="00205C60">
        <w:rPr>
          <w:rFonts w:ascii="Verdana" w:hAnsi="Verdana" w:cs="Arial"/>
          <w:sz w:val="22"/>
          <w:szCs w:val="22"/>
        </w:rPr>
        <w:t>112</w:t>
      </w:r>
      <w:r w:rsidR="003878BC" w:rsidRPr="00205C60">
        <w:rPr>
          <w:rFonts w:ascii="Verdana" w:hAnsi="Verdana" w:cs="Arial"/>
          <w:sz w:val="22"/>
          <w:szCs w:val="22"/>
        </w:rPr>
        <w:t>,8</w:t>
      </w:r>
      <w:r w:rsidRPr="00205C60">
        <w:rPr>
          <w:rFonts w:ascii="Verdana" w:hAnsi="Verdana" w:cs="Arial"/>
          <w:sz w:val="22"/>
          <w:szCs w:val="22"/>
        </w:rPr>
        <w:t xml:space="preserve"> GWh. </w:t>
      </w:r>
      <w:r w:rsidR="008571AE" w:rsidRPr="00205C60">
        <w:rPr>
          <w:rFonts w:ascii="Verdana" w:hAnsi="Verdana" w:cs="Arial"/>
          <w:sz w:val="22"/>
          <w:szCs w:val="22"/>
        </w:rPr>
        <w:t xml:space="preserve">Anteriormente por </w:t>
      </w:r>
      <w:r w:rsidR="006F161C" w:rsidRPr="00205C60">
        <w:rPr>
          <w:rFonts w:ascii="Verdana" w:hAnsi="Verdana" w:cs="Arial"/>
          <w:sz w:val="22"/>
          <w:szCs w:val="22"/>
        </w:rPr>
        <w:t xml:space="preserve">un error de </w:t>
      </w:r>
      <w:r w:rsidR="008571AE" w:rsidRPr="00205C60">
        <w:rPr>
          <w:rFonts w:ascii="Verdana" w:hAnsi="Verdana" w:cs="Arial"/>
          <w:sz w:val="22"/>
          <w:szCs w:val="22"/>
        </w:rPr>
        <w:t>omisión se había anotado 124 GWh/anual.</w:t>
      </w:r>
    </w:p>
    <w:p w14:paraId="3CA7E714" w14:textId="77777777" w:rsidR="004537E5" w:rsidRPr="00205C60" w:rsidRDefault="004537E5" w:rsidP="005A7F14">
      <w:pPr>
        <w:jc w:val="both"/>
        <w:rPr>
          <w:rFonts w:ascii="Verdana" w:hAnsi="Verdana" w:cs="Arial"/>
          <w:sz w:val="22"/>
          <w:szCs w:val="22"/>
        </w:rPr>
      </w:pPr>
    </w:p>
    <w:p w14:paraId="3CA7E715" w14:textId="5E7E2AAC" w:rsidR="005A7F14" w:rsidRPr="00205C60" w:rsidRDefault="005A7F14" w:rsidP="005A7F14">
      <w:pPr>
        <w:jc w:val="both"/>
        <w:rPr>
          <w:rFonts w:ascii="Verdana" w:hAnsi="Verdana" w:cs="Arial"/>
          <w:sz w:val="22"/>
          <w:szCs w:val="22"/>
        </w:rPr>
      </w:pPr>
      <w:r w:rsidRPr="00205C60">
        <w:rPr>
          <w:rFonts w:ascii="Verdana" w:hAnsi="Verdana" w:cs="Arial"/>
          <w:sz w:val="22"/>
          <w:szCs w:val="22"/>
        </w:rPr>
        <w:t xml:space="preserve">Para la construcción del proyecto se estableció que lo concerniente a túneles, caminos e infraestructura de construcción de aguas y trasiego de la energía producida, se </w:t>
      </w:r>
      <w:r w:rsidR="00AC064B" w:rsidRPr="00205C60">
        <w:rPr>
          <w:rFonts w:ascii="Verdana" w:hAnsi="Verdana" w:cs="Arial"/>
          <w:sz w:val="22"/>
          <w:szCs w:val="22"/>
        </w:rPr>
        <w:t>ejecutaría a</w:t>
      </w:r>
      <w:r w:rsidRPr="00205C60">
        <w:rPr>
          <w:rFonts w:ascii="Verdana" w:hAnsi="Verdana" w:cs="Arial"/>
          <w:sz w:val="22"/>
          <w:szCs w:val="22"/>
        </w:rPr>
        <w:t xml:space="preserve"> través de una contratación con el ICE y para el resto de las obras, sean, estructura de la casa de máquinas, suministro de equipamiento y construcción de la estructura de presa y obras de captación, se efectuaría un concurso público.</w:t>
      </w:r>
    </w:p>
    <w:p w14:paraId="3CA7E716" w14:textId="77777777" w:rsidR="005A7F14" w:rsidRPr="00205C60" w:rsidRDefault="005A7F14" w:rsidP="005A7F14">
      <w:pPr>
        <w:jc w:val="both"/>
        <w:rPr>
          <w:rFonts w:ascii="Verdana" w:hAnsi="Verdana" w:cs="Arial"/>
          <w:sz w:val="22"/>
          <w:szCs w:val="22"/>
        </w:rPr>
      </w:pPr>
    </w:p>
    <w:p w14:paraId="3CA7E717" w14:textId="77777777" w:rsidR="005A7F14" w:rsidRPr="00205C60" w:rsidRDefault="005A7F14" w:rsidP="005A7F14">
      <w:pPr>
        <w:jc w:val="both"/>
        <w:rPr>
          <w:rFonts w:ascii="Verdana" w:hAnsi="Verdana" w:cs="Arial"/>
          <w:sz w:val="22"/>
          <w:szCs w:val="22"/>
        </w:rPr>
      </w:pPr>
      <w:r w:rsidRPr="00205C60">
        <w:rPr>
          <w:rFonts w:ascii="Verdana" w:hAnsi="Verdana" w:cs="Arial"/>
          <w:sz w:val="22"/>
          <w:szCs w:val="22"/>
        </w:rPr>
        <w:t>El contrato con el ICE se financi</w:t>
      </w:r>
      <w:r w:rsidR="00A17B66" w:rsidRPr="00205C60">
        <w:rPr>
          <w:rFonts w:ascii="Verdana" w:hAnsi="Verdana" w:cs="Arial"/>
          <w:sz w:val="22"/>
          <w:szCs w:val="22"/>
        </w:rPr>
        <w:t>ó</w:t>
      </w:r>
      <w:r w:rsidRPr="00205C60">
        <w:rPr>
          <w:rFonts w:ascii="Verdana" w:hAnsi="Verdana" w:cs="Arial"/>
          <w:sz w:val="22"/>
          <w:szCs w:val="22"/>
        </w:rPr>
        <w:t xml:space="preserve"> medi</w:t>
      </w:r>
      <w:r w:rsidR="00650FD5" w:rsidRPr="00205C60">
        <w:rPr>
          <w:rFonts w:ascii="Verdana" w:hAnsi="Verdana" w:cs="Arial"/>
          <w:sz w:val="22"/>
          <w:szCs w:val="22"/>
        </w:rPr>
        <w:t xml:space="preserve">ante oferta pública de valores </w:t>
      </w:r>
      <w:r w:rsidRPr="00205C60">
        <w:rPr>
          <w:rFonts w:ascii="Verdana" w:hAnsi="Verdana" w:cs="Arial"/>
          <w:sz w:val="22"/>
          <w:szCs w:val="22"/>
        </w:rPr>
        <w:t xml:space="preserve">en el mercado </w:t>
      </w:r>
      <w:r w:rsidR="00650FD5" w:rsidRPr="00205C60">
        <w:rPr>
          <w:rFonts w:ascii="Verdana" w:hAnsi="Verdana" w:cs="Arial"/>
          <w:sz w:val="22"/>
          <w:szCs w:val="22"/>
        </w:rPr>
        <w:t xml:space="preserve">bursátil </w:t>
      </w:r>
      <w:r w:rsidRPr="00205C60">
        <w:rPr>
          <w:rFonts w:ascii="Verdana" w:hAnsi="Verdana" w:cs="Arial"/>
          <w:sz w:val="22"/>
          <w:szCs w:val="22"/>
        </w:rPr>
        <w:t xml:space="preserve">nacional </w:t>
      </w:r>
      <w:r w:rsidR="00650FD5" w:rsidRPr="00205C60">
        <w:rPr>
          <w:rFonts w:ascii="Verdana" w:hAnsi="Verdana" w:cs="Arial"/>
          <w:sz w:val="22"/>
          <w:szCs w:val="22"/>
        </w:rPr>
        <w:t xml:space="preserve">bajo un programa de bonos estandarizados en series hasta por la suma de USD 106.000.000,00 </w:t>
      </w:r>
      <w:r w:rsidRPr="00205C60">
        <w:rPr>
          <w:rFonts w:ascii="Verdana" w:hAnsi="Verdana" w:cs="Arial"/>
          <w:sz w:val="22"/>
          <w:szCs w:val="22"/>
        </w:rPr>
        <w:t>y las demás obras mediante financiamiento local o externo.</w:t>
      </w:r>
    </w:p>
    <w:p w14:paraId="3CA7E718" w14:textId="77777777" w:rsidR="005A7F14" w:rsidRPr="00205C60" w:rsidRDefault="005A7F14" w:rsidP="005A7F14">
      <w:pPr>
        <w:jc w:val="both"/>
        <w:rPr>
          <w:rFonts w:ascii="Verdana" w:hAnsi="Verdana" w:cs="Arial"/>
          <w:sz w:val="22"/>
          <w:szCs w:val="22"/>
        </w:rPr>
      </w:pPr>
    </w:p>
    <w:p w14:paraId="3CA7E719" w14:textId="650B611C" w:rsidR="005A7F14" w:rsidRPr="00205C60" w:rsidRDefault="005A7F14" w:rsidP="005A7F14">
      <w:pPr>
        <w:jc w:val="both"/>
        <w:rPr>
          <w:rFonts w:ascii="Verdana" w:hAnsi="Verdana" w:cs="Arial"/>
          <w:sz w:val="22"/>
          <w:szCs w:val="22"/>
        </w:rPr>
      </w:pPr>
      <w:r w:rsidRPr="00205C60">
        <w:rPr>
          <w:rFonts w:ascii="Verdana" w:hAnsi="Verdana" w:cs="Arial"/>
          <w:sz w:val="22"/>
          <w:szCs w:val="22"/>
        </w:rPr>
        <w:t xml:space="preserve">La orden de inicio para las obras contratadas con el </w:t>
      </w:r>
      <w:r w:rsidR="00AC064B" w:rsidRPr="00205C60">
        <w:rPr>
          <w:rFonts w:ascii="Verdana" w:hAnsi="Verdana" w:cs="Arial"/>
          <w:sz w:val="22"/>
          <w:szCs w:val="22"/>
        </w:rPr>
        <w:t>ICE</w:t>
      </w:r>
      <w:r w:rsidRPr="00205C60">
        <w:rPr>
          <w:rFonts w:ascii="Verdana" w:hAnsi="Verdana" w:cs="Arial"/>
          <w:sz w:val="22"/>
          <w:szCs w:val="22"/>
        </w:rPr>
        <w:t xml:space="preserve"> se dio </w:t>
      </w:r>
      <w:r w:rsidR="00D75036" w:rsidRPr="00205C60">
        <w:rPr>
          <w:rFonts w:ascii="Verdana" w:hAnsi="Verdana" w:cs="Arial"/>
          <w:sz w:val="22"/>
          <w:szCs w:val="22"/>
        </w:rPr>
        <w:t>a partir d</w:t>
      </w:r>
      <w:r w:rsidRPr="00205C60">
        <w:rPr>
          <w:rFonts w:ascii="Verdana" w:hAnsi="Verdana" w:cs="Arial"/>
          <w:sz w:val="22"/>
          <w:szCs w:val="22"/>
        </w:rPr>
        <w:t xml:space="preserve">el </w:t>
      </w:r>
      <w:r w:rsidR="00D75036" w:rsidRPr="00205C60">
        <w:rPr>
          <w:rFonts w:ascii="Verdana" w:hAnsi="Verdana" w:cs="Arial"/>
          <w:sz w:val="22"/>
          <w:szCs w:val="22"/>
        </w:rPr>
        <w:t xml:space="preserve">día </w:t>
      </w:r>
      <w:r w:rsidRPr="00205C60">
        <w:rPr>
          <w:rFonts w:ascii="Verdana" w:hAnsi="Verdana" w:cs="Arial"/>
          <w:sz w:val="22"/>
          <w:szCs w:val="22"/>
        </w:rPr>
        <w:t>5 de octubre del 2009. Para el resto de las obras requeridas, la CNFL promovió su adquisición mediante los concursos 2010PP-0015-PROV y 2010PP-0019-PROV, siendo acordada la adjudicación al Consorcio OAS-Engevix.</w:t>
      </w:r>
    </w:p>
    <w:p w14:paraId="3CA7E71A" w14:textId="77777777" w:rsidR="005A7F14" w:rsidRPr="00205C60" w:rsidRDefault="005A7F14" w:rsidP="005A7F14">
      <w:pPr>
        <w:jc w:val="both"/>
        <w:rPr>
          <w:rFonts w:ascii="Verdana" w:hAnsi="Verdana" w:cs="Arial"/>
          <w:color w:val="C00000"/>
          <w:sz w:val="22"/>
          <w:szCs w:val="22"/>
        </w:rPr>
      </w:pPr>
    </w:p>
    <w:p w14:paraId="3CA7E71B" w14:textId="77777777" w:rsidR="00C377DE" w:rsidRPr="00205C60" w:rsidRDefault="00E02647" w:rsidP="00E02647">
      <w:pPr>
        <w:jc w:val="both"/>
        <w:rPr>
          <w:rFonts w:ascii="Verdana" w:hAnsi="Verdana" w:cs="Arial"/>
          <w:sz w:val="22"/>
          <w:szCs w:val="22"/>
        </w:rPr>
      </w:pPr>
      <w:r w:rsidRPr="00205C60">
        <w:rPr>
          <w:rFonts w:ascii="Verdana" w:hAnsi="Verdana" w:cs="Arial"/>
          <w:sz w:val="22"/>
          <w:szCs w:val="22"/>
        </w:rPr>
        <w:t xml:space="preserve">El 21 de abril del 2015, se otorgó el certificado de aceptación final de las obras de casa de máquinas y toma/presa al Consorcio OAS-Engevix.  </w:t>
      </w:r>
    </w:p>
    <w:p w14:paraId="3CA7E71C" w14:textId="77777777" w:rsidR="00C377DE" w:rsidRPr="00205C60" w:rsidRDefault="00C377DE" w:rsidP="00E02647">
      <w:pPr>
        <w:jc w:val="both"/>
        <w:rPr>
          <w:rFonts w:ascii="Verdana" w:hAnsi="Verdana" w:cs="Arial"/>
          <w:sz w:val="22"/>
          <w:szCs w:val="22"/>
        </w:rPr>
      </w:pPr>
    </w:p>
    <w:p w14:paraId="3CA7E71D" w14:textId="77777777" w:rsidR="00E02647" w:rsidRPr="00205C60" w:rsidRDefault="00E02647" w:rsidP="00E02647">
      <w:pPr>
        <w:jc w:val="both"/>
        <w:rPr>
          <w:rFonts w:ascii="Verdana" w:hAnsi="Verdana" w:cs="Arial"/>
          <w:sz w:val="22"/>
          <w:szCs w:val="22"/>
        </w:rPr>
      </w:pPr>
      <w:r w:rsidRPr="00205C60">
        <w:rPr>
          <w:rFonts w:ascii="Verdana" w:hAnsi="Verdana" w:cs="Arial"/>
          <w:sz w:val="22"/>
          <w:szCs w:val="22"/>
        </w:rPr>
        <w:lastRenderedPageBreak/>
        <w:t>El 7 de mayo del 2015, se otorgó el certificado de aceptación final de la subestación elevadora 34,5/230 kV tipo Gis, contratada al citado Consorcio.</w:t>
      </w:r>
    </w:p>
    <w:p w14:paraId="3CA7E71E" w14:textId="77777777" w:rsidR="00E02647" w:rsidRPr="00205C60" w:rsidRDefault="00E02647" w:rsidP="00E02647">
      <w:pPr>
        <w:jc w:val="both"/>
        <w:rPr>
          <w:rFonts w:ascii="Verdana" w:hAnsi="Verdana" w:cs="Arial"/>
          <w:color w:val="C00000"/>
          <w:sz w:val="22"/>
          <w:szCs w:val="22"/>
        </w:rPr>
      </w:pPr>
    </w:p>
    <w:p w14:paraId="3CA7E71F" w14:textId="77777777" w:rsidR="00C377DE" w:rsidRPr="00205C60" w:rsidRDefault="00E02647" w:rsidP="00E02647">
      <w:pPr>
        <w:jc w:val="both"/>
        <w:rPr>
          <w:rFonts w:ascii="Verdana" w:hAnsi="Verdana" w:cs="Arial"/>
          <w:sz w:val="22"/>
          <w:szCs w:val="22"/>
        </w:rPr>
      </w:pPr>
      <w:r w:rsidRPr="00205C60">
        <w:rPr>
          <w:rFonts w:ascii="Verdana" w:hAnsi="Verdana" w:cs="Arial"/>
          <w:sz w:val="22"/>
          <w:szCs w:val="22"/>
        </w:rPr>
        <w:t>En junio del 2015 se llegó a establecer el finiqu</w:t>
      </w:r>
      <w:r w:rsidR="00C377DE" w:rsidRPr="00205C60">
        <w:rPr>
          <w:rFonts w:ascii="Verdana" w:hAnsi="Verdana" w:cs="Arial"/>
          <w:sz w:val="22"/>
          <w:szCs w:val="22"/>
        </w:rPr>
        <w:t xml:space="preserve">ito de obra con el Contratista y el </w:t>
      </w:r>
      <w:r w:rsidRPr="00205C60">
        <w:rPr>
          <w:rFonts w:ascii="Verdana" w:hAnsi="Verdana" w:cs="Arial"/>
          <w:sz w:val="22"/>
          <w:szCs w:val="22"/>
        </w:rPr>
        <w:t xml:space="preserve">proceso de cierre contractual fue finalizado el 22 de julio de 2015, cuando las partes firmaron el documento denominado “Finiquito contractual: Concurso de Adquisición N°2010PP-000015-Prov, Concurso de Adquisición N°2010PP-000019-Prov, Contratación Directa N° 2011PP-004979-ACL”. </w:t>
      </w:r>
    </w:p>
    <w:p w14:paraId="3CA7E720" w14:textId="77777777" w:rsidR="00C377DE" w:rsidRPr="00205C60" w:rsidRDefault="00C377DE" w:rsidP="00E02647">
      <w:pPr>
        <w:jc w:val="both"/>
        <w:rPr>
          <w:rFonts w:ascii="Verdana" w:hAnsi="Verdana" w:cs="Arial"/>
          <w:sz w:val="22"/>
          <w:szCs w:val="22"/>
        </w:rPr>
      </w:pPr>
    </w:p>
    <w:p w14:paraId="3CA7E721" w14:textId="77777777" w:rsidR="00E02647" w:rsidRPr="00205C60" w:rsidRDefault="00E02647" w:rsidP="00E02647">
      <w:pPr>
        <w:jc w:val="both"/>
        <w:rPr>
          <w:rFonts w:ascii="Verdana" w:hAnsi="Verdana" w:cs="Arial"/>
          <w:sz w:val="22"/>
          <w:szCs w:val="22"/>
        </w:rPr>
      </w:pPr>
      <w:r w:rsidRPr="00205C60">
        <w:rPr>
          <w:rFonts w:ascii="Verdana" w:hAnsi="Verdana" w:cs="Arial"/>
          <w:sz w:val="22"/>
          <w:szCs w:val="22"/>
        </w:rPr>
        <w:t>Con el contrato suscrito con el ICE se completaron las actividades tendientes al cierre contractual, suscribiéndose el finiquito de aceptación definitiva del servicio y finiquito ICE- PHBI, el 30 de setiembre de 2016.</w:t>
      </w:r>
    </w:p>
    <w:p w14:paraId="3CA7E722" w14:textId="77777777" w:rsidR="00E02647" w:rsidRPr="00205C60" w:rsidRDefault="00E02647" w:rsidP="003F7E81">
      <w:pPr>
        <w:jc w:val="both"/>
        <w:rPr>
          <w:rFonts w:ascii="Verdana" w:hAnsi="Verdana" w:cs="Arial"/>
          <w:sz w:val="22"/>
          <w:szCs w:val="22"/>
        </w:rPr>
      </w:pPr>
    </w:p>
    <w:p w14:paraId="3CA7E723" w14:textId="77777777" w:rsidR="001D3239" w:rsidRPr="00205C60" w:rsidRDefault="001D3239" w:rsidP="003F7E81">
      <w:pPr>
        <w:jc w:val="both"/>
        <w:rPr>
          <w:rFonts w:ascii="Verdana" w:hAnsi="Verdana" w:cs="Arial"/>
          <w:sz w:val="22"/>
          <w:szCs w:val="22"/>
        </w:rPr>
      </w:pPr>
      <w:r w:rsidRPr="00205C60">
        <w:rPr>
          <w:rFonts w:ascii="Verdana" w:hAnsi="Verdana" w:cs="Arial"/>
          <w:sz w:val="22"/>
          <w:szCs w:val="22"/>
        </w:rPr>
        <w:t xml:space="preserve">Con la entrada en operación de la planta, se cuenta con una mayor cantidad de generación de energía propia, se ahorra en compras de energía y se reduce el impacto negativo en el flujo de caja, permitiendo contar con recursos para la atención </w:t>
      </w:r>
      <w:r w:rsidR="00145D21" w:rsidRPr="00205C60">
        <w:rPr>
          <w:rFonts w:ascii="Verdana" w:hAnsi="Verdana" w:cs="Arial"/>
          <w:sz w:val="22"/>
          <w:szCs w:val="22"/>
        </w:rPr>
        <w:t xml:space="preserve">de la actividad ordinaria </w:t>
      </w:r>
      <w:r w:rsidRPr="00205C60">
        <w:rPr>
          <w:rFonts w:ascii="Verdana" w:hAnsi="Verdana" w:cs="Arial"/>
          <w:sz w:val="22"/>
          <w:szCs w:val="22"/>
        </w:rPr>
        <w:t>de la Compañía y el servicio de la deuda.</w:t>
      </w:r>
    </w:p>
    <w:p w14:paraId="3CA7E724" w14:textId="77777777" w:rsidR="00CD2E3D" w:rsidRPr="00205C60" w:rsidRDefault="00CD2E3D" w:rsidP="003F7E81">
      <w:pPr>
        <w:jc w:val="both"/>
        <w:rPr>
          <w:rFonts w:ascii="Verdana" w:hAnsi="Verdana" w:cs="Arial"/>
          <w:sz w:val="22"/>
          <w:szCs w:val="22"/>
        </w:rPr>
      </w:pPr>
    </w:p>
    <w:bookmarkEnd w:id="25"/>
    <w:p w14:paraId="3CA7E725" w14:textId="77777777" w:rsidR="009867A1" w:rsidRPr="00205C60" w:rsidRDefault="009867A1" w:rsidP="00A97F73">
      <w:pPr>
        <w:jc w:val="both"/>
        <w:rPr>
          <w:rFonts w:ascii="Verdana" w:hAnsi="Verdana" w:cs="Arial"/>
          <w:sz w:val="22"/>
          <w:szCs w:val="22"/>
        </w:rPr>
      </w:pPr>
    </w:p>
    <w:p w14:paraId="3CA7E726" w14:textId="77777777" w:rsidR="003F06E9" w:rsidRPr="00205C60" w:rsidRDefault="003F06E9" w:rsidP="00882F32">
      <w:pPr>
        <w:pStyle w:val="Ttulo2"/>
        <w:numPr>
          <w:ilvl w:val="1"/>
          <w:numId w:val="18"/>
        </w:numPr>
        <w:rPr>
          <w:rFonts w:ascii="Verdana" w:hAnsi="Verdana" w:cs="Arial"/>
          <w:sz w:val="22"/>
          <w:szCs w:val="22"/>
        </w:rPr>
      </w:pPr>
      <w:bookmarkStart w:id="26" w:name="_Toc104529443"/>
      <w:r w:rsidRPr="00205C60">
        <w:rPr>
          <w:rFonts w:ascii="Verdana" w:hAnsi="Verdana" w:cs="Arial"/>
          <w:sz w:val="22"/>
          <w:szCs w:val="22"/>
        </w:rPr>
        <w:t>Mecanismos de representación</w:t>
      </w:r>
      <w:bookmarkEnd w:id="26"/>
    </w:p>
    <w:p w14:paraId="3CA7E727" w14:textId="77777777" w:rsidR="009867A1" w:rsidRPr="00205C60" w:rsidRDefault="009867A1" w:rsidP="00FB1278">
      <w:pPr>
        <w:jc w:val="both"/>
        <w:rPr>
          <w:rFonts w:ascii="Verdana" w:hAnsi="Verdana" w:cs="Arial"/>
          <w:sz w:val="22"/>
          <w:szCs w:val="22"/>
        </w:rPr>
      </w:pPr>
    </w:p>
    <w:p w14:paraId="3CA7E728" w14:textId="77777777" w:rsidR="00F56B1D" w:rsidRPr="00205C60" w:rsidRDefault="00F56B1D" w:rsidP="00FB1278">
      <w:pPr>
        <w:jc w:val="both"/>
        <w:rPr>
          <w:rFonts w:ascii="Verdana" w:hAnsi="Verdana" w:cs="Arial"/>
          <w:sz w:val="22"/>
          <w:szCs w:val="22"/>
        </w:rPr>
      </w:pPr>
      <w:r w:rsidRPr="00205C60">
        <w:rPr>
          <w:rFonts w:ascii="Verdana" w:hAnsi="Verdana" w:cs="Arial"/>
          <w:sz w:val="22"/>
          <w:szCs w:val="22"/>
        </w:rPr>
        <w:t>Por medio de</w:t>
      </w:r>
      <w:r w:rsidR="004C5043" w:rsidRPr="00205C60">
        <w:rPr>
          <w:rFonts w:ascii="Verdana" w:hAnsi="Verdana" w:cs="Arial"/>
          <w:sz w:val="22"/>
          <w:szCs w:val="22"/>
        </w:rPr>
        <w:t xml:space="preserve">l servicio de administración de la anotación electrónica en cuenta del Sistema Nacional de Registro de Anotaciones en Cuenta administrado por el Banco Central de Costa Rica mediante el Sistema de Anotación en Cuenta (SAC). </w:t>
      </w:r>
    </w:p>
    <w:p w14:paraId="3CA7E729" w14:textId="77777777" w:rsidR="00212857" w:rsidRPr="00205C60" w:rsidRDefault="00212857" w:rsidP="00FB1278">
      <w:pPr>
        <w:jc w:val="both"/>
        <w:rPr>
          <w:rFonts w:ascii="Verdana" w:hAnsi="Verdana" w:cs="Arial"/>
          <w:sz w:val="22"/>
          <w:szCs w:val="22"/>
        </w:rPr>
      </w:pPr>
    </w:p>
    <w:p w14:paraId="3CA7E72A" w14:textId="77777777" w:rsidR="00212857" w:rsidRPr="00205C60" w:rsidRDefault="00212857" w:rsidP="00FB1278">
      <w:pPr>
        <w:jc w:val="both"/>
        <w:rPr>
          <w:rFonts w:ascii="Verdana" w:hAnsi="Verdana" w:cs="Arial"/>
          <w:sz w:val="22"/>
          <w:szCs w:val="22"/>
        </w:rPr>
      </w:pPr>
    </w:p>
    <w:p w14:paraId="3CA7E72B" w14:textId="77777777" w:rsidR="00AD3EC5" w:rsidRPr="00205C60" w:rsidRDefault="00AD3EC5" w:rsidP="00882F32">
      <w:pPr>
        <w:pStyle w:val="Ttulo2"/>
        <w:numPr>
          <w:ilvl w:val="1"/>
          <w:numId w:val="18"/>
        </w:numPr>
        <w:rPr>
          <w:rFonts w:ascii="Verdana" w:hAnsi="Verdana" w:cs="Arial"/>
          <w:sz w:val="22"/>
          <w:szCs w:val="22"/>
        </w:rPr>
      </w:pPr>
      <w:bookmarkStart w:id="27" w:name="_Toc104529444"/>
      <w:r w:rsidRPr="00205C60">
        <w:rPr>
          <w:rFonts w:ascii="Verdana" w:hAnsi="Verdana" w:cs="Arial"/>
          <w:sz w:val="22"/>
          <w:szCs w:val="22"/>
        </w:rPr>
        <w:t>Garantía</w:t>
      </w:r>
      <w:bookmarkEnd w:id="27"/>
    </w:p>
    <w:p w14:paraId="3CA7E72C" w14:textId="77777777" w:rsidR="00731454" w:rsidRPr="00205C60" w:rsidRDefault="00731454" w:rsidP="00F53144">
      <w:pPr>
        <w:jc w:val="both"/>
        <w:rPr>
          <w:rFonts w:ascii="Verdana" w:hAnsi="Verdana" w:cs="Arial"/>
          <w:sz w:val="22"/>
          <w:szCs w:val="22"/>
        </w:rPr>
      </w:pPr>
    </w:p>
    <w:p w14:paraId="3CA7E72D" w14:textId="77777777" w:rsidR="00892771" w:rsidRPr="00205C60" w:rsidRDefault="00AD3EC5" w:rsidP="00B00D2F">
      <w:pPr>
        <w:jc w:val="both"/>
        <w:rPr>
          <w:rFonts w:ascii="Verdana" w:hAnsi="Verdana" w:cs="Arial"/>
          <w:sz w:val="22"/>
          <w:szCs w:val="22"/>
        </w:rPr>
      </w:pPr>
      <w:r w:rsidRPr="00205C60">
        <w:rPr>
          <w:rFonts w:ascii="Verdana" w:hAnsi="Verdana" w:cs="Arial"/>
          <w:sz w:val="22"/>
          <w:szCs w:val="22"/>
        </w:rPr>
        <w:t>El Programa de Emisiones de Bonos Serie B, cuenta con el respaldo que los activos de la CNFL brindan a sus pasivos, debiendo aclarar que las emisiones del programa no cuentan con una garantía específica.</w:t>
      </w:r>
    </w:p>
    <w:p w14:paraId="3CA7E72E" w14:textId="77777777" w:rsidR="00151F87" w:rsidRPr="00205C60" w:rsidRDefault="00151F87" w:rsidP="00B00D2F">
      <w:pPr>
        <w:jc w:val="both"/>
        <w:rPr>
          <w:rFonts w:ascii="Verdana" w:hAnsi="Verdana" w:cs="Arial"/>
          <w:sz w:val="22"/>
          <w:szCs w:val="22"/>
        </w:rPr>
      </w:pPr>
    </w:p>
    <w:p w14:paraId="3CA7E72F" w14:textId="77777777" w:rsidR="0050477A" w:rsidRPr="00205C60" w:rsidRDefault="0050477A">
      <w:pPr>
        <w:ind w:left="360"/>
        <w:jc w:val="both"/>
        <w:rPr>
          <w:rFonts w:ascii="Verdana" w:hAnsi="Verdana" w:cs="Arial"/>
          <w:sz w:val="22"/>
          <w:szCs w:val="22"/>
        </w:rPr>
      </w:pPr>
    </w:p>
    <w:p w14:paraId="3CA7E730" w14:textId="77777777" w:rsidR="003F06E9" w:rsidRPr="00205C60" w:rsidRDefault="003F06E9" w:rsidP="00882F32">
      <w:pPr>
        <w:pStyle w:val="Ttulo2"/>
        <w:numPr>
          <w:ilvl w:val="1"/>
          <w:numId w:val="18"/>
        </w:numPr>
        <w:rPr>
          <w:rFonts w:ascii="Verdana" w:hAnsi="Verdana" w:cs="Arial"/>
          <w:sz w:val="22"/>
          <w:szCs w:val="22"/>
        </w:rPr>
      </w:pPr>
      <w:bookmarkStart w:id="28" w:name="_Toc104529445"/>
      <w:r w:rsidRPr="00205C60">
        <w:rPr>
          <w:rFonts w:ascii="Verdana" w:hAnsi="Verdana" w:cs="Arial"/>
          <w:sz w:val="22"/>
          <w:szCs w:val="22"/>
        </w:rPr>
        <w:t>Tratamiento tributario</w:t>
      </w:r>
      <w:bookmarkEnd w:id="28"/>
    </w:p>
    <w:p w14:paraId="3CA7E731" w14:textId="77777777" w:rsidR="00DB5038" w:rsidRPr="00205C60" w:rsidRDefault="00DB5038" w:rsidP="00F53144">
      <w:pPr>
        <w:jc w:val="both"/>
        <w:rPr>
          <w:rFonts w:ascii="Verdana" w:hAnsi="Verdana" w:cs="Arial"/>
          <w:sz w:val="22"/>
          <w:szCs w:val="22"/>
        </w:rPr>
      </w:pPr>
    </w:p>
    <w:p w14:paraId="3CA7E732" w14:textId="3630EB3E" w:rsidR="009867A1" w:rsidRPr="00205C60" w:rsidRDefault="000A61BC" w:rsidP="00F53144">
      <w:pPr>
        <w:jc w:val="both"/>
        <w:rPr>
          <w:rFonts w:ascii="Verdana" w:hAnsi="Verdana" w:cs="Arial"/>
          <w:sz w:val="22"/>
          <w:szCs w:val="22"/>
        </w:rPr>
      </w:pPr>
      <w:r w:rsidRPr="00205C60">
        <w:rPr>
          <w:rFonts w:ascii="Verdana" w:hAnsi="Verdana" w:cs="Arial"/>
          <w:sz w:val="22"/>
          <w:szCs w:val="22"/>
        </w:rPr>
        <w:t xml:space="preserve">El tratamiento tributario de las emisiones se encuentra sujeto al ordenamiento jurídico costarricense, de conformidad con lo dispuesto en la Ley Nº 7092, Ley del Impuesto sobre la Renta, reformada por la Ley Nº 9635 “Fortalecimiento de las Finanzas Públicas”, la cual </w:t>
      </w:r>
      <w:r w:rsidR="00CF590A" w:rsidRPr="00205C60">
        <w:rPr>
          <w:rFonts w:ascii="Verdana" w:hAnsi="Verdana" w:cs="Arial"/>
          <w:sz w:val="22"/>
          <w:szCs w:val="22"/>
        </w:rPr>
        <w:t>entrará en vigor</w:t>
      </w:r>
      <w:r w:rsidRPr="00205C60">
        <w:rPr>
          <w:rFonts w:ascii="Verdana" w:hAnsi="Verdana" w:cs="Arial"/>
          <w:sz w:val="22"/>
          <w:szCs w:val="22"/>
        </w:rPr>
        <w:t xml:space="preserve"> el 1º de julio del 2019.  El emisor es responsable de </w:t>
      </w:r>
      <w:r w:rsidR="00466035" w:rsidRPr="00205C60">
        <w:rPr>
          <w:rFonts w:ascii="Verdana" w:hAnsi="Verdana" w:cs="Arial"/>
          <w:sz w:val="22"/>
          <w:szCs w:val="22"/>
        </w:rPr>
        <w:t xml:space="preserve">proceder de </w:t>
      </w:r>
      <w:r w:rsidRPr="00205C60">
        <w:rPr>
          <w:rFonts w:ascii="Verdana" w:hAnsi="Verdana" w:cs="Arial"/>
          <w:sz w:val="22"/>
          <w:szCs w:val="22"/>
        </w:rPr>
        <w:t xml:space="preserve">conformidad con </w:t>
      </w:r>
      <w:r w:rsidR="00CF590A" w:rsidRPr="00205C60">
        <w:rPr>
          <w:rFonts w:ascii="Verdana" w:hAnsi="Verdana" w:cs="Arial"/>
          <w:sz w:val="22"/>
          <w:szCs w:val="22"/>
        </w:rPr>
        <w:t>ese</w:t>
      </w:r>
      <w:r w:rsidRPr="00205C60">
        <w:rPr>
          <w:rFonts w:ascii="Verdana" w:hAnsi="Verdana" w:cs="Arial"/>
          <w:sz w:val="22"/>
          <w:szCs w:val="22"/>
        </w:rPr>
        <w:t xml:space="preserve"> ámbito normativo. Es responsabilidad del adquiriente de los valores verificar el tratamiento tributario aplicable a su caso particular de conformidad con lo establecido en la Ley Nº 7092, Ley de Impuesto sobre la Renta y su Reglamento.  Si la emisión es colocada fuera del territorio costarricense, el inversionista es responsable de verificar el tratamiento tributario aplicable en la jurisdicción donde lo adquiera.  Las modificaciones futuras en la tasa impositiva serán asumidas directamente por los inversionistas, todo de conformidad con el marco legal vigente.</w:t>
      </w:r>
    </w:p>
    <w:p w14:paraId="3CA7E733" w14:textId="1E2A1826" w:rsidR="000A61BC" w:rsidRPr="00205C60" w:rsidRDefault="000A61BC" w:rsidP="00F53144">
      <w:pPr>
        <w:jc w:val="both"/>
        <w:rPr>
          <w:rFonts w:ascii="Verdana" w:hAnsi="Verdana" w:cs="Arial"/>
          <w:sz w:val="22"/>
          <w:szCs w:val="22"/>
        </w:rPr>
      </w:pPr>
    </w:p>
    <w:p w14:paraId="4FED2BAA" w14:textId="204334F1" w:rsidR="003E1171" w:rsidRPr="00205C60" w:rsidRDefault="003E1171" w:rsidP="00F53144">
      <w:pPr>
        <w:jc w:val="both"/>
        <w:rPr>
          <w:rFonts w:ascii="Verdana" w:hAnsi="Verdana" w:cs="Arial"/>
          <w:sz w:val="22"/>
          <w:szCs w:val="22"/>
        </w:rPr>
      </w:pPr>
    </w:p>
    <w:p w14:paraId="4D52B553" w14:textId="79031EB2" w:rsidR="003E1171" w:rsidRPr="00205C60" w:rsidRDefault="003E1171" w:rsidP="00F53144">
      <w:pPr>
        <w:jc w:val="both"/>
        <w:rPr>
          <w:rFonts w:ascii="Verdana" w:hAnsi="Verdana" w:cs="Arial"/>
          <w:sz w:val="22"/>
          <w:szCs w:val="22"/>
        </w:rPr>
      </w:pPr>
    </w:p>
    <w:p w14:paraId="3CA7E734" w14:textId="4D8691B4" w:rsidR="000A61BC" w:rsidRPr="00205C60" w:rsidRDefault="000A61BC" w:rsidP="00F53144">
      <w:pPr>
        <w:jc w:val="both"/>
        <w:rPr>
          <w:rFonts w:ascii="Verdana" w:hAnsi="Verdana" w:cs="Arial"/>
          <w:sz w:val="22"/>
          <w:szCs w:val="22"/>
        </w:rPr>
      </w:pPr>
    </w:p>
    <w:p w14:paraId="3E908D31" w14:textId="4A8572BB" w:rsidR="0078084D" w:rsidRPr="00205C60" w:rsidRDefault="0078084D" w:rsidP="00F53144">
      <w:pPr>
        <w:jc w:val="both"/>
        <w:rPr>
          <w:rFonts w:ascii="Verdana" w:hAnsi="Verdana" w:cs="Arial"/>
          <w:sz w:val="22"/>
          <w:szCs w:val="22"/>
        </w:rPr>
      </w:pPr>
    </w:p>
    <w:p w14:paraId="7C8F5948" w14:textId="77777777" w:rsidR="0078084D" w:rsidRPr="00205C60" w:rsidRDefault="0078084D" w:rsidP="00F53144">
      <w:pPr>
        <w:jc w:val="both"/>
        <w:rPr>
          <w:rFonts w:ascii="Verdana" w:hAnsi="Verdana" w:cs="Arial"/>
          <w:sz w:val="22"/>
          <w:szCs w:val="22"/>
        </w:rPr>
      </w:pPr>
    </w:p>
    <w:p w14:paraId="3CA7E735" w14:textId="77777777" w:rsidR="003F06E9" w:rsidRPr="00205C60" w:rsidRDefault="003F06E9" w:rsidP="00882F32">
      <w:pPr>
        <w:pStyle w:val="Ttulo2"/>
        <w:numPr>
          <w:ilvl w:val="1"/>
          <w:numId w:val="18"/>
        </w:numPr>
        <w:tabs>
          <w:tab w:val="clear" w:pos="1241"/>
          <w:tab w:val="left" w:pos="993"/>
        </w:tabs>
        <w:spacing w:line="120" w:lineRule="atLeast"/>
        <w:ind w:left="788" w:right="142" w:hanging="431"/>
        <w:rPr>
          <w:rFonts w:ascii="Verdana" w:hAnsi="Verdana" w:cs="Arial"/>
          <w:sz w:val="22"/>
          <w:szCs w:val="22"/>
        </w:rPr>
      </w:pPr>
      <w:bookmarkStart w:id="29" w:name="_Toc104529446"/>
      <w:r w:rsidRPr="00205C60">
        <w:rPr>
          <w:rFonts w:ascii="Verdana" w:hAnsi="Verdana" w:cs="Arial"/>
          <w:sz w:val="22"/>
          <w:szCs w:val="22"/>
        </w:rPr>
        <w:t>Esquema de pago</w:t>
      </w:r>
      <w:bookmarkEnd w:id="29"/>
    </w:p>
    <w:p w14:paraId="3CA7E736" w14:textId="77777777" w:rsidR="00731454" w:rsidRPr="00205C60" w:rsidRDefault="00731454">
      <w:pPr>
        <w:jc w:val="both"/>
        <w:rPr>
          <w:rFonts w:ascii="Verdana" w:hAnsi="Verdana" w:cs="Arial"/>
          <w:sz w:val="22"/>
          <w:szCs w:val="22"/>
        </w:rPr>
      </w:pPr>
    </w:p>
    <w:p w14:paraId="3CA7E737" w14:textId="06EC6875" w:rsidR="00A53B6F" w:rsidRPr="00205C60" w:rsidRDefault="004C5043">
      <w:pPr>
        <w:jc w:val="both"/>
        <w:rPr>
          <w:rFonts w:ascii="Verdana" w:hAnsi="Verdana" w:cs="Arial"/>
          <w:sz w:val="22"/>
          <w:szCs w:val="22"/>
        </w:rPr>
      </w:pPr>
      <w:r w:rsidRPr="00205C60">
        <w:rPr>
          <w:rFonts w:ascii="Verdana" w:hAnsi="Verdana" w:cs="Arial"/>
          <w:sz w:val="22"/>
          <w:szCs w:val="22"/>
        </w:rPr>
        <w:t xml:space="preserve">El Banco Central de Costa Rica mediante el sistema SAC </w:t>
      </w:r>
      <w:r w:rsidR="004D4C71" w:rsidRPr="00205C60">
        <w:rPr>
          <w:rFonts w:ascii="Verdana" w:hAnsi="Verdana" w:cs="Arial"/>
          <w:sz w:val="22"/>
          <w:szCs w:val="22"/>
        </w:rPr>
        <w:t xml:space="preserve">brindará el servicio de pago de intereses y/o rendimientos, así como el servicio de pago de la redención del principal, para lo cual la CNFL, S.A. se obliga a hacer la provisión de fondos con la </w:t>
      </w:r>
      <w:r w:rsidR="00920E91" w:rsidRPr="00205C60">
        <w:rPr>
          <w:rFonts w:ascii="Verdana" w:hAnsi="Verdana" w:cs="Arial"/>
          <w:sz w:val="22"/>
          <w:szCs w:val="22"/>
        </w:rPr>
        <w:t>antelación y</w:t>
      </w:r>
      <w:r w:rsidR="0058157A" w:rsidRPr="00205C60">
        <w:rPr>
          <w:rFonts w:ascii="Verdana" w:hAnsi="Verdana" w:cs="Arial"/>
          <w:sz w:val="22"/>
          <w:szCs w:val="22"/>
        </w:rPr>
        <w:t xml:space="preserve"> por el medio que det</w:t>
      </w:r>
      <w:r w:rsidR="00925E1F" w:rsidRPr="00205C60">
        <w:rPr>
          <w:rFonts w:ascii="Verdana" w:hAnsi="Verdana" w:cs="Arial"/>
          <w:sz w:val="22"/>
          <w:szCs w:val="22"/>
        </w:rPr>
        <w:t xml:space="preserve">ermine </w:t>
      </w:r>
      <w:r w:rsidRPr="00205C60">
        <w:rPr>
          <w:rFonts w:ascii="Verdana" w:hAnsi="Verdana" w:cs="Arial"/>
          <w:sz w:val="22"/>
          <w:szCs w:val="22"/>
        </w:rPr>
        <w:t>el Banco Central de Costa Rica</w:t>
      </w:r>
      <w:r w:rsidR="00925E1F" w:rsidRPr="00205C60">
        <w:rPr>
          <w:rFonts w:ascii="Verdana" w:hAnsi="Verdana" w:cs="Arial"/>
          <w:sz w:val="22"/>
          <w:szCs w:val="22"/>
        </w:rPr>
        <w:t xml:space="preserve">. </w:t>
      </w:r>
      <w:r w:rsidR="0058157A" w:rsidRPr="00205C60">
        <w:rPr>
          <w:rFonts w:ascii="Verdana" w:hAnsi="Verdana" w:cs="Arial"/>
          <w:sz w:val="22"/>
          <w:szCs w:val="22"/>
        </w:rPr>
        <w:t xml:space="preserve">Una vez comprobado por </w:t>
      </w:r>
      <w:r w:rsidRPr="00205C60">
        <w:rPr>
          <w:rFonts w:ascii="Verdana" w:hAnsi="Verdana" w:cs="Arial"/>
          <w:sz w:val="22"/>
          <w:szCs w:val="22"/>
        </w:rPr>
        <w:t xml:space="preserve">el BCCR </w:t>
      </w:r>
      <w:r w:rsidR="0058157A" w:rsidRPr="00205C60">
        <w:rPr>
          <w:rFonts w:ascii="Verdana" w:hAnsi="Verdana" w:cs="Arial"/>
          <w:sz w:val="22"/>
          <w:szCs w:val="22"/>
        </w:rPr>
        <w:t xml:space="preserve">la existencia de los fondos, contra estos procederá a realizar las transferencias a las cuentas de los </w:t>
      </w:r>
      <w:r w:rsidRPr="00205C60">
        <w:rPr>
          <w:rFonts w:ascii="Verdana" w:hAnsi="Verdana" w:cs="Arial"/>
          <w:sz w:val="22"/>
          <w:szCs w:val="22"/>
        </w:rPr>
        <w:t>c</w:t>
      </w:r>
      <w:r w:rsidR="0058157A" w:rsidRPr="00205C60">
        <w:rPr>
          <w:rFonts w:ascii="Verdana" w:hAnsi="Verdana" w:cs="Arial"/>
          <w:sz w:val="22"/>
          <w:szCs w:val="22"/>
        </w:rPr>
        <w:t>ustodios que los inversionistas hubiesen designado.</w:t>
      </w:r>
    </w:p>
    <w:p w14:paraId="3CA7E739" w14:textId="1CB7C967" w:rsidR="00FA6D04" w:rsidRPr="00205C60" w:rsidRDefault="00140568" w:rsidP="003D727A">
      <w:pPr>
        <w:tabs>
          <w:tab w:val="left" w:pos="3015"/>
        </w:tabs>
        <w:jc w:val="both"/>
        <w:rPr>
          <w:rFonts w:ascii="Verdana" w:hAnsi="Verdana" w:cs="Arial"/>
          <w:sz w:val="22"/>
          <w:szCs w:val="22"/>
        </w:rPr>
      </w:pPr>
      <w:r w:rsidRPr="00205C60">
        <w:rPr>
          <w:rFonts w:ascii="Verdana" w:hAnsi="Verdana" w:cs="Arial"/>
          <w:sz w:val="22"/>
          <w:szCs w:val="22"/>
        </w:rPr>
        <w:tab/>
      </w:r>
    </w:p>
    <w:p w14:paraId="3CA7E73A" w14:textId="77777777" w:rsidR="00AD3EC5" w:rsidRPr="00205C60" w:rsidRDefault="00AD3EC5" w:rsidP="00882F32">
      <w:pPr>
        <w:pStyle w:val="Ttulo2"/>
        <w:numPr>
          <w:ilvl w:val="1"/>
          <w:numId w:val="18"/>
        </w:numPr>
        <w:tabs>
          <w:tab w:val="clear" w:pos="1241"/>
          <w:tab w:val="left" w:pos="993"/>
        </w:tabs>
        <w:spacing w:line="120" w:lineRule="atLeast"/>
        <w:ind w:left="788" w:right="142" w:hanging="431"/>
        <w:rPr>
          <w:rFonts w:ascii="Verdana" w:hAnsi="Verdana" w:cs="Arial"/>
          <w:sz w:val="22"/>
          <w:szCs w:val="22"/>
        </w:rPr>
      </w:pPr>
      <w:bookmarkStart w:id="30" w:name="_Toc104529447"/>
      <w:r w:rsidRPr="00205C60">
        <w:rPr>
          <w:rFonts w:ascii="Verdana" w:hAnsi="Verdana" w:cs="Arial"/>
          <w:sz w:val="22"/>
          <w:szCs w:val="22"/>
        </w:rPr>
        <w:t>Prelación de pagos</w:t>
      </w:r>
      <w:bookmarkEnd w:id="30"/>
    </w:p>
    <w:p w14:paraId="3CA7E73B" w14:textId="77777777" w:rsidR="00731454" w:rsidRPr="00205C60" w:rsidRDefault="00731454" w:rsidP="00F53144">
      <w:pPr>
        <w:jc w:val="both"/>
        <w:rPr>
          <w:rFonts w:ascii="Verdana" w:hAnsi="Verdana" w:cs="Arial"/>
          <w:sz w:val="22"/>
          <w:szCs w:val="22"/>
        </w:rPr>
      </w:pPr>
    </w:p>
    <w:p w14:paraId="3CA7E73C" w14:textId="665D48AD" w:rsidR="00AD3EC5" w:rsidRPr="00205C60" w:rsidRDefault="00AD3EC5" w:rsidP="00F53144">
      <w:pPr>
        <w:jc w:val="both"/>
        <w:rPr>
          <w:rFonts w:ascii="Verdana" w:hAnsi="Verdana" w:cs="Arial"/>
          <w:sz w:val="22"/>
          <w:szCs w:val="22"/>
        </w:rPr>
      </w:pPr>
      <w:r w:rsidRPr="00205C60">
        <w:rPr>
          <w:rFonts w:ascii="Verdana" w:hAnsi="Verdana" w:cs="Arial"/>
          <w:sz w:val="22"/>
          <w:szCs w:val="22"/>
        </w:rPr>
        <w:t xml:space="preserve">La prelación de pagos consiste en el orden en el cual los acreedores de una entidad serian pagados ante la eventual quiebra de su deudor. La CNFL regirá este aspecto, tal y como lo regula el artículo 886 del Código de Comercio, el cual indica que “para el reconocimiento y el pago los créditos se clasifican así: créditos con privilegio sobre determinado bien, créditos de los trabajadores, créditos de los arrendadores y arrendatarios, créditos de la masa y créditos comunes”. Por lo tanto, los derechos de los inversionistas en esta prelación de </w:t>
      </w:r>
      <w:r w:rsidR="00610525" w:rsidRPr="00205C60">
        <w:rPr>
          <w:rFonts w:ascii="Verdana" w:hAnsi="Verdana" w:cs="Arial"/>
          <w:sz w:val="22"/>
          <w:szCs w:val="22"/>
        </w:rPr>
        <w:t>pago</w:t>
      </w:r>
      <w:r w:rsidRPr="00205C60">
        <w:rPr>
          <w:rFonts w:ascii="Verdana" w:hAnsi="Verdana" w:cs="Arial"/>
          <w:sz w:val="22"/>
          <w:szCs w:val="22"/>
        </w:rPr>
        <w:t xml:space="preserve"> están determinados por la calidad de su crédito frente a la masa de acreedores comunes.</w:t>
      </w:r>
    </w:p>
    <w:p w14:paraId="3CA7E73D" w14:textId="77777777" w:rsidR="00731454" w:rsidRPr="00205C60" w:rsidRDefault="00731454">
      <w:pPr>
        <w:jc w:val="both"/>
        <w:rPr>
          <w:rFonts w:ascii="Verdana" w:hAnsi="Verdana" w:cs="Arial"/>
          <w:b/>
          <w:sz w:val="22"/>
          <w:szCs w:val="22"/>
        </w:rPr>
      </w:pPr>
    </w:p>
    <w:p w14:paraId="3CA7E73E" w14:textId="77777777" w:rsidR="004C01BE" w:rsidRPr="00205C60" w:rsidRDefault="004C01BE">
      <w:pPr>
        <w:jc w:val="both"/>
        <w:rPr>
          <w:rFonts w:ascii="Verdana" w:hAnsi="Verdana" w:cs="Arial"/>
          <w:b/>
          <w:sz w:val="22"/>
          <w:szCs w:val="22"/>
        </w:rPr>
      </w:pPr>
    </w:p>
    <w:p w14:paraId="3CA7E73F" w14:textId="77777777" w:rsidR="003F06E9" w:rsidRPr="00205C60" w:rsidRDefault="003F06E9" w:rsidP="00882F32">
      <w:pPr>
        <w:pStyle w:val="Ttulo2"/>
        <w:numPr>
          <w:ilvl w:val="1"/>
          <w:numId w:val="18"/>
        </w:numPr>
        <w:tabs>
          <w:tab w:val="clear" w:pos="1241"/>
          <w:tab w:val="left" w:pos="993"/>
        </w:tabs>
        <w:spacing w:line="120" w:lineRule="atLeast"/>
        <w:ind w:left="788" w:right="142" w:hanging="431"/>
        <w:rPr>
          <w:rFonts w:ascii="Verdana" w:hAnsi="Verdana" w:cs="Arial"/>
          <w:sz w:val="22"/>
          <w:szCs w:val="22"/>
        </w:rPr>
      </w:pPr>
      <w:bookmarkStart w:id="31" w:name="_Toc104529448"/>
      <w:r w:rsidRPr="00205C60">
        <w:rPr>
          <w:rFonts w:ascii="Verdana" w:hAnsi="Verdana" w:cs="Arial"/>
          <w:sz w:val="22"/>
          <w:szCs w:val="22"/>
        </w:rPr>
        <w:t>Identificador internacional</w:t>
      </w:r>
      <w:bookmarkEnd w:id="31"/>
    </w:p>
    <w:p w14:paraId="3CA7E740" w14:textId="77777777" w:rsidR="009867A1" w:rsidRPr="00205C60" w:rsidRDefault="009867A1" w:rsidP="009867A1">
      <w:pPr>
        <w:rPr>
          <w:rFonts w:ascii="Verdana" w:hAnsi="Verdana"/>
          <w:sz w:val="22"/>
          <w:szCs w:val="22"/>
        </w:rPr>
      </w:pPr>
    </w:p>
    <w:p w14:paraId="3CA7E741" w14:textId="77777777" w:rsidR="00A601C7" w:rsidRPr="00205C60" w:rsidRDefault="00E02EF9" w:rsidP="00F53144">
      <w:pPr>
        <w:jc w:val="both"/>
        <w:rPr>
          <w:rFonts w:ascii="Verdana" w:hAnsi="Verdana" w:cs="Arial"/>
          <w:sz w:val="22"/>
          <w:szCs w:val="22"/>
        </w:rPr>
      </w:pPr>
      <w:r w:rsidRPr="00205C60">
        <w:rPr>
          <w:rFonts w:ascii="Verdana" w:hAnsi="Verdana" w:cs="Arial"/>
          <w:sz w:val="22"/>
          <w:szCs w:val="22"/>
        </w:rPr>
        <w:t>El Programa de l</w:t>
      </w:r>
      <w:r w:rsidR="00A601C7" w:rsidRPr="00205C60">
        <w:rPr>
          <w:rFonts w:ascii="Verdana" w:hAnsi="Verdana" w:cs="Arial"/>
          <w:sz w:val="22"/>
          <w:szCs w:val="22"/>
        </w:rPr>
        <w:t xml:space="preserve">a Emisión de Bonos Estandarizados Serie B-1 posee el Código de Identificación Internacional, ISIN CRCFLUZB0207, registrado en la SUGEVAL y en la Bolsa Nacional de Valores de Costa Rica S.A. </w:t>
      </w:r>
    </w:p>
    <w:p w14:paraId="3CA7E742" w14:textId="77777777" w:rsidR="003F6CBA" w:rsidRPr="00205C60" w:rsidRDefault="003F6CBA" w:rsidP="00F53144">
      <w:pPr>
        <w:jc w:val="both"/>
        <w:rPr>
          <w:rFonts w:ascii="Verdana" w:hAnsi="Verdana" w:cs="Arial"/>
          <w:sz w:val="22"/>
          <w:szCs w:val="22"/>
        </w:rPr>
      </w:pPr>
    </w:p>
    <w:p w14:paraId="3CA7E743" w14:textId="77777777" w:rsidR="004F2B48" w:rsidRPr="00205C60" w:rsidRDefault="004F2B48" w:rsidP="00F53144">
      <w:pPr>
        <w:jc w:val="both"/>
        <w:rPr>
          <w:rFonts w:ascii="Verdana" w:hAnsi="Verdana" w:cs="Arial"/>
          <w:sz w:val="22"/>
          <w:szCs w:val="22"/>
        </w:rPr>
      </w:pPr>
      <w:r w:rsidRPr="00205C60">
        <w:rPr>
          <w:rFonts w:ascii="Verdana" w:hAnsi="Verdana" w:cs="Arial"/>
          <w:sz w:val="22"/>
          <w:szCs w:val="22"/>
        </w:rPr>
        <w:t xml:space="preserve">El Programa de la Emisión de Bonos Estandarizados Serie B-2 posee el Código de Identificación Internacional, ISIN CRCFLUZB0215, registrado en la SUGEVAL y en la Bolsa Nacional de Valores de Costa Rica S.A. </w:t>
      </w:r>
    </w:p>
    <w:p w14:paraId="3CA7E744" w14:textId="77777777" w:rsidR="004F2B48" w:rsidRPr="00205C60" w:rsidRDefault="004F2B48" w:rsidP="004F2B48">
      <w:pPr>
        <w:ind w:left="360"/>
        <w:jc w:val="both"/>
        <w:rPr>
          <w:rFonts w:ascii="Verdana" w:hAnsi="Verdana" w:cs="Arial"/>
          <w:sz w:val="22"/>
          <w:szCs w:val="22"/>
        </w:rPr>
      </w:pPr>
    </w:p>
    <w:p w14:paraId="3CA7E745" w14:textId="77777777" w:rsidR="004F2B48" w:rsidRPr="00205C60" w:rsidRDefault="004F2B48" w:rsidP="00F53144">
      <w:pPr>
        <w:jc w:val="both"/>
        <w:rPr>
          <w:rFonts w:ascii="Verdana" w:hAnsi="Verdana" w:cs="Arial"/>
          <w:sz w:val="22"/>
          <w:szCs w:val="22"/>
        </w:rPr>
      </w:pPr>
      <w:r w:rsidRPr="00205C60">
        <w:rPr>
          <w:rFonts w:ascii="Verdana" w:hAnsi="Verdana" w:cs="Arial"/>
          <w:sz w:val="22"/>
          <w:szCs w:val="22"/>
        </w:rPr>
        <w:t xml:space="preserve">El Programa de la Emisión de Bonos Estandarizados Serie B-3 posee el Código de Identificación Internacional, ISIN CRCFLUZB0223, registrado en la SUGEVAL y en la Bolsa Nacional de Valores de Costa Rica S.A. </w:t>
      </w:r>
    </w:p>
    <w:p w14:paraId="3CA7E746" w14:textId="77777777" w:rsidR="00A53B6F" w:rsidRPr="00205C60" w:rsidRDefault="00A53B6F">
      <w:pPr>
        <w:ind w:left="360"/>
        <w:jc w:val="both"/>
        <w:rPr>
          <w:rFonts w:ascii="Verdana" w:hAnsi="Verdana" w:cs="Arial"/>
          <w:sz w:val="22"/>
          <w:szCs w:val="22"/>
        </w:rPr>
      </w:pPr>
    </w:p>
    <w:p w14:paraId="3CA7E747" w14:textId="77777777" w:rsidR="00772C5E" w:rsidRPr="00205C60" w:rsidRDefault="00772C5E" w:rsidP="00F53144">
      <w:pPr>
        <w:jc w:val="both"/>
        <w:rPr>
          <w:rFonts w:ascii="Verdana" w:hAnsi="Verdana" w:cs="Arial"/>
          <w:sz w:val="22"/>
          <w:szCs w:val="22"/>
        </w:rPr>
      </w:pPr>
      <w:r w:rsidRPr="00205C60">
        <w:rPr>
          <w:rFonts w:ascii="Verdana" w:hAnsi="Verdana" w:cs="Arial"/>
          <w:sz w:val="22"/>
          <w:szCs w:val="22"/>
        </w:rPr>
        <w:t>El Programa de la Emisión de Bonos Estandarizados Serie B-4 posee el Código de Identificación Internacional, ISIN CRCFLUZB0231, registrado en la SUGEVAL y en la Bolsa Nacional de Valores de Costa Rica S.A.</w:t>
      </w:r>
    </w:p>
    <w:p w14:paraId="3CA7E748" w14:textId="77777777" w:rsidR="00772C5E" w:rsidRPr="00205C60" w:rsidRDefault="00772C5E" w:rsidP="00F53144">
      <w:pPr>
        <w:jc w:val="both"/>
        <w:rPr>
          <w:rFonts w:ascii="Verdana" w:hAnsi="Verdana" w:cs="Arial"/>
          <w:sz w:val="22"/>
          <w:szCs w:val="22"/>
        </w:rPr>
      </w:pPr>
    </w:p>
    <w:p w14:paraId="3CA7E749" w14:textId="77777777" w:rsidR="005E707C" w:rsidRPr="00205C60" w:rsidRDefault="005E707C" w:rsidP="00F53144">
      <w:pPr>
        <w:jc w:val="both"/>
        <w:rPr>
          <w:rFonts w:ascii="Verdana" w:hAnsi="Verdana" w:cs="Arial"/>
          <w:sz w:val="22"/>
          <w:szCs w:val="22"/>
        </w:rPr>
      </w:pPr>
      <w:r w:rsidRPr="00205C60">
        <w:rPr>
          <w:rFonts w:ascii="Verdana" w:hAnsi="Verdana" w:cs="Arial"/>
          <w:sz w:val="22"/>
          <w:szCs w:val="22"/>
        </w:rPr>
        <w:t>Se debe señalar, que la Compañía no cuenta con emisiones inscritas en otros mercados.</w:t>
      </w:r>
    </w:p>
    <w:p w14:paraId="3CA7E74A" w14:textId="77777777" w:rsidR="00892771" w:rsidRPr="00205C60" w:rsidRDefault="00892771">
      <w:pPr>
        <w:ind w:left="360"/>
        <w:jc w:val="both"/>
        <w:rPr>
          <w:rFonts w:ascii="Verdana" w:hAnsi="Verdana" w:cs="Arial"/>
          <w:sz w:val="22"/>
          <w:szCs w:val="22"/>
        </w:rPr>
      </w:pPr>
    </w:p>
    <w:p w14:paraId="3CA7E74B" w14:textId="4E5255F5" w:rsidR="009867A1" w:rsidRPr="00205C60" w:rsidRDefault="009867A1">
      <w:pPr>
        <w:ind w:left="360"/>
        <w:jc w:val="both"/>
        <w:rPr>
          <w:rFonts w:ascii="Verdana" w:hAnsi="Verdana" w:cs="Arial"/>
          <w:sz w:val="22"/>
          <w:szCs w:val="22"/>
        </w:rPr>
      </w:pPr>
    </w:p>
    <w:p w14:paraId="47B879DC" w14:textId="7786164F" w:rsidR="00AD0966" w:rsidRPr="00205C60" w:rsidRDefault="00AD0966">
      <w:pPr>
        <w:ind w:left="360"/>
        <w:jc w:val="both"/>
        <w:rPr>
          <w:rFonts w:ascii="Verdana" w:hAnsi="Verdana" w:cs="Arial"/>
          <w:sz w:val="22"/>
          <w:szCs w:val="22"/>
        </w:rPr>
      </w:pPr>
    </w:p>
    <w:p w14:paraId="1148A9C6" w14:textId="77777777" w:rsidR="00AD0966" w:rsidRPr="00205C60" w:rsidRDefault="00AD0966">
      <w:pPr>
        <w:ind w:left="360"/>
        <w:jc w:val="both"/>
        <w:rPr>
          <w:rFonts w:ascii="Verdana" w:hAnsi="Verdana" w:cs="Arial"/>
          <w:sz w:val="22"/>
          <w:szCs w:val="22"/>
        </w:rPr>
      </w:pPr>
    </w:p>
    <w:p w14:paraId="3CA7E74C" w14:textId="77777777" w:rsidR="00B44125" w:rsidRPr="00205C60" w:rsidRDefault="00B44125" w:rsidP="00882F32">
      <w:pPr>
        <w:pStyle w:val="Ttulo2"/>
        <w:numPr>
          <w:ilvl w:val="1"/>
          <w:numId w:val="18"/>
        </w:numPr>
        <w:tabs>
          <w:tab w:val="clear" w:pos="1241"/>
          <w:tab w:val="left" w:pos="993"/>
        </w:tabs>
        <w:spacing w:line="120" w:lineRule="atLeast"/>
        <w:ind w:left="788" w:right="142" w:hanging="431"/>
        <w:rPr>
          <w:rFonts w:ascii="Verdana" w:hAnsi="Verdana" w:cs="Arial"/>
          <w:sz w:val="22"/>
          <w:szCs w:val="22"/>
        </w:rPr>
      </w:pPr>
      <w:bookmarkStart w:id="32" w:name="_Toc64699213"/>
      <w:bookmarkStart w:id="33" w:name="_Toc104529449"/>
      <w:r w:rsidRPr="00205C60">
        <w:rPr>
          <w:rFonts w:ascii="Verdana" w:hAnsi="Verdana" w:cs="Arial"/>
          <w:sz w:val="22"/>
          <w:szCs w:val="22"/>
        </w:rPr>
        <w:t>Identificación de directores, gerentes y asesores involucrados con el proceso de oferta pública</w:t>
      </w:r>
      <w:bookmarkEnd w:id="32"/>
      <w:bookmarkEnd w:id="33"/>
    </w:p>
    <w:p w14:paraId="3CA7E74D" w14:textId="77777777" w:rsidR="009867A1" w:rsidRPr="00205C60" w:rsidRDefault="009867A1" w:rsidP="009867A1">
      <w:pPr>
        <w:rPr>
          <w:rFonts w:ascii="Verdana" w:hAnsi="Verdana"/>
          <w:sz w:val="22"/>
          <w:szCs w:val="22"/>
        </w:rPr>
      </w:pPr>
    </w:p>
    <w:p w14:paraId="3CA7E74E" w14:textId="77777777" w:rsidR="00A601C7" w:rsidRPr="00205C60" w:rsidRDefault="00A601C7" w:rsidP="00A601C7">
      <w:pPr>
        <w:jc w:val="both"/>
        <w:rPr>
          <w:rFonts w:ascii="Verdana" w:hAnsi="Verdana" w:cs="Arial"/>
          <w:sz w:val="22"/>
          <w:szCs w:val="22"/>
        </w:rPr>
      </w:pPr>
      <w:bookmarkStart w:id="34" w:name="_Toc64695494"/>
      <w:bookmarkStart w:id="35" w:name="_Toc64699214"/>
      <w:r w:rsidRPr="00205C60">
        <w:rPr>
          <w:rFonts w:ascii="Verdana" w:hAnsi="Verdana" w:cs="Arial"/>
          <w:sz w:val="22"/>
          <w:szCs w:val="22"/>
        </w:rPr>
        <w:t>Los participantes en el proceso de registro de oferta pública del Programa de Emisi</w:t>
      </w:r>
      <w:r w:rsidR="00DF03D1" w:rsidRPr="00205C60">
        <w:rPr>
          <w:rFonts w:ascii="Verdana" w:hAnsi="Verdana" w:cs="Arial"/>
          <w:sz w:val="22"/>
          <w:szCs w:val="22"/>
        </w:rPr>
        <w:t>ones</w:t>
      </w:r>
      <w:r w:rsidRPr="00205C60">
        <w:rPr>
          <w:rFonts w:ascii="Verdana" w:hAnsi="Verdana" w:cs="Arial"/>
          <w:sz w:val="22"/>
          <w:szCs w:val="22"/>
        </w:rPr>
        <w:t xml:space="preserve"> de Bonos Estandarizados Serie B se detallan </w:t>
      </w:r>
      <w:r w:rsidR="0090591D" w:rsidRPr="00205C60">
        <w:rPr>
          <w:rFonts w:ascii="Verdana" w:hAnsi="Verdana" w:cs="Arial"/>
          <w:sz w:val="22"/>
          <w:szCs w:val="22"/>
        </w:rPr>
        <w:t>a continuación</w:t>
      </w:r>
      <w:r w:rsidRPr="00205C60">
        <w:rPr>
          <w:rFonts w:ascii="Verdana" w:hAnsi="Verdana" w:cs="Arial"/>
          <w:sz w:val="22"/>
          <w:szCs w:val="22"/>
        </w:rPr>
        <w:t>:</w:t>
      </w:r>
    </w:p>
    <w:p w14:paraId="3CA7E750" w14:textId="77777777" w:rsidR="009867A1" w:rsidRPr="00205C60" w:rsidRDefault="009867A1" w:rsidP="00A601C7">
      <w:pPr>
        <w:jc w:val="center"/>
        <w:rPr>
          <w:rFonts w:ascii="Verdana" w:hAnsi="Verdana" w:cs="Arial"/>
          <w:bCs/>
          <w:color w:val="000000"/>
          <w:sz w:val="22"/>
          <w:szCs w:val="22"/>
        </w:rPr>
      </w:pPr>
    </w:p>
    <w:p w14:paraId="3CA7E751" w14:textId="77777777" w:rsidR="006713AB" w:rsidRPr="00205C60" w:rsidRDefault="006713AB" w:rsidP="006713AB">
      <w:pPr>
        <w:jc w:val="center"/>
        <w:rPr>
          <w:rFonts w:ascii="Verdana" w:hAnsi="Verdana" w:cs="Arial"/>
          <w:b/>
          <w:bCs/>
          <w:color w:val="000000"/>
          <w:sz w:val="22"/>
          <w:szCs w:val="22"/>
        </w:rPr>
      </w:pPr>
      <w:r w:rsidRPr="00205C60">
        <w:rPr>
          <w:rFonts w:ascii="Verdana" w:hAnsi="Verdana" w:cs="Arial"/>
          <w:b/>
          <w:bCs/>
          <w:color w:val="000000"/>
          <w:sz w:val="22"/>
          <w:szCs w:val="22"/>
        </w:rPr>
        <w:t>POR PARTE DE LA CNFL</w:t>
      </w:r>
    </w:p>
    <w:tbl>
      <w:tblPr>
        <w:tblW w:w="8804" w:type="dxa"/>
        <w:tblInd w:w="354" w:type="dxa"/>
        <w:tblCellMar>
          <w:left w:w="70" w:type="dxa"/>
          <w:right w:w="70" w:type="dxa"/>
        </w:tblCellMar>
        <w:tblLook w:val="04A0" w:firstRow="1" w:lastRow="0" w:firstColumn="1" w:lastColumn="0" w:noHBand="0" w:noVBand="1"/>
      </w:tblPr>
      <w:tblGrid>
        <w:gridCol w:w="1843"/>
        <w:gridCol w:w="2567"/>
        <w:gridCol w:w="4394"/>
      </w:tblGrid>
      <w:tr w:rsidR="00201F98" w:rsidRPr="00205C60" w14:paraId="3CA7E756" w14:textId="77777777" w:rsidTr="004C01BE">
        <w:trPr>
          <w:trHeight w:val="345"/>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7E753" w14:textId="77777777" w:rsidR="00201F98" w:rsidRPr="00205C60" w:rsidRDefault="00201F98" w:rsidP="00201F98">
            <w:pPr>
              <w:jc w:val="center"/>
              <w:rPr>
                <w:rFonts w:ascii="Verdana" w:hAnsi="Verdana" w:cs="Arial"/>
                <w:b/>
                <w:bCs/>
                <w:color w:val="000000"/>
                <w:sz w:val="22"/>
                <w:szCs w:val="22"/>
                <w:lang w:val="es-CR" w:eastAsia="es-CR"/>
              </w:rPr>
            </w:pPr>
            <w:r w:rsidRPr="00205C60">
              <w:rPr>
                <w:rFonts w:ascii="Verdana" w:hAnsi="Verdana" w:cs="Arial"/>
                <w:b/>
                <w:bCs/>
                <w:color w:val="000000"/>
                <w:sz w:val="22"/>
                <w:szCs w:val="22"/>
                <w:lang w:eastAsia="es-CR"/>
              </w:rPr>
              <w:t>Nombre</w:t>
            </w:r>
          </w:p>
        </w:tc>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7E754" w14:textId="77777777" w:rsidR="00201F98" w:rsidRPr="00205C60" w:rsidRDefault="00201F98" w:rsidP="00201F98">
            <w:pPr>
              <w:jc w:val="center"/>
              <w:rPr>
                <w:rFonts w:ascii="Verdana" w:hAnsi="Verdana" w:cs="Arial"/>
                <w:b/>
                <w:bCs/>
                <w:color w:val="000000"/>
                <w:sz w:val="22"/>
                <w:szCs w:val="22"/>
                <w:lang w:val="es-CR" w:eastAsia="es-CR"/>
              </w:rPr>
            </w:pPr>
            <w:r w:rsidRPr="00205C60">
              <w:rPr>
                <w:rFonts w:ascii="Verdana" w:hAnsi="Verdana" w:cs="Arial"/>
                <w:b/>
                <w:bCs/>
                <w:color w:val="000000"/>
                <w:sz w:val="22"/>
                <w:szCs w:val="22"/>
                <w:lang w:eastAsia="es-CR"/>
              </w:rPr>
              <w:t>Cargo</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7E755" w14:textId="77777777" w:rsidR="00201F98" w:rsidRPr="00205C60" w:rsidRDefault="00201F98" w:rsidP="00201F98">
            <w:pPr>
              <w:jc w:val="center"/>
              <w:rPr>
                <w:rFonts w:ascii="Verdana" w:hAnsi="Verdana" w:cs="Arial"/>
                <w:b/>
                <w:bCs/>
                <w:color w:val="000000"/>
                <w:sz w:val="22"/>
                <w:szCs w:val="22"/>
                <w:lang w:val="es-CR" w:eastAsia="es-CR"/>
              </w:rPr>
            </w:pPr>
            <w:r w:rsidRPr="00205C60">
              <w:rPr>
                <w:rFonts w:ascii="Verdana" w:hAnsi="Verdana" w:cs="Arial"/>
                <w:b/>
                <w:bCs/>
                <w:color w:val="000000"/>
                <w:sz w:val="22"/>
                <w:szCs w:val="22"/>
                <w:lang w:eastAsia="es-CR"/>
              </w:rPr>
              <w:t>Participación</w:t>
            </w:r>
          </w:p>
        </w:tc>
      </w:tr>
      <w:tr w:rsidR="00201F98" w:rsidRPr="00205C60" w14:paraId="3CA7E75A" w14:textId="77777777" w:rsidTr="004C01BE">
        <w:trPr>
          <w:trHeight w:val="911"/>
        </w:trPr>
        <w:tc>
          <w:tcPr>
            <w:tcW w:w="1843"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CA7E757" w14:textId="77777777" w:rsidR="00201F98" w:rsidRPr="00205C60" w:rsidRDefault="00201F98" w:rsidP="00201F98">
            <w:pPr>
              <w:rPr>
                <w:rFonts w:ascii="Verdana" w:hAnsi="Verdana" w:cs="Arial"/>
                <w:color w:val="000000"/>
                <w:sz w:val="22"/>
                <w:szCs w:val="22"/>
                <w:lang w:val="es-CR" w:eastAsia="es-CR"/>
              </w:rPr>
            </w:pPr>
            <w:r w:rsidRPr="00205C60">
              <w:rPr>
                <w:rFonts w:ascii="Verdana" w:hAnsi="Verdana" w:cs="Arial"/>
                <w:color w:val="000000"/>
                <w:sz w:val="22"/>
                <w:szCs w:val="22"/>
                <w:lang w:eastAsia="es-CR"/>
              </w:rPr>
              <w:t>Marvin Céspedes Garbanzo 2/</w:t>
            </w:r>
          </w:p>
        </w:tc>
        <w:tc>
          <w:tcPr>
            <w:tcW w:w="2567" w:type="dxa"/>
            <w:tcBorders>
              <w:top w:val="single" w:sz="4" w:space="0" w:color="auto"/>
              <w:left w:val="nil"/>
              <w:bottom w:val="single" w:sz="8" w:space="0" w:color="auto"/>
              <w:right w:val="single" w:sz="8" w:space="0" w:color="auto"/>
            </w:tcBorders>
            <w:shd w:val="clear" w:color="auto" w:fill="auto"/>
            <w:vAlign w:val="center"/>
            <w:hideMark/>
          </w:tcPr>
          <w:p w14:paraId="3CA7E758" w14:textId="77777777" w:rsidR="00201F98" w:rsidRPr="00205C60" w:rsidRDefault="00201F98" w:rsidP="00201F98">
            <w:pPr>
              <w:rPr>
                <w:rFonts w:ascii="Verdana" w:hAnsi="Verdana" w:cs="Arial"/>
                <w:color w:val="000000"/>
                <w:sz w:val="22"/>
                <w:szCs w:val="22"/>
                <w:lang w:val="es-CR" w:eastAsia="es-CR"/>
              </w:rPr>
            </w:pPr>
            <w:r w:rsidRPr="00205C60">
              <w:rPr>
                <w:rFonts w:ascii="Verdana" w:hAnsi="Verdana" w:cs="Arial"/>
                <w:color w:val="000000"/>
                <w:sz w:val="22"/>
                <w:szCs w:val="22"/>
                <w:lang w:eastAsia="es-CR"/>
              </w:rPr>
              <w:t>Director Dirección Administración y Finanzas</w:t>
            </w:r>
          </w:p>
        </w:tc>
        <w:tc>
          <w:tcPr>
            <w:tcW w:w="4394" w:type="dxa"/>
            <w:tcBorders>
              <w:top w:val="single" w:sz="4" w:space="0" w:color="auto"/>
              <w:left w:val="nil"/>
              <w:bottom w:val="single" w:sz="8" w:space="0" w:color="auto"/>
              <w:right w:val="single" w:sz="8" w:space="0" w:color="auto"/>
            </w:tcBorders>
            <w:shd w:val="clear" w:color="auto" w:fill="auto"/>
            <w:vAlign w:val="center"/>
            <w:hideMark/>
          </w:tcPr>
          <w:p w14:paraId="3CA7E759" w14:textId="77777777" w:rsidR="00201F98" w:rsidRPr="00205C60" w:rsidRDefault="00201F98" w:rsidP="00201F98">
            <w:pPr>
              <w:jc w:val="both"/>
              <w:rPr>
                <w:rFonts w:ascii="Verdana" w:hAnsi="Verdana" w:cs="Arial"/>
                <w:color w:val="000000"/>
                <w:sz w:val="22"/>
                <w:szCs w:val="22"/>
                <w:lang w:val="es-CR" w:eastAsia="es-CR"/>
              </w:rPr>
            </w:pPr>
            <w:r w:rsidRPr="00205C60">
              <w:rPr>
                <w:rFonts w:ascii="Verdana" w:hAnsi="Verdana" w:cs="Arial"/>
                <w:color w:val="000000"/>
                <w:sz w:val="22"/>
                <w:szCs w:val="22"/>
                <w:lang w:eastAsia="es-CR"/>
              </w:rPr>
              <w:t xml:space="preserve">Responsable de autorizar y definir los requerimientos de información para el prospecto y los contratos de estructuración y </w:t>
            </w:r>
            <w:r w:rsidRPr="00205C60">
              <w:rPr>
                <w:rFonts w:ascii="Verdana" w:hAnsi="Verdana" w:cs="Arial"/>
                <w:i/>
                <w:iCs/>
                <w:color w:val="000000"/>
                <w:sz w:val="22"/>
                <w:szCs w:val="22"/>
                <w:lang w:eastAsia="es-CR"/>
              </w:rPr>
              <w:t>Underwriting.</w:t>
            </w:r>
          </w:p>
        </w:tc>
      </w:tr>
      <w:tr w:rsidR="00201F98" w:rsidRPr="00205C60" w14:paraId="3CA7E75E" w14:textId="77777777" w:rsidTr="004C01BE">
        <w:trPr>
          <w:trHeight w:val="815"/>
        </w:trPr>
        <w:tc>
          <w:tcPr>
            <w:tcW w:w="1843" w:type="dxa"/>
            <w:tcBorders>
              <w:top w:val="nil"/>
              <w:left w:val="single" w:sz="8" w:space="0" w:color="auto"/>
              <w:bottom w:val="single" w:sz="8" w:space="0" w:color="auto"/>
              <w:right w:val="single" w:sz="8" w:space="0" w:color="auto"/>
            </w:tcBorders>
            <w:shd w:val="clear" w:color="auto" w:fill="auto"/>
            <w:vAlign w:val="center"/>
            <w:hideMark/>
          </w:tcPr>
          <w:p w14:paraId="3CA7E75B" w14:textId="77777777" w:rsidR="00201F98" w:rsidRPr="00205C60" w:rsidRDefault="00201F98" w:rsidP="00201F98">
            <w:pPr>
              <w:rPr>
                <w:rFonts w:ascii="Verdana" w:hAnsi="Verdana" w:cs="Arial"/>
                <w:color w:val="000000"/>
                <w:sz w:val="22"/>
                <w:szCs w:val="22"/>
                <w:lang w:val="es-CR" w:eastAsia="es-CR"/>
              </w:rPr>
            </w:pPr>
            <w:r w:rsidRPr="00205C60">
              <w:rPr>
                <w:rFonts w:ascii="Verdana" w:hAnsi="Verdana" w:cs="Arial"/>
                <w:color w:val="000000"/>
                <w:sz w:val="22"/>
                <w:szCs w:val="22"/>
                <w:lang w:eastAsia="es-CR"/>
              </w:rPr>
              <w:t xml:space="preserve">Rigoberto García </w:t>
            </w:r>
            <w:proofErr w:type="gramStart"/>
            <w:r w:rsidRPr="00205C60">
              <w:rPr>
                <w:rFonts w:ascii="Verdana" w:hAnsi="Verdana" w:cs="Arial"/>
                <w:color w:val="000000"/>
                <w:sz w:val="22"/>
                <w:szCs w:val="22"/>
                <w:lang w:eastAsia="es-CR"/>
              </w:rPr>
              <w:t>Córdoba  1</w:t>
            </w:r>
            <w:proofErr w:type="gramEnd"/>
            <w:r w:rsidRPr="00205C60">
              <w:rPr>
                <w:rFonts w:ascii="Verdana" w:hAnsi="Verdana" w:cs="Arial"/>
                <w:color w:val="000000"/>
                <w:sz w:val="22"/>
                <w:szCs w:val="22"/>
                <w:lang w:eastAsia="es-CR"/>
              </w:rPr>
              <w:t>/</w:t>
            </w:r>
          </w:p>
        </w:tc>
        <w:tc>
          <w:tcPr>
            <w:tcW w:w="2567" w:type="dxa"/>
            <w:tcBorders>
              <w:top w:val="nil"/>
              <w:left w:val="nil"/>
              <w:bottom w:val="single" w:sz="8" w:space="0" w:color="auto"/>
              <w:right w:val="single" w:sz="8" w:space="0" w:color="auto"/>
            </w:tcBorders>
            <w:shd w:val="clear" w:color="auto" w:fill="auto"/>
            <w:vAlign w:val="center"/>
            <w:hideMark/>
          </w:tcPr>
          <w:p w14:paraId="3CA7E75C" w14:textId="77777777" w:rsidR="00201F98" w:rsidRPr="00205C60" w:rsidRDefault="00201F98" w:rsidP="00201F98">
            <w:pPr>
              <w:rPr>
                <w:rFonts w:ascii="Verdana" w:hAnsi="Verdana" w:cs="Arial"/>
                <w:color w:val="000000"/>
                <w:sz w:val="22"/>
                <w:szCs w:val="22"/>
                <w:lang w:val="es-CR" w:eastAsia="es-CR"/>
              </w:rPr>
            </w:pPr>
            <w:r w:rsidRPr="00205C60">
              <w:rPr>
                <w:rFonts w:ascii="Verdana" w:hAnsi="Verdana" w:cs="Arial"/>
                <w:color w:val="000000"/>
                <w:sz w:val="22"/>
                <w:szCs w:val="22"/>
                <w:lang w:eastAsia="es-CR"/>
              </w:rPr>
              <w:t>Jefe Departamento Financiero</w:t>
            </w:r>
          </w:p>
        </w:tc>
        <w:tc>
          <w:tcPr>
            <w:tcW w:w="4394" w:type="dxa"/>
            <w:tcBorders>
              <w:top w:val="nil"/>
              <w:left w:val="nil"/>
              <w:bottom w:val="single" w:sz="8" w:space="0" w:color="auto"/>
              <w:right w:val="single" w:sz="8" w:space="0" w:color="auto"/>
            </w:tcBorders>
            <w:shd w:val="clear" w:color="auto" w:fill="auto"/>
            <w:vAlign w:val="center"/>
            <w:hideMark/>
          </w:tcPr>
          <w:p w14:paraId="3CA7E75D" w14:textId="77777777" w:rsidR="00201F98" w:rsidRPr="00205C60" w:rsidRDefault="00201F98" w:rsidP="00201F98">
            <w:pPr>
              <w:jc w:val="both"/>
              <w:rPr>
                <w:rFonts w:ascii="Verdana" w:hAnsi="Verdana" w:cs="Arial"/>
                <w:color w:val="000000"/>
                <w:sz w:val="22"/>
                <w:szCs w:val="22"/>
                <w:lang w:val="es-CR" w:eastAsia="es-CR"/>
              </w:rPr>
            </w:pPr>
            <w:r w:rsidRPr="00205C60">
              <w:rPr>
                <w:rFonts w:ascii="Verdana" w:hAnsi="Verdana" w:cs="Arial"/>
                <w:color w:val="000000"/>
                <w:sz w:val="22"/>
                <w:szCs w:val="22"/>
                <w:lang w:eastAsia="es-CR"/>
              </w:rPr>
              <w:t>Responsable de revisar la información requerida para la elaboración del prospecto y para la firma de los contratos.</w:t>
            </w:r>
          </w:p>
        </w:tc>
      </w:tr>
      <w:tr w:rsidR="00201F98" w:rsidRPr="00205C60" w14:paraId="3CA7E762" w14:textId="77777777" w:rsidTr="004C01BE">
        <w:trPr>
          <w:trHeight w:val="780"/>
        </w:trPr>
        <w:tc>
          <w:tcPr>
            <w:tcW w:w="1843" w:type="dxa"/>
            <w:tcBorders>
              <w:top w:val="nil"/>
              <w:left w:val="single" w:sz="8" w:space="0" w:color="auto"/>
              <w:bottom w:val="single" w:sz="8" w:space="0" w:color="auto"/>
              <w:right w:val="single" w:sz="8" w:space="0" w:color="auto"/>
            </w:tcBorders>
            <w:shd w:val="clear" w:color="auto" w:fill="auto"/>
            <w:vAlign w:val="center"/>
            <w:hideMark/>
          </w:tcPr>
          <w:p w14:paraId="3CA7E75F" w14:textId="62B97181" w:rsidR="00201F98" w:rsidRPr="00205C60" w:rsidRDefault="00201F98" w:rsidP="00201F98">
            <w:pPr>
              <w:rPr>
                <w:rFonts w:ascii="Verdana" w:hAnsi="Verdana" w:cs="Arial"/>
                <w:color w:val="000000"/>
                <w:sz w:val="22"/>
                <w:szCs w:val="22"/>
                <w:lang w:val="es-CR" w:eastAsia="es-CR"/>
              </w:rPr>
            </w:pPr>
            <w:r w:rsidRPr="00205C60">
              <w:rPr>
                <w:rFonts w:ascii="Verdana" w:hAnsi="Verdana" w:cs="Arial"/>
                <w:color w:val="000000"/>
                <w:sz w:val="22"/>
                <w:szCs w:val="22"/>
                <w:lang w:eastAsia="es-CR"/>
              </w:rPr>
              <w:t>Oscar Eduardo Calvo Piedra</w:t>
            </w:r>
            <w:r w:rsidR="005643C7" w:rsidRPr="00205C60">
              <w:rPr>
                <w:rFonts w:ascii="Verdana" w:hAnsi="Verdana" w:cs="Arial"/>
                <w:color w:val="000000"/>
                <w:sz w:val="22"/>
                <w:szCs w:val="22"/>
                <w:lang w:eastAsia="es-CR"/>
              </w:rPr>
              <w:t xml:space="preserve"> 3/</w:t>
            </w:r>
          </w:p>
        </w:tc>
        <w:tc>
          <w:tcPr>
            <w:tcW w:w="2567" w:type="dxa"/>
            <w:tcBorders>
              <w:top w:val="nil"/>
              <w:left w:val="nil"/>
              <w:bottom w:val="single" w:sz="8" w:space="0" w:color="auto"/>
              <w:right w:val="single" w:sz="8" w:space="0" w:color="auto"/>
            </w:tcBorders>
            <w:shd w:val="clear" w:color="auto" w:fill="auto"/>
            <w:vAlign w:val="center"/>
            <w:hideMark/>
          </w:tcPr>
          <w:p w14:paraId="3CA7E760" w14:textId="77777777" w:rsidR="00201F98" w:rsidRPr="00205C60" w:rsidRDefault="00201F98" w:rsidP="00201F98">
            <w:pPr>
              <w:rPr>
                <w:rFonts w:ascii="Verdana" w:hAnsi="Verdana" w:cs="Arial"/>
                <w:color w:val="000000"/>
                <w:sz w:val="22"/>
                <w:szCs w:val="22"/>
                <w:lang w:val="es-CR" w:eastAsia="es-CR"/>
              </w:rPr>
            </w:pPr>
            <w:r w:rsidRPr="00205C60">
              <w:rPr>
                <w:rFonts w:ascii="Verdana" w:hAnsi="Verdana" w:cs="Arial"/>
                <w:color w:val="000000"/>
                <w:sz w:val="22"/>
                <w:szCs w:val="22"/>
                <w:lang w:eastAsia="es-CR"/>
              </w:rPr>
              <w:t>Coordinador Departamento Financiero</w:t>
            </w:r>
          </w:p>
        </w:tc>
        <w:tc>
          <w:tcPr>
            <w:tcW w:w="4394" w:type="dxa"/>
            <w:tcBorders>
              <w:top w:val="nil"/>
              <w:left w:val="nil"/>
              <w:bottom w:val="single" w:sz="8" w:space="0" w:color="auto"/>
              <w:right w:val="single" w:sz="8" w:space="0" w:color="auto"/>
            </w:tcBorders>
            <w:shd w:val="clear" w:color="auto" w:fill="auto"/>
            <w:vAlign w:val="center"/>
            <w:hideMark/>
          </w:tcPr>
          <w:p w14:paraId="3CA7E761" w14:textId="33F204D5" w:rsidR="00201F98" w:rsidRPr="00205C60" w:rsidRDefault="00201F98" w:rsidP="00201F98">
            <w:pPr>
              <w:jc w:val="both"/>
              <w:rPr>
                <w:rFonts w:ascii="Verdana" w:hAnsi="Verdana" w:cs="Arial"/>
                <w:color w:val="000000"/>
                <w:sz w:val="22"/>
                <w:szCs w:val="22"/>
                <w:lang w:val="es-CR" w:eastAsia="es-CR"/>
              </w:rPr>
            </w:pPr>
            <w:r w:rsidRPr="00205C60">
              <w:rPr>
                <w:rFonts w:ascii="Verdana" w:hAnsi="Verdana" w:cs="Arial"/>
                <w:color w:val="000000"/>
                <w:sz w:val="22"/>
                <w:szCs w:val="22"/>
                <w:lang w:eastAsia="es-CR"/>
              </w:rPr>
              <w:t xml:space="preserve">Coordinador, responsable de </w:t>
            </w:r>
            <w:r w:rsidR="003A3CC8" w:rsidRPr="00205C60">
              <w:rPr>
                <w:rFonts w:ascii="Verdana" w:hAnsi="Verdana" w:cs="Arial"/>
                <w:color w:val="000000"/>
                <w:sz w:val="22"/>
                <w:szCs w:val="22"/>
                <w:lang w:eastAsia="es-CR"/>
              </w:rPr>
              <w:t>revisar y</w:t>
            </w:r>
            <w:r w:rsidRPr="00205C60">
              <w:rPr>
                <w:rFonts w:ascii="Verdana" w:hAnsi="Verdana" w:cs="Arial"/>
                <w:color w:val="000000"/>
                <w:sz w:val="22"/>
                <w:szCs w:val="22"/>
                <w:lang w:eastAsia="es-CR"/>
              </w:rPr>
              <w:t xml:space="preserve"> emitir la información requerida para la elaboración del prospecto.</w:t>
            </w:r>
          </w:p>
        </w:tc>
      </w:tr>
      <w:tr w:rsidR="00201F98" w:rsidRPr="00205C60" w14:paraId="3CA7E766" w14:textId="77777777" w:rsidTr="004C01BE">
        <w:trPr>
          <w:trHeight w:val="598"/>
        </w:trPr>
        <w:tc>
          <w:tcPr>
            <w:tcW w:w="1843" w:type="dxa"/>
            <w:tcBorders>
              <w:top w:val="nil"/>
              <w:left w:val="single" w:sz="8" w:space="0" w:color="auto"/>
              <w:bottom w:val="single" w:sz="8" w:space="0" w:color="auto"/>
              <w:right w:val="single" w:sz="8" w:space="0" w:color="auto"/>
            </w:tcBorders>
            <w:shd w:val="clear" w:color="auto" w:fill="auto"/>
            <w:vAlign w:val="center"/>
            <w:hideMark/>
          </w:tcPr>
          <w:p w14:paraId="3CA7E763" w14:textId="77777777" w:rsidR="00201F98" w:rsidRPr="00205C60" w:rsidRDefault="00201F98" w:rsidP="00201F98">
            <w:pPr>
              <w:rPr>
                <w:rFonts w:ascii="Verdana" w:hAnsi="Verdana" w:cs="Arial"/>
                <w:color w:val="000000"/>
                <w:sz w:val="22"/>
                <w:szCs w:val="22"/>
                <w:lang w:val="es-CR" w:eastAsia="es-CR"/>
              </w:rPr>
            </w:pPr>
            <w:r w:rsidRPr="00205C60">
              <w:rPr>
                <w:rFonts w:ascii="Verdana" w:hAnsi="Verdana" w:cs="Arial"/>
                <w:color w:val="000000"/>
                <w:sz w:val="22"/>
                <w:szCs w:val="22"/>
                <w:lang w:eastAsia="es-CR"/>
              </w:rPr>
              <w:t>Guillermo Sánchez Williams</w:t>
            </w:r>
          </w:p>
        </w:tc>
        <w:tc>
          <w:tcPr>
            <w:tcW w:w="2567" w:type="dxa"/>
            <w:tcBorders>
              <w:top w:val="nil"/>
              <w:left w:val="nil"/>
              <w:bottom w:val="single" w:sz="8" w:space="0" w:color="auto"/>
              <w:right w:val="single" w:sz="8" w:space="0" w:color="auto"/>
            </w:tcBorders>
            <w:shd w:val="clear" w:color="auto" w:fill="auto"/>
            <w:vAlign w:val="center"/>
            <w:hideMark/>
          </w:tcPr>
          <w:p w14:paraId="3CA7E764" w14:textId="77777777" w:rsidR="00201F98" w:rsidRPr="00205C60" w:rsidRDefault="00201F98" w:rsidP="00201F98">
            <w:pPr>
              <w:rPr>
                <w:rFonts w:ascii="Verdana" w:hAnsi="Verdana" w:cs="Arial"/>
                <w:color w:val="000000"/>
                <w:sz w:val="22"/>
                <w:szCs w:val="22"/>
                <w:lang w:val="es-CR" w:eastAsia="es-CR"/>
              </w:rPr>
            </w:pPr>
            <w:r w:rsidRPr="00205C60">
              <w:rPr>
                <w:rFonts w:ascii="Verdana" w:hAnsi="Verdana" w:cs="Arial"/>
                <w:color w:val="000000"/>
                <w:sz w:val="22"/>
                <w:szCs w:val="22"/>
                <w:lang w:eastAsia="es-CR"/>
              </w:rPr>
              <w:t>Director División Jurídica Institucional</w:t>
            </w:r>
          </w:p>
        </w:tc>
        <w:tc>
          <w:tcPr>
            <w:tcW w:w="4394" w:type="dxa"/>
            <w:tcBorders>
              <w:top w:val="nil"/>
              <w:left w:val="nil"/>
              <w:bottom w:val="single" w:sz="8" w:space="0" w:color="auto"/>
              <w:right w:val="single" w:sz="8" w:space="0" w:color="auto"/>
            </w:tcBorders>
            <w:shd w:val="clear" w:color="auto" w:fill="auto"/>
            <w:vAlign w:val="center"/>
            <w:hideMark/>
          </w:tcPr>
          <w:p w14:paraId="3CA7E765" w14:textId="77777777" w:rsidR="00201F98" w:rsidRPr="00205C60" w:rsidRDefault="00201F98" w:rsidP="00201F98">
            <w:pPr>
              <w:jc w:val="both"/>
              <w:rPr>
                <w:rFonts w:ascii="Verdana" w:hAnsi="Verdana" w:cs="Arial"/>
                <w:color w:val="000000"/>
                <w:sz w:val="22"/>
                <w:szCs w:val="22"/>
                <w:lang w:val="es-CR" w:eastAsia="es-CR"/>
              </w:rPr>
            </w:pPr>
            <w:r w:rsidRPr="00205C60">
              <w:rPr>
                <w:rFonts w:ascii="Verdana" w:hAnsi="Verdana" w:cs="Arial"/>
                <w:color w:val="000000"/>
                <w:sz w:val="22"/>
                <w:szCs w:val="22"/>
                <w:lang w:eastAsia="es-CR"/>
              </w:rPr>
              <w:t xml:space="preserve">Coordinador legal, encargado de la revisión de los contratos de estructuración, </w:t>
            </w:r>
            <w:r w:rsidRPr="00205C60">
              <w:rPr>
                <w:rFonts w:ascii="Verdana" w:hAnsi="Verdana" w:cs="Arial"/>
                <w:i/>
                <w:iCs/>
                <w:color w:val="000000"/>
                <w:sz w:val="22"/>
                <w:szCs w:val="22"/>
                <w:lang w:eastAsia="es-CR"/>
              </w:rPr>
              <w:t>Underwriting</w:t>
            </w:r>
            <w:r w:rsidRPr="00205C60">
              <w:rPr>
                <w:rFonts w:ascii="Verdana" w:hAnsi="Verdana" w:cs="Arial"/>
                <w:color w:val="000000"/>
                <w:sz w:val="22"/>
                <w:szCs w:val="22"/>
                <w:lang w:eastAsia="es-CR"/>
              </w:rPr>
              <w:t>.</w:t>
            </w:r>
          </w:p>
        </w:tc>
      </w:tr>
    </w:tbl>
    <w:p w14:paraId="3CA7E767" w14:textId="77777777" w:rsidR="00ED51C3" w:rsidRPr="00205C60" w:rsidRDefault="00ED51C3" w:rsidP="006713AB">
      <w:pPr>
        <w:jc w:val="both"/>
        <w:rPr>
          <w:rFonts w:ascii="Verdana" w:hAnsi="Verdana"/>
          <w:sz w:val="22"/>
          <w:szCs w:val="22"/>
        </w:rPr>
      </w:pPr>
    </w:p>
    <w:p w14:paraId="3CA7E768" w14:textId="77777777" w:rsidR="00C92D08" w:rsidRPr="00205C60" w:rsidRDefault="00C92D08" w:rsidP="006713AB">
      <w:pPr>
        <w:jc w:val="both"/>
        <w:rPr>
          <w:rFonts w:ascii="Verdana" w:hAnsi="Verdana" w:cs="Arial"/>
          <w:sz w:val="22"/>
          <w:szCs w:val="22"/>
        </w:rPr>
      </w:pPr>
      <w:r w:rsidRPr="00205C60">
        <w:rPr>
          <w:rFonts w:ascii="Verdana" w:hAnsi="Verdana" w:cs="Arial"/>
          <w:sz w:val="22"/>
          <w:szCs w:val="22"/>
        </w:rPr>
        <w:t>1</w:t>
      </w:r>
      <w:proofErr w:type="gramStart"/>
      <w:r w:rsidRPr="00205C60">
        <w:rPr>
          <w:rFonts w:ascii="Verdana" w:hAnsi="Verdana" w:cs="Arial"/>
          <w:sz w:val="22"/>
          <w:szCs w:val="22"/>
        </w:rPr>
        <w:t>/  Don</w:t>
      </w:r>
      <w:proofErr w:type="gramEnd"/>
      <w:r w:rsidRPr="00205C60">
        <w:rPr>
          <w:rFonts w:ascii="Verdana" w:hAnsi="Verdana" w:cs="Arial"/>
          <w:sz w:val="22"/>
          <w:szCs w:val="22"/>
        </w:rPr>
        <w:t xml:space="preserve"> Rigoberto García Córdoba dejó de laborar para la Compañía a pa</w:t>
      </w:r>
      <w:r w:rsidR="00BA4948" w:rsidRPr="00205C60">
        <w:rPr>
          <w:rFonts w:ascii="Verdana" w:hAnsi="Verdana" w:cs="Arial"/>
          <w:sz w:val="22"/>
          <w:szCs w:val="22"/>
        </w:rPr>
        <w:t xml:space="preserve">rtir del 29 de octubre del 2011, sin embargo, participó en el proceso de registro de oferta pública del Programa de Emisiones de Bonos </w:t>
      </w:r>
      <w:r w:rsidR="00B35171" w:rsidRPr="00205C60">
        <w:rPr>
          <w:rFonts w:ascii="Verdana" w:hAnsi="Verdana" w:cs="Arial"/>
          <w:sz w:val="22"/>
          <w:szCs w:val="22"/>
        </w:rPr>
        <w:t xml:space="preserve">Estandarizados </w:t>
      </w:r>
      <w:r w:rsidR="00BA4948" w:rsidRPr="00205C60">
        <w:rPr>
          <w:rFonts w:ascii="Verdana" w:hAnsi="Verdana" w:cs="Arial"/>
          <w:sz w:val="22"/>
          <w:szCs w:val="22"/>
        </w:rPr>
        <w:t>Serie B.</w:t>
      </w:r>
    </w:p>
    <w:p w14:paraId="3CA7E769" w14:textId="77777777" w:rsidR="009B22DC" w:rsidRPr="00205C60" w:rsidRDefault="009B22DC" w:rsidP="006713AB">
      <w:pPr>
        <w:jc w:val="both"/>
        <w:rPr>
          <w:rFonts w:ascii="Verdana" w:hAnsi="Verdana" w:cs="Arial"/>
          <w:sz w:val="22"/>
          <w:szCs w:val="22"/>
        </w:rPr>
      </w:pPr>
    </w:p>
    <w:p w14:paraId="3CA7E76A" w14:textId="7F4455C6" w:rsidR="009B22DC" w:rsidRPr="00205C60" w:rsidRDefault="009B22DC" w:rsidP="006713AB">
      <w:pPr>
        <w:jc w:val="both"/>
        <w:rPr>
          <w:rFonts w:ascii="Verdana" w:hAnsi="Verdana" w:cs="Arial"/>
          <w:sz w:val="22"/>
          <w:szCs w:val="22"/>
        </w:rPr>
      </w:pPr>
      <w:r w:rsidRPr="00205C60">
        <w:rPr>
          <w:rFonts w:ascii="Verdana" w:hAnsi="Verdana" w:cs="Arial"/>
          <w:sz w:val="22"/>
          <w:szCs w:val="22"/>
        </w:rPr>
        <w:t xml:space="preserve">2/ Don Marvin Céspedes Garbanzo dejó de laborar para la Compañía a partir del 04 de </w:t>
      </w:r>
      <w:proofErr w:type="gramStart"/>
      <w:r w:rsidRPr="00205C60">
        <w:rPr>
          <w:rFonts w:ascii="Verdana" w:hAnsi="Verdana" w:cs="Arial"/>
          <w:sz w:val="22"/>
          <w:szCs w:val="22"/>
        </w:rPr>
        <w:t>Diciembre</w:t>
      </w:r>
      <w:proofErr w:type="gramEnd"/>
      <w:r w:rsidRPr="00205C60">
        <w:rPr>
          <w:rFonts w:ascii="Verdana" w:hAnsi="Verdana" w:cs="Arial"/>
          <w:sz w:val="22"/>
          <w:szCs w:val="22"/>
        </w:rPr>
        <w:t xml:space="preserve"> del 2015, sin embargo, participó en el proceso de registro de oferta pública del Programa de Emisiones de Bonos Estandarizados Serie B.</w:t>
      </w:r>
    </w:p>
    <w:p w14:paraId="7B9B8D0E" w14:textId="197F434E" w:rsidR="005643C7" w:rsidRPr="00205C60" w:rsidRDefault="005643C7" w:rsidP="006713AB">
      <w:pPr>
        <w:jc w:val="both"/>
        <w:rPr>
          <w:rFonts w:ascii="Verdana" w:hAnsi="Verdana" w:cs="Arial"/>
          <w:sz w:val="22"/>
          <w:szCs w:val="22"/>
        </w:rPr>
      </w:pPr>
    </w:p>
    <w:p w14:paraId="4245CC7F" w14:textId="01D1C92E" w:rsidR="005643C7" w:rsidRPr="00205C60" w:rsidRDefault="005643C7" w:rsidP="006713AB">
      <w:pPr>
        <w:jc w:val="both"/>
        <w:rPr>
          <w:rFonts w:ascii="Verdana" w:hAnsi="Verdana" w:cs="Arial"/>
          <w:sz w:val="22"/>
          <w:szCs w:val="22"/>
        </w:rPr>
      </w:pPr>
      <w:r w:rsidRPr="00205C60">
        <w:rPr>
          <w:rFonts w:ascii="Verdana" w:hAnsi="Verdana" w:cs="Arial"/>
          <w:sz w:val="22"/>
          <w:szCs w:val="22"/>
        </w:rPr>
        <w:t xml:space="preserve">3/ Don Oscar Calvo Piedra dejó de laborar para la </w:t>
      </w:r>
      <w:r w:rsidR="00910A68" w:rsidRPr="00205C60">
        <w:rPr>
          <w:rFonts w:ascii="Verdana" w:hAnsi="Verdana" w:cs="Arial"/>
          <w:sz w:val="22"/>
          <w:szCs w:val="22"/>
        </w:rPr>
        <w:t>Compañía a partir del 1</w:t>
      </w:r>
      <w:r w:rsidR="002C1FE5" w:rsidRPr="00205C60">
        <w:rPr>
          <w:rFonts w:ascii="Verdana" w:hAnsi="Verdana" w:cs="Arial"/>
          <w:sz w:val="22"/>
          <w:szCs w:val="22"/>
        </w:rPr>
        <w:t>5</w:t>
      </w:r>
      <w:r w:rsidR="00910A68" w:rsidRPr="00205C60">
        <w:rPr>
          <w:rFonts w:ascii="Verdana" w:hAnsi="Verdana" w:cs="Arial"/>
          <w:sz w:val="22"/>
          <w:szCs w:val="22"/>
        </w:rPr>
        <w:t xml:space="preserve"> de octubre 2021, sin embargo, participó en el proceso de registro de oferta pública del Programa de Emisiones de Bonos Estandarizados Serie B.</w:t>
      </w:r>
    </w:p>
    <w:p w14:paraId="33274ED2" w14:textId="77777777" w:rsidR="00C5088C" w:rsidRPr="00205C60" w:rsidRDefault="00C5088C" w:rsidP="006713AB">
      <w:pPr>
        <w:jc w:val="center"/>
        <w:rPr>
          <w:rFonts w:ascii="Verdana" w:hAnsi="Verdana" w:cs="Arial"/>
          <w:b/>
          <w:bCs/>
          <w:color w:val="000000"/>
          <w:sz w:val="22"/>
          <w:szCs w:val="22"/>
        </w:rPr>
      </w:pPr>
    </w:p>
    <w:p w14:paraId="3CA7E76F" w14:textId="05AA922E" w:rsidR="00FF0E3A" w:rsidRPr="00205C60" w:rsidRDefault="006713AB" w:rsidP="006713AB">
      <w:pPr>
        <w:jc w:val="center"/>
        <w:rPr>
          <w:rFonts w:ascii="Verdana" w:hAnsi="Verdana"/>
          <w:b/>
          <w:bCs/>
          <w:color w:val="000000"/>
          <w:sz w:val="22"/>
          <w:szCs w:val="22"/>
        </w:rPr>
      </w:pPr>
      <w:r w:rsidRPr="00205C60">
        <w:rPr>
          <w:rFonts w:ascii="Verdana" w:hAnsi="Verdana" w:cs="Arial"/>
          <w:b/>
          <w:bCs/>
          <w:color w:val="000000"/>
          <w:sz w:val="22"/>
          <w:szCs w:val="22"/>
        </w:rPr>
        <w:t>POR PARTE DE BCR BANCA DE INVERSION</w:t>
      </w:r>
    </w:p>
    <w:tbl>
      <w:tblPr>
        <w:tblW w:w="8077" w:type="dxa"/>
        <w:jc w:val="center"/>
        <w:tblCellMar>
          <w:left w:w="70" w:type="dxa"/>
          <w:right w:w="70" w:type="dxa"/>
        </w:tblCellMar>
        <w:tblLook w:val="04A0" w:firstRow="1" w:lastRow="0" w:firstColumn="1" w:lastColumn="0" w:noHBand="0" w:noVBand="1"/>
      </w:tblPr>
      <w:tblGrid>
        <w:gridCol w:w="2492"/>
        <w:gridCol w:w="3796"/>
        <w:gridCol w:w="1789"/>
      </w:tblGrid>
      <w:tr w:rsidR="00201F98" w:rsidRPr="00205C60" w14:paraId="3CA7E774" w14:textId="77777777" w:rsidTr="00201F98">
        <w:trPr>
          <w:trHeight w:val="375"/>
          <w:jc w:val="center"/>
        </w:trPr>
        <w:tc>
          <w:tcPr>
            <w:tcW w:w="2492" w:type="dxa"/>
            <w:tcBorders>
              <w:top w:val="single" w:sz="4" w:space="0" w:color="auto"/>
              <w:left w:val="single" w:sz="4" w:space="0" w:color="auto"/>
              <w:bottom w:val="single" w:sz="4" w:space="0" w:color="auto"/>
              <w:right w:val="single" w:sz="8" w:space="0" w:color="auto"/>
            </w:tcBorders>
            <w:shd w:val="clear" w:color="auto" w:fill="auto"/>
            <w:vAlign w:val="center"/>
          </w:tcPr>
          <w:p w14:paraId="3CA7E771" w14:textId="77777777" w:rsidR="00201F98" w:rsidRPr="00205C60" w:rsidRDefault="00201F98" w:rsidP="00201F98">
            <w:pPr>
              <w:jc w:val="center"/>
              <w:rPr>
                <w:rFonts w:ascii="Verdana" w:hAnsi="Verdana" w:cs="Arial"/>
                <w:b/>
                <w:color w:val="000000"/>
                <w:sz w:val="22"/>
                <w:szCs w:val="22"/>
                <w:lang w:eastAsia="es-CR"/>
              </w:rPr>
            </w:pPr>
            <w:r w:rsidRPr="00205C60">
              <w:rPr>
                <w:rFonts w:ascii="Verdana" w:hAnsi="Verdana" w:cs="Arial"/>
                <w:b/>
                <w:color w:val="000000"/>
                <w:sz w:val="22"/>
                <w:szCs w:val="22"/>
                <w:lang w:eastAsia="es-CR"/>
              </w:rPr>
              <w:t>Nombre</w:t>
            </w:r>
          </w:p>
        </w:tc>
        <w:tc>
          <w:tcPr>
            <w:tcW w:w="3796" w:type="dxa"/>
            <w:tcBorders>
              <w:top w:val="single" w:sz="4" w:space="0" w:color="auto"/>
              <w:left w:val="nil"/>
              <w:bottom w:val="single" w:sz="4" w:space="0" w:color="auto"/>
              <w:right w:val="single" w:sz="8" w:space="0" w:color="auto"/>
            </w:tcBorders>
            <w:shd w:val="clear" w:color="auto" w:fill="auto"/>
            <w:vAlign w:val="center"/>
          </w:tcPr>
          <w:p w14:paraId="3CA7E772" w14:textId="77777777" w:rsidR="00201F98" w:rsidRPr="00205C60" w:rsidRDefault="00201F98" w:rsidP="00201F98">
            <w:pPr>
              <w:jc w:val="center"/>
              <w:rPr>
                <w:rFonts w:ascii="Verdana" w:hAnsi="Verdana" w:cs="Arial"/>
                <w:b/>
                <w:color w:val="000000"/>
                <w:sz w:val="22"/>
                <w:szCs w:val="22"/>
                <w:lang w:eastAsia="es-CR"/>
              </w:rPr>
            </w:pPr>
            <w:r w:rsidRPr="00205C60">
              <w:rPr>
                <w:rFonts w:ascii="Verdana" w:hAnsi="Verdana" w:cs="Arial"/>
                <w:b/>
                <w:color w:val="000000"/>
                <w:sz w:val="22"/>
                <w:szCs w:val="22"/>
                <w:lang w:eastAsia="es-CR"/>
              </w:rPr>
              <w:t>Cargo</w:t>
            </w:r>
          </w:p>
        </w:tc>
        <w:tc>
          <w:tcPr>
            <w:tcW w:w="1789" w:type="dxa"/>
            <w:tcBorders>
              <w:top w:val="single" w:sz="4" w:space="0" w:color="auto"/>
              <w:left w:val="nil"/>
              <w:bottom w:val="single" w:sz="4" w:space="0" w:color="auto"/>
              <w:right w:val="single" w:sz="4" w:space="0" w:color="auto"/>
            </w:tcBorders>
            <w:shd w:val="clear" w:color="auto" w:fill="auto"/>
            <w:vAlign w:val="center"/>
          </w:tcPr>
          <w:p w14:paraId="3CA7E773" w14:textId="77777777" w:rsidR="00201F98" w:rsidRPr="00205C60" w:rsidRDefault="00201F98" w:rsidP="00201F98">
            <w:pPr>
              <w:jc w:val="center"/>
              <w:rPr>
                <w:rFonts w:ascii="Verdana" w:hAnsi="Verdana" w:cs="Arial"/>
                <w:b/>
                <w:color w:val="000000"/>
                <w:sz w:val="22"/>
                <w:szCs w:val="22"/>
                <w:lang w:eastAsia="es-CR"/>
              </w:rPr>
            </w:pPr>
            <w:r w:rsidRPr="00205C60">
              <w:rPr>
                <w:rFonts w:ascii="Verdana" w:hAnsi="Verdana" w:cs="Arial"/>
                <w:b/>
                <w:color w:val="000000"/>
                <w:sz w:val="22"/>
                <w:szCs w:val="22"/>
                <w:lang w:eastAsia="es-CR"/>
              </w:rPr>
              <w:t>Participación</w:t>
            </w:r>
          </w:p>
        </w:tc>
      </w:tr>
      <w:tr w:rsidR="00201F98" w:rsidRPr="00205C60" w14:paraId="3CA7E778" w14:textId="77777777" w:rsidTr="00201F98">
        <w:trPr>
          <w:trHeight w:val="375"/>
          <w:jc w:val="center"/>
        </w:trPr>
        <w:tc>
          <w:tcPr>
            <w:tcW w:w="2492"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CA7E775" w14:textId="77777777" w:rsidR="00201F98" w:rsidRPr="00205C60" w:rsidRDefault="00201F98" w:rsidP="00201F98">
            <w:pPr>
              <w:jc w:val="both"/>
              <w:rPr>
                <w:rFonts w:ascii="Verdana" w:hAnsi="Verdana" w:cs="Arial"/>
                <w:color w:val="000000"/>
                <w:sz w:val="22"/>
                <w:szCs w:val="22"/>
                <w:lang w:val="es-CR" w:eastAsia="es-CR"/>
              </w:rPr>
            </w:pPr>
            <w:r w:rsidRPr="00205C60">
              <w:rPr>
                <w:rFonts w:ascii="Verdana" w:hAnsi="Verdana" w:cs="Arial"/>
                <w:color w:val="000000"/>
                <w:sz w:val="22"/>
                <w:szCs w:val="22"/>
                <w:lang w:eastAsia="es-CR"/>
              </w:rPr>
              <w:t>Francisco Acuña Alfaro</w:t>
            </w:r>
          </w:p>
        </w:tc>
        <w:tc>
          <w:tcPr>
            <w:tcW w:w="3796" w:type="dxa"/>
            <w:tcBorders>
              <w:top w:val="single" w:sz="4" w:space="0" w:color="auto"/>
              <w:left w:val="nil"/>
              <w:bottom w:val="single" w:sz="8" w:space="0" w:color="auto"/>
              <w:right w:val="single" w:sz="8" w:space="0" w:color="auto"/>
            </w:tcBorders>
            <w:shd w:val="clear" w:color="auto" w:fill="auto"/>
            <w:vAlign w:val="center"/>
            <w:hideMark/>
          </w:tcPr>
          <w:p w14:paraId="3CA7E776" w14:textId="77777777" w:rsidR="00201F98" w:rsidRPr="00205C60" w:rsidRDefault="00201F98" w:rsidP="00201F98">
            <w:pPr>
              <w:jc w:val="both"/>
              <w:rPr>
                <w:rFonts w:ascii="Verdana" w:hAnsi="Verdana" w:cs="Arial"/>
                <w:color w:val="000000"/>
                <w:sz w:val="22"/>
                <w:szCs w:val="22"/>
                <w:lang w:val="es-CR" w:eastAsia="es-CR"/>
              </w:rPr>
            </w:pPr>
            <w:r w:rsidRPr="00205C60">
              <w:rPr>
                <w:rFonts w:ascii="Verdana" w:hAnsi="Verdana" w:cs="Arial"/>
                <w:color w:val="000000"/>
                <w:sz w:val="22"/>
                <w:szCs w:val="22"/>
                <w:lang w:eastAsia="es-CR"/>
              </w:rPr>
              <w:t xml:space="preserve">Gerente División Finanzas Corporativas </w:t>
            </w:r>
          </w:p>
        </w:tc>
        <w:tc>
          <w:tcPr>
            <w:tcW w:w="1789" w:type="dxa"/>
            <w:tcBorders>
              <w:top w:val="single" w:sz="4" w:space="0" w:color="auto"/>
              <w:left w:val="nil"/>
              <w:bottom w:val="single" w:sz="8" w:space="0" w:color="auto"/>
              <w:right w:val="single" w:sz="8" w:space="0" w:color="auto"/>
            </w:tcBorders>
            <w:shd w:val="clear" w:color="auto" w:fill="auto"/>
            <w:vAlign w:val="center"/>
            <w:hideMark/>
          </w:tcPr>
          <w:p w14:paraId="3CA7E777" w14:textId="77777777" w:rsidR="00201F98" w:rsidRPr="00205C60" w:rsidRDefault="00201F98" w:rsidP="00201F98">
            <w:pPr>
              <w:jc w:val="center"/>
              <w:rPr>
                <w:rFonts w:ascii="Verdana" w:hAnsi="Verdana" w:cs="Arial"/>
                <w:color w:val="000000"/>
                <w:sz w:val="22"/>
                <w:szCs w:val="22"/>
                <w:lang w:val="es-CR" w:eastAsia="es-CR"/>
              </w:rPr>
            </w:pPr>
            <w:r w:rsidRPr="00205C60">
              <w:rPr>
                <w:rFonts w:ascii="Verdana" w:hAnsi="Verdana" w:cs="Arial"/>
                <w:color w:val="000000"/>
                <w:sz w:val="22"/>
                <w:szCs w:val="22"/>
                <w:lang w:eastAsia="es-CR"/>
              </w:rPr>
              <w:t>Estructurador</w:t>
            </w:r>
          </w:p>
        </w:tc>
      </w:tr>
      <w:tr w:rsidR="00201F98" w:rsidRPr="00205C60" w14:paraId="3CA7E77C" w14:textId="77777777" w:rsidTr="00201F98">
        <w:trPr>
          <w:trHeight w:val="375"/>
          <w:jc w:val="center"/>
        </w:trPr>
        <w:tc>
          <w:tcPr>
            <w:tcW w:w="2492" w:type="dxa"/>
            <w:tcBorders>
              <w:top w:val="nil"/>
              <w:left w:val="single" w:sz="8" w:space="0" w:color="auto"/>
              <w:bottom w:val="single" w:sz="8" w:space="0" w:color="auto"/>
              <w:right w:val="single" w:sz="8" w:space="0" w:color="auto"/>
            </w:tcBorders>
            <w:shd w:val="clear" w:color="auto" w:fill="auto"/>
            <w:vAlign w:val="center"/>
            <w:hideMark/>
          </w:tcPr>
          <w:p w14:paraId="3CA7E779" w14:textId="77777777" w:rsidR="00201F98" w:rsidRPr="00205C60" w:rsidRDefault="00201F98" w:rsidP="00201F98">
            <w:pPr>
              <w:jc w:val="both"/>
              <w:rPr>
                <w:rFonts w:ascii="Verdana" w:hAnsi="Verdana" w:cs="Arial"/>
                <w:color w:val="000000"/>
                <w:sz w:val="22"/>
                <w:szCs w:val="22"/>
                <w:lang w:val="es-CR" w:eastAsia="es-CR"/>
              </w:rPr>
            </w:pPr>
            <w:r w:rsidRPr="00205C60">
              <w:rPr>
                <w:rFonts w:ascii="Verdana" w:hAnsi="Verdana" w:cs="Arial"/>
                <w:color w:val="000000"/>
                <w:sz w:val="22"/>
                <w:szCs w:val="22"/>
                <w:lang w:eastAsia="es-CR"/>
              </w:rPr>
              <w:t>Roy Benamburg Guerrero</w:t>
            </w:r>
          </w:p>
        </w:tc>
        <w:tc>
          <w:tcPr>
            <w:tcW w:w="3796" w:type="dxa"/>
            <w:tcBorders>
              <w:top w:val="nil"/>
              <w:left w:val="nil"/>
              <w:bottom w:val="single" w:sz="8" w:space="0" w:color="auto"/>
              <w:right w:val="single" w:sz="8" w:space="0" w:color="auto"/>
            </w:tcBorders>
            <w:shd w:val="clear" w:color="auto" w:fill="auto"/>
            <w:vAlign w:val="center"/>
            <w:hideMark/>
          </w:tcPr>
          <w:p w14:paraId="3CA7E77A" w14:textId="77777777" w:rsidR="00201F98" w:rsidRPr="00205C60" w:rsidRDefault="00201F98" w:rsidP="00201F98">
            <w:pPr>
              <w:jc w:val="both"/>
              <w:rPr>
                <w:rFonts w:ascii="Verdana" w:hAnsi="Verdana" w:cs="Arial"/>
                <w:color w:val="000000"/>
                <w:sz w:val="22"/>
                <w:szCs w:val="22"/>
                <w:lang w:val="es-CR" w:eastAsia="es-CR"/>
              </w:rPr>
            </w:pPr>
            <w:r w:rsidRPr="00205C60">
              <w:rPr>
                <w:rFonts w:ascii="Verdana" w:hAnsi="Verdana" w:cs="Arial"/>
                <w:color w:val="000000"/>
                <w:sz w:val="22"/>
                <w:szCs w:val="22"/>
                <w:lang w:eastAsia="es-CR"/>
              </w:rPr>
              <w:t xml:space="preserve">Gerente Banca de Inversión </w:t>
            </w:r>
          </w:p>
        </w:tc>
        <w:tc>
          <w:tcPr>
            <w:tcW w:w="1789" w:type="dxa"/>
            <w:tcBorders>
              <w:top w:val="nil"/>
              <w:left w:val="nil"/>
              <w:bottom w:val="single" w:sz="8" w:space="0" w:color="auto"/>
              <w:right w:val="single" w:sz="8" w:space="0" w:color="auto"/>
            </w:tcBorders>
            <w:shd w:val="clear" w:color="auto" w:fill="auto"/>
            <w:vAlign w:val="center"/>
            <w:hideMark/>
          </w:tcPr>
          <w:p w14:paraId="3CA7E77B" w14:textId="77777777" w:rsidR="00201F98" w:rsidRPr="00205C60" w:rsidRDefault="00201F98" w:rsidP="00201F98">
            <w:pPr>
              <w:jc w:val="center"/>
              <w:rPr>
                <w:rFonts w:ascii="Verdana" w:hAnsi="Verdana" w:cs="Arial"/>
                <w:color w:val="000000"/>
                <w:sz w:val="22"/>
                <w:szCs w:val="22"/>
                <w:lang w:val="es-CR" w:eastAsia="es-CR"/>
              </w:rPr>
            </w:pPr>
            <w:r w:rsidRPr="00205C60">
              <w:rPr>
                <w:rFonts w:ascii="Verdana" w:hAnsi="Verdana" w:cs="Arial"/>
                <w:color w:val="000000"/>
                <w:sz w:val="22"/>
                <w:szCs w:val="22"/>
                <w:lang w:eastAsia="es-CR"/>
              </w:rPr>
              <w:t>Estructurador</w:t>
            </w:r>
          </w:p>
        </w:tc>
      </w:tr>
      <w:tr w:rsidR="00201F98" w:rsidRPr="00205C60" w14:paraId="3CA7E780" w14:textId="77777777" w:rsidTr="00201F98">
        <w:trPr>
          <w:trHeight w:val="375"/>
          <w:jc w:val="center"/>
        </w:trPr>
        <w:tc>
          <w:tcPr>
            <w:tcW w:w="2492" w:type="dxa"/>
            <w:tcBorders>
              <w:top w:val="nil"/>
              <w:left w:val="single" w:sz="8" w:space="0" w:color="auto"/>
              <w:bottom w:val="single" w:sz="8" w:space="0" w:color="auto"/>
              <w:right w:val="single" w:sz="8" w:space="0" w:color="auto"/>
            </w:tcBorders>
            <w:shd w:val="clear" w:color="auto" w:fill="auto"/>
            <w:vAlign w:val="center"/>
            <w:hideMark/>
          </w:tcPr>
          <w:p w14:paraId="3CA7E77D" w14:textId="77777777" w:rsidR="00201F98" w:rsidRPr="00205C60" w:rsidRDefault="00201F98" w:rsidP="00201F98">
            <w:pPr>
              <w:jc w:val="both"/>
              <w:rPr>
                <w:rFonts w:ascii="Verdana" w:hAnsi="Verdana" w:cs="Arial"/>
                <w:color w:val="000000"/>
                <w:sz w:val="22"/>
                <w:szCs w:val="22"/>
                <w:lang w:val="es-CR" w:eastAsia="es-CR"/>
              </w:rPr>
            </w:pPr>
            <w:r w:rsidRPr="00205C60">
              <w:rPr>
                <w:rFonts w:ascii="Verdana" w:hAnsi="Verdana" w:cs="Arial"/>
                <w:color w:val="000000"/>
                <w:sz w:val="22"/>
                <w:szCs w:val="22"/>
                <w:lang w:eastAsia="es-CR"/>
              </w:rPr>
              <w:t>Luis Demetrio Ramírez N.</w:t>
            </w:r>
          </w:p>
        </w:tc>
        <w:tc>
          <w:tcPr>
            <w:tcW w:w="3796" w:type="dxa"/>
            <w:tcBorders>
              <w:top w:val="nil"/>
              <w:left w:val="nil"/>
              <w:bottom w:val="single" w:sz="8" w:space="0" w:color="auto"/>
              <w:right w:val="single" w:sz="8" w:space="0" w:color="auto"/>
            </w:tcBorders>
            <w:shd w:val="clear" w:color="auto" w:fill="auto"/>
            <w:vAlign w:val="center"/>
            <w:hideMark/>
          </w:tcPr>
          <w:p w14:paraId="3CA7E77E" w14:textId="77777777" w:rsidR="00201F98" w:rsidRPr="00205C60" w:rsidRDefault="00201F98" w:rsidP="00201F98">
            <w:pPr>
              <w:jc w:val="both"/>
              <w:rPr>
                <w:rFonts w:ascii="Verdana" w:hAnsi="Verdana" w:cs="Arial"/>
                <w:color w:val="000000"/>
                <w:sz w:val="22"/>
                <w:szCs w:val="22"/>
                <w:lang w:val="es-CR" w:eastAsia="es-CR"/>
              </w:rPr>
            </w:pPr>
            <w:r w:rsidRPr="00205C60">
              <w:rPr>
                <w:rFonts w:ascii="Verdana" w:hAnsi="Verdana" w:cs="Arial"/>
                <w:color w:val="000000"/>
                <w:sz w:val="22"/>
                <w:szCs w:val="22"/>
                <w:lang w:eastAsia="es-CR"/>
              </w:rPr>
              <w:t xml:space="preserve">Especialista Estructuración Financiera </w:t>
            </w:r>
          </w:p>
        </w:tc>
        <w:tc>
          <w:tcPr>
            <w:tcW w:w="1789" w:type="dxa"/>
            <w:tcBorders>
              <w:top w:val="nil"/>
              <w:left w:val="nil"/>
              <w:bottom w:val="single" w:sz="8" w:space="0" w:color="auto"/>
              <w:right w:val="single" w:sz="8" w:space="0" w:color="auto"/>
            </w:tcBorders>
            <w:shd w:val="clear" w:color="auto" w:fill="auto"/>
            <w:vAlign w:val="center"/>
            <w:hideMark/>
          </w:tcPr>
          <w:p w14:paraId="3CA7E77F" w14:textId="77777777" w:rsidR="00201F98" w:rsidRPr="00205C60" w:rsidRDefault="00201F98" w:rsidP="00201F98">
            <w:pPr>
              <w:jc w:val="center"/>
              <w:rPr>
                <w:rFonts w:ascii="Verdana" w:hAnsi="Verdana" w:cs="Arial"/>
                <w:color w:val="000000"/>
                <w:sz w:val="22"/>
                <w:szCs w:val="22"/>
                <w:lang w:val="es-CR" w:eastAsia="es-CR"/>
              </w:rPr>
            </w:pPr>
            <w:r w:rsidRPr="00205C60">
              <w:rPr>
                <w:rFonts w:ascii="Verdana" w:hAnsi="Verdana" w:cs="Arial"/>
                <w:color w:val="000000"/>
                <w:sz w:val="22"/>
                <w:szCs w:val="22"/>
                <w:lang w:eastAsia="es-CR"/>
              </w:rPr>
              <w:t>Estructurador</w:t>
            </w:r>
          </w:p>
        </w:tc>
      </w:tr>
      <w:tr w:rsidR="00201F98" w:rsidRPr="00205C60" w14:paraId="3CA7E784" w14:textId="77777777" w:rsidTr="00201F98">
        <w:trPr>
          <w:trHeight w:val="375"/>
          <w:jc w:val="center"/>
        </w:trPr>
        <w:tc>
          <w:tcPr>
            <w:tcW w:w="2492" w:type="dxa"/>
            <w:tcBorders>
              <w:top w:val="nil"/>
              <w:left w:val="single" w:sz="8" w:space="0" w:color="auto"/>
              <w:bottom w:val="single" w:sz="8" w:space="0" w:color="auto"/>
              <w:right w:val="single" w:sz="8" w:space="0" w:color="auto"/>
            </w:tcBorders>
            <w:shd w:val="clear" w:color="auto" w:fill="auto"/>
            <w:vAlign w:val="center"/>
            <w:hideMark/>
          </w:tcPr>
          <w:p w14:paraId="3CA7E781" w14:textId="77777777" w:rsidR="00201F98" w:rsidRPr="00205C60" w:rsidRDefault="00201F98" w:rsidP="00201F98">
            <w:pPr>
              <w:jc w:val="both"/>
              <w:rPr>
                <w:rFonts w:ascii="Verdana" w:hAnsi="Verdana" w:cs="Arial"/>
                <w:color w:val="000000"/>
                <w:sz w:val="22"/>
                <w:szCs w:val="22"/>
                <w:lang w:val="es-CR" w:eastAsia="es-CR"/>
              </w:rPr>
            </w:pPr>
            <w:r w:rsidRPr="00205C60">
              <w:rPr>
                <w:rFonts w:ascii="Verdana" w:hAnsi="Verdana" w:cs="Arial"/>
                <w:color w:val="000000"/>
                <w:sz w:val="22"/>
                <w:szCs w:val="22"/>
                <w:lang w:eastAsia="es-CR"/>
              </w:rPr>
              <w:t>Edgar Miranda Navarro</w:t>
            </w:r>
          </w:p>
        </w:tc>
        <w:tc>
          <w:tcPr>
            <w:tcW w:w="3796" w:type="dxa"/>
            <w:tcBorders>
              <w:top w:val="nil"/>
              <w:left w:val="nil"/>
              <w:bottom w:val="single" w:sz="8" w:space="0" w:color="auto"/>
              <w:right w:val="single" w:sz="8" w:space="0" w:color="auto"/>
            </w:tcBorders>
            <w:shd w:val="clear" w:color="auto" w:fill="auto"/>
            <w:vAlign w:val="center"/>
            <w:hideMark/>
          </w:tcPr>
          <w:p w14:paraId="3CA7E782" w14:textId="77777777" w:rsidR="00201F98" w:rsidRPr="00205C60" w:rsidRDefault="00201F98" w:rsidP="00201F98">
            <w:pPr>
              <w:jc w:val="both"/>
              <w:rPr>
                <w:rFonts w:ascii="Verdana" w:hAnsi="Verdana" w:cs="Arial"/>
                <w:color w:val="000000"/>
                <w:sz w:val="22"/>
                <w:szCs w:val="22"/>
                <w:lang w:val="es-CR" w:eastAsia="es-CR"/>
              </w:rPr>
            </w:pPr>
            <w:r w:rsidRPr="00205C60">
              <w:rPr>
                <w:rFonts w:ascii="Verdana" w:hAnsi="Verdana" w:cs="Arial"/>
                <w:color w:val="000000"/>
                <w:sz w:val="22"/>
                <w:szCs w:val="22"/>
                <w:lang w:eastAsia="es-CR"/>
              </w:rPr>
              <w:t xml:space="preserve">Especialista Estructuración Financiera </w:t>
            </w:r>
          </w:p>
        </w:tc>
        <w:tc>
          <w:tcPr>
            <w:tcW w:w="1789" w:type="dxa"/>
            <w:tcBorders>
              <w:top w:val="nil"/>
              <w:left w:val="nil"/>
              <w:bottom w:val="single" w:sz="8" w:space="0" w:color="auto"/>
              <w:right w:val="single" w:sz="8" w:space="0" w:color="auto"/>
            </w:tcBorders>
            <w:shd w:val="clear" w:color="auto" w:fill="auto"/>
            <w:vAlign w:val="center"/>
            <w:hideMark/>
          </w:tcPr>
          <w:p w14:paraId="3CA7E783" w14:textId="77777777" w:rsidR="00201F98" w:rsidRPr="00205C60" w:rsidRDefault="00201F98" w:rsidP="00201F98">
            <w:pPr>
              <w:jc w:val="center"/>
              <w:rPr>
                <w:rFonts w:ascii="Verdana" w:hAnsi="Verdana" w:cs="Arial"/>
                <w:color w:val="000000"/>
                <w:sz w:val="22"/>
                <w:szCs w:val="22"/>
                <w:lang w:val="es-CR" w:eastAsia="es-CR"/>
              </w:rPr>
            </w:pPr>
            <w:r w:rsidRPr="00205C60">
              <w:rPr>
                <w:rFonts w:ascii="Verdana" w:hAnsi="Verdana" w:cs="Arial"/>
                <w:color w:val="000000"/>
                <w:sz w:val="22"/>
                <w:szCs w:val="22"/>
                <w:lang w:eastAsia="es-CR"/>
              </w:rPr>
              <w:t>Estructurador</w:t>
            </w:r>
          </w:p>
        </w:tc>
      </w:tr>
    </w:tbl>
    <w:p w14:paraId="3CA7E785" w14:textId="77777777" w:rsidR="003F6CBA" w:rsidRPr="00205C60" w:rsidRDefault="003F6CBA" w:rsidP="00DB5038">
      <w:pPr>
        <w:rPr>
          <w:rFonts w:ascii="Verdana" w:hAnsi="Verdana"/>
          <w:sz w:val="22"/>
          <w:szCs w:val="22"/>
        </w:rPr>
      </w:pPr>
    </w:p>
    <w:p w14:paraId="3CA7E788" w14:textId="547FF162" w:rsidR="000738B9" w:rsidRPr="00205C60" w:rsidRDefault="000738B9">
      <w:pPr>
        <w:rPr>
          <w:rFonts w:ascii="Verdana" w:hAnsi="Verdana"/>
          <w:sz w:val="22"/>
          <w:szCs w:val="22"/>
        </w:rPr>
      </w:pPr>
      <w:r w:rsidRPr="00205C60">
        <w:rPr>
          <w:rFonts w:ascii="Verdana" w:hAnsi="Verdana"/>
          <w:sz w:val="22"/>
          <w:szCs w:val="22"/>
        </w:rPr>
        <w:br w:type="page"/>
      </w:r>
    </w:p>
    <w:p w14:paraId="4B5C21FB" w14:textId="77777777" w:rsidR="00360E80" w:rsidRPr="00205C60" w:rsidRDefault="00360E80" w:rsidP="00DB5038">
      <w:pPr>
        <w:rPr>
          <w:rFonts w:ascii="Verdana" w:hAnsi="Verdana"/>
          <w:sz w:val="22"/>
          <w:szCs w:val="22"/>
        </w:rPr>
      </w:pPr>
    </w:p>
    <w:p w14:paraId="3CA7E796" w14:textId="77777777" w:rsidR="00B44125" w:rsidRPr="00205C60" w:rsidRDefault="0090591D">
      <w:pPr>
        <w:pStyle w:val="Ttulo1"/>
        <w:numPr>
          <w:ilvl w:val="0"/>
          <w:numId w:val="0"/>
        </w:numPr>
        <w:jc w:val="center"/>
        <w:rPr>
          <w:rFonts w:ascii="Verdana" w:hAnsi="Verdana" w:cs="Arial"/>
          <w:bCs/>
          <w:sz w:val="22"/>
          <w:szCs w:val="22"/>
        </w:rPr>
      </w:pPr>
      <w:bookmarkStart w:id="36" w:name="_Toc104529450"/>
      <w:r w:rsidRPr="00205C60">
        <w:rPr>
          <w:rFonts w:ascii="Verdana" w:hAnsi="Verdana" w:cs="Arial"/>
          <w:bCs/>
          <w:sz w:val="22"/>
          <w:szCs w:val="22"/>
        </w:rPr>
        <w:t>C</w:t>
      </w:r>
      <w:r w:rsidR="00B44125" w:rsidRPr="00205C60">
        <w:rPr>
          <w:rFonts w:ascii="Verdana" w:hAnsi="Verdana" w:cs="Arial"/>
          <w:bCs/>
          <w:sz w:val="22"/>
          <w:szCs w:val="22"/>
        </w:rPr>
        <w:t>APITULO II</w:t>
      </w:r>
      <w:bookmarkStart w:id="37" w:name="_Toc64695495"/>
      <w:bookmarkEnd w:id="34"/>
      <w:bookmarkEnd w:id="36"/>
    </w:p>
    <w:p w14:paraId="3CA7E797" w14:textId="77777777" w:rsidR="00B44125" w:rsidRPr="00205C60" w:rsidRDefault="00B44125">
      <w:pPr>
        <w:pStyle w:val="Ttulo1"/>
        <w:numPr>
          <w:ilvl w:val="0"/>
          <w:numId w:val="0"/>
        </w:numPr>
        <w:jc w:val="center"/>
        <w:rPr>
          <w:rFonts w:ascii="Verdana" w:hAnsi="Verdana" w:cs="Arial"/>
          <w:bCs/>
          <w:sz w:val="22"/>
          <w:szCs w:val="22"/>
        </w:rPr>
      </w:pPr>
      <w:r w:rsidRPr="00205C60">
        <w:rPr>
          <w:rFonts w:ascii="Verdana" w:hAnsi="Verdana" w:cs="Arial"/>
          <w:bCs/>
          <w:sz w:val="22"/>
          <w:szCs w:val="22"/>
        </w:rPr>
        <w:t xml:space="preserve"> </w:t>
      </w:r>
      <w:bookmarkStart w:id="38" w:name="_Toc104529451"/>
      <w:r w:rsidRPr="00205C60">
        <w:rPr>
          <w:rFonts w:ascii="Verdana" w:hAnsi="Verdana" w:cs="Arial"/>
          <w:bCs/>
          <w:sz w:val="22"/>
          <w:szCs w:val="22"/>
        </w:rPr>
        <w:t>INFORMACIÓN ESENCIAL</w:t>
      </w:r>
      <w:bookmarkEnd w:id="35"/>
      <w:bookmarkEnd w:id="37"/>
      <w:bookmarkEnd w:id="38"/>
    </w:p>
    <w:p w14:paraId="3CA7E798" w14:textId="77777777" w:rsidR="00B44125" w:rsidRPr="00205C60" w:rsidRDefault="00B44125">
      <w:pPr>
        <w:jc w:val="both"/>
        <w:rPr>
          <w:rFonts w:ascii="Verdana" w:hAnsi="Verdana" w:cs="Arial"/>
          <w:b/>
          <w:sz w:val="22"/>
          <w:szCs w:val="22"/>
        </w:rPr>
      </w:pPr>
    </w:p>
    <w:p w14:paraId="3CA7E799" w14:textId="77777777" w:rsidR="00B754E2" w:rsidRPr="00205C60" w:rsidRDefault="00B754E2">
      <w:pPr>
        <w:jc w:val="both"/>
        <w:rPr>
          <w:rFonts w:ascii="Verdana" w:hAnsi="Verdana" w:cs="Arial"/>
          <w:b/>
          <w:sz w:val="22"/>
          <w:szCs w:val="22"/>
        </w:rPr>
      </w:pPr>
    </w:p>
    <w:p w14:paraId="3CA7E79A" w14:textId="77777777" w:rsidR="00450862" w:rsidRPr="00205C60" w:rsidRDefault="00450862" w:rsidP="00882F32">
      <w:pPr>
        <w:pStyle w:val="Ttulo2"/>
        <w:numPr>
          <w:ilvl w:val="1"/>
          <w:numId w:val="19"/>
        </w:numPr>
        <w:tabs>
          <w:tab w:val="clear" w:pos="1241"/>
          <w:tab w:val="left" w:pos="993"/>
        </w:tabs>
        <w:spacing w:line="120" w:lineRule="atLeast"/>
        <w:ind w:right="142"/>
        <w:rPr>
          <w:rFonts w:ascii="Verdana" w:hAnsi="Verdana" w:cs="Arial"/>
          <w:sz w:val="22"/>
          <w:szCs w:val="22"/>
        </w:rPr>
      </w:pPr>
      <w:bookmarkStart w:id="39" w:name="_Toc104529452"/>
      <w:bookmarkStart w:id="40" w:name="_Toc54600618"/>
      <w:bookmarkStart w:id="41" w:name="_Toc54601941"/>
      <w:bookmarkStart w:id="42" w:name="_Toc54602785"/>
      <w:bookmarkStart w:id="43" w:name="_Toc54603107"/>
      <w:bookmarkStart w:id="44" w:name="_Toc56426155"/>
      <w:bookmarkStart w:id="45" w:name="_Toc64699215"/>
      <w:r w:rsidRPr="00205C60">
        <w:rPr>
          <w:rFonts w:ascii="Verdana" w:hAnsi="Verdana" w:cs="Arial"/>
          <w:sz w:val="22"/>
          <w:szCs w:val="22"/>
        </w:rPr>
        <w:t>Factores de riesgo que afectan las emisiones y la empresa</w:t>
      </w:r>
      <w:bookmarkEnd w:id="39"/>
    </w:p>
    <w:bookmarkEnd w:id="40"/>
    <w:bookmarkEnd w:id="41"/>
    <w:bookmarkEnd w:id="42"/>
    <w:bookmarkEnd w:id="43"/>
    <w:bookmarkEnd w:id="44"/>
    <w:bookmarkEnd w:id="45"/>
    <w:p w14:paraId="3CA7E79B" w14:textId="77777777" w:rsidR="00731454" w:rsidRPr="00205C60" w:rsidRDefault="00731454" w:rsidP="00F53144">
      <w:pPr>
        <w:jc w:val="both"/>
        <w:rPr>
          <w:rFonts w:ascii="Verdana" w:hAnsi="Verdana" w:cs="Arial"/>
          <w:sz w:val="22"/>
          <w:szCs w:val="22"/>
        </w:rPr>
      </w:pPr>
    </w:p>
    <w:p w14:paraId="3CA7E79C" w14:textId="77777777" w:rsidR="00B44125" w:rsidRPr="00205C60" w:rsidRDefault="00B44125" w:rsidP="00F53144">
      <w:pPr>
        <w:jc w:val="both"/>
        <w:rPr>
          <w:rFonts w:ascii="Verdana" w:hAnsi="Verdana" w:cs="Arial"/>
          <w:sz w:val="22"/>
          <w:szCs w:val="22"/>
        </w:rPr>
      </w:pPr>
      <w:r w:rsidRPr="00205C60">
        <w:rPr>
          <w:rFonts w:ascii="Verdana" w:hAnsi="Verdana" w:cs="Arial"/>
          <w:sz w:val="22"/>
          <w:szCs w:val="22"/>
        </w:rPr>
        <w:t>Los factores de riesgo definen algunas situaciones, circunstancias o eventos que pueden suscitarse en la empresa y reducir o limitar el rendimiento y liquidez de los valores objeto de la oferta pública y traducirse en pérdidas para el inversionista. Las siguientes anotaciones se citan como orientación para evaluar el efecto que éstos podrían tener en su inversión.</w:t>
      </w:r>
    </w:p>
    <w:p w14:paraId="3CA7E79D" w14:textId="77777777" w:rsidR="009C3E2E" w:rsidRPr="00205C60" w:rsidRDefault="009C3E2E" w:rsidP="007B20DF">
      <w:pPr>
        <w:pStyle w:val="Ttulo2"/>
        <w:numPr>
          <w:ilvl w:val="0"/>
          <w:numId w:val="0"/>
        </w:numPr>
        <w:tabs>
          <w:tab w:val="clear" w:pos="1241"/>
          <w:tab w:val="left" w:pos="993"/>
        </w:tabs>
        <w:spacing w:line="120" w:lineRule="atLeast"/>
        <w:ind w:right="142"/>
        <w:rPr>
          <w:rFonts w:ascii="Verdana" w:hAnsi="Verdana" w:cs="Arial"/>
          <w:sz w:val="22"/>
          <w:szCs w:val="22"/>
        </w:rPr>
      </w:pPr>
      <w:bookmarkStart w:id="46" w:name="_Toc447098341"/>
      <w:bookmarkStart w:id="47" w:name="_Toc447098425"/>
      <w:bookmarkStart w:id="48" w:name="_Toc447099672"/>
      <w:bookmarkStart w:id="49" w:name="_Toc447099777"/>
      <w:bookmarkStart w:id="50" w:name="_Toc447099987"/>
      <w:bookmarkStart w:id="51" w:name="_Toc447108248"/>
      <w:bookmarkStart w:id="52" w:name="_Toc447108313"/>
      <w:bookmarkStart w:id="53" w:name="_Toc447108376"/>
      <w:bookmarkStart w:id="54" w:name="_Toc447109029"/>
      <w:bookmarkStart w:id="55" w:name="_Toc447109091"/>
      <w:bookmarkStart w:id="56" w:name="_Toc447109293"/>
      <w:bookmarkStart w:id="57" w:name="_Toc447109961"/>
      <w:bookmarkStart w:id="58" w:name="_Toc447110042"/>
      <w:bookmarkStart w:id="59" w:name="_Toc447110392"/>
      <w:bookmarkStart w:id="60" w:name="_Toc449427228"/>
      <w:bookmarkStart w:id="61" w:name="_Toc447098342"/>
      <w:bookmarkStart w:id="62" w:name="_Toc447098426"/>
      <w:bookmarkStart w:id="63" w:name="_Toc447099673"/>
      <w:bookmarkStart w:id="64" w:name="_Toc447099778"/>
      <w:bookmarkStart w:id="65" w:name="_Toc447099988"/>
      <w:bookmarkStart w:id="66" w:name="_Toc447108249"/>
      <w:bookmarkStart w:id="67" w:name="_Toc447108314"/>
      <w:bookmarkStart w:id="68" w:name="_Toc447108377"/>
      <w:bookmarkStart w:id="69" w:name="_Toc447109030"/>
      <w:bookmarkStart w:id="70" w:name="_Toc447109092"/>
      <w:bookmarkStart w:id="71" w:name="_Toc447109294"/>
      <w:bookmarkStart w:id="72" w:name="_Toc447109962"/>
      <w:bookmarkStart w:id="73" w:name="_Toc447110043"/>
      <w:bookmarkStart w:id="74" w:name="_Toc447110393"/>
      <w:bookmarkStart w:id="75" w:name="_Toc449427229"/>
      <w:bookmarkStart w:id="76" w:name="_Toc447098343"/>
      <w:bookmarkStart w:id="77" w:name="_Toc447098427"/>
      <w:bookmarkStart w:id="78" w:name="_Toc447099674"/>
      <w:bookmarkStart w:id="79" w:name="_Toc447099779"/>
      <w:bookmarkStart w:id="80" w:name="_Toc447099989"/>
      <w:bookmarkStart w:id="81" w:name="_Toc447108250"/>
      <w:bookmarkStart w:id="82" w:name="_Toc447108315"/>
      <w:bookmarkStart w:id="83" w:name="_Toc447108378"/>
      <w:bookmarkStart w:id="84" w:name="_Toc447109031"/>
      <w:bookmarkStart w:id="85" w:name="_Toc447109093"/>
      <w:bookmarkStart w:id="86" w:name="_Toc447109295"/>
      <w:bookmarkStart w:id="87" w:name="_Toc447109963"/>
      <w:bookmarkStart w:id="88" w:name="_Toc447110044"/>
      <w:bookmarkStart w:id="89" w:name="_Toc447110394"/>
      <w:bookmarkStart w:id="90" w:name="_Toc449427230"/>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3CA7E79E" w14:textId="77777777" w:rsidR="009867A1" w:rsidRPr="00205C60" w:rsidRDefault="009867A1" w:rsidP="009867A1">
      <w:pPr>
        <w:rPr>
          <w:rFonts w:ascii="Verdana" w:hAnsi="Verdana"/>
          <w:sz w:val="22"/>
          <w:szCs w:val="22"/>
        </w:rPr>
      </w:pPr>
    </w:p>
    <w:p w14:paraId="3CA7E79F" w14:textId="77777777" w:rsidR="00005AAE" w:rsidRPr="00205C60" w:rsidRDefault="009C3E2E" w:rsidP="009C3E2E">
      <w:pPr>
        <w:pStyle w:val="Ttulo2"/>
        <w:numPr>
          <w:ilvl w:val="0"/>
          <w:numId w:val="0"/>
        </w:numPr>
        <w:tabs>
          <w:tab w:val="clear" w:pos="1241"/>
          <w:tab w:val="left" w:pos="993"/>
        </w:tabs>
        <w:spacing w:line="120" w:lineRule="atLeast"/>
        <w:ind w:right="142"/>
        <w:rPr>
          <w:rFonts w:ascii="Verdana" w:hAnsi="Verdana" w:cs="Arial"/>
          <w:sz w:val="22"/>
          <w:szCs w:val="22"/>
        </w:rPr>
      </w:pPr>
      <w:r w:rsidRPr="00205C60">
        <w:rPr>
          <w:rFonts w:ascii="Verdana" w:hAnsi="Verdana" w:cs="Arial"/>
          <w:sz w:val="22"/>
          <w:szCs w:val="22"/>
        </w:rPr>
        <w:t xml:space="preserve">    </w:t>
      </w:r>
      <w:bookmarkStart w:id="91" w:name="_Toc104529453"/>
      <w:r w:rsidRPr="00205C60">
        <w:rPr>
          <w:rFonts w:ascii="Verdana" w:hAnsi="Verdana" w:cs="Arial"/>
          <w:sz w:val="22"/>
          <w:szCs w:val="22"/>
        </w:rPr>
        <w:t xml:space="preserve">2.1.1. </w:t>
      </w:r>
      <w:r w:rsidR="00005AAE" w:rsidRPr="00205C60">
        <w:rPr>
          <w:rFonts w:ascii="Verdana" w:hAnsi="Verdana" w:cs="Arial"/>
          <w:sz w:val="22"/>
          <w:szCs w:val="22"/>
        </w:rPr>
        <w:t>Riesgos asociados a la</w:t>
      </w:r>
      <w:r w:rsidR="00DF03D1" w:rsidRPr="00205C60">
        <w:rPr>
          <w:rFonts w:ascii="Verdana" w:hAnsi="Verdana" w:cs="Arial"/>
          <w:sz w:val="22"/>
          <w:szCs w:val="22"/>
        </w:rPr>
        <w:t>s</w:t>
      </w:r>
      <w:r w:rsidR="00005AAE" w:rsidRPr="00205C60">
        <w:rPr>
          <w:rFonts w:ascii="Verdana" w:hAnsi="Verdana" w:cs="Arial"/>
          <w:sz w:val="22"/>
          <w:szCs w:val="22"/>
        </w:rPr>
        <w:t xml:space="preserve"> emisi</w:t>
      </w:r>
      <w:r w:rsidR="00DF03D1" w:rsidRPr="00205C60">
        <w:rPr>
          <w:rFonts w:ascii="Verdana" w:hAnsi="Verdana" w:cs="Arial"/>
          <w:sz w:val="22"/>
          <w:szCs w:val="22"/>
        </w:rPr>
        <w:t>ones</w:t>
      </w:r>
      <w:r w:rsidR="00005AAE" w:rsidRPr="00205C60">
        <w:rPr>
          <w:rFonts w:ascii="Verdana" w:hAnsi="Verdana" w:cs="Arial"/>
          <w:sz w:val="22"/>
          <w:szCs w:val="22"/>
        </w:rPr>
        <w:t>:</w:t>
      </w:r>
      <w:bookmarkEnd w:id="91"/>
    </w:p>
    <w:p w14:paraId="3CA7E7A1" w14:textId="77777777" w:rsidR="00496CDC" w:rsidRPr="00205C60" w:rsidRDefault="00496CDC" w:rsidP="00005AAE">
      <w:pPr>
        <w:rPr>
          <w:rFonts w:ascii="Verdana" w:hAnsi="Verdana"/>
          <w:sz w:val="22"/>
          <w:szCs w:val="22"/>
        </w:rPr>
      </w:pPr>
    </w:p>
    <w:p w14:paraId="3CA7E7A2" w14:textId="77777777" w:rsidR="00CD768C" w:rsidRPr="00205C60" w:rsidRDefault="00CD768C" w:rsidP="00B74B93">
      <w:pPr>
        <w:rPr>
          <w:rFonts w:ascii="Verdana" w:hAnsi="Verdana" w:cs="Arial"/>
          <w:b/>
          <w:sz w:val="22"/>
          <w:szCs w:val="22"/>
        </w:rPr>
      </w:pPr>
      <w:r w:rsidRPr="00205C60">
        <w:rPr>
          <w:rFonts w:ascii="Verdana" w:hAnsi="Verdana" w:cs="Arial"/>
          <w:b/>
          <w:sz w:val="22"/>
          <w:szCs w:val="22"/>
        </w:rPr>
        <w:t>Riesgo iliquidez</w:t>
      </w:r>
    </w:p>
    <w:p w14:paraId="3CA7E7A3" w14:textId="77777777" w:rsidR="00B21EE6" w:rsidRPr="00205C60" w:rsidRDefault="00B21EE6" w:rsidP="00B74B93">
      <w:pPr>
        <w:rPr>
          <w:rFonts w:ascii="Verdana" w:hAnsi="Verdana" w:cs="Arial"/>
          <w:b/>
          <w:sz w:val="22"/>
          <w:szCs w:val="22"/>
        </w:rPr>
      </w:pPr>
    </w:p>
    <w:p w14:paraId="3CA7E7A4" w14:textId="77777777" w:rsidR="00CD768C" w:rsidRPr="00205C60" w:rsidRDefault="00CD768C" w:rsidP="008E5B36">
      <w:pPr>
        <w:jc w:val="both"/>
        <w:rPr>
          <w:rFonts w:ascii="Verdana" w:hAnsi="Verdana" w:cs="Arial"/>
          <w:sz w:val="22"/>
          <w:szCs w:val="22"/>
          <w:lang w:val="es-CR"/>
        </w:rPr>
      </w:pPr>
      <w:r w:rsidRPr="00205C60">
        <w:rPr>
          <w:rFonts w:ascii="Verdana" w:hAnsi="Verdana" w:cs="Arial"/>
          <w:sz w:val="22"/>
          <w:szCs w:val="22"/>
        </w:rPr>
        <w:t xml:space="preserve">Está </w:t>
      </w:r>
      <w:r w:rsidRPr="00205C60">
        <w:rPr>
          <w:rFonts w:ascii="Verdana" w:hAnsi="Verdana" w:cs="Arial"/>
          <w:sz w:val="22"/>
          <w:szCs w:val="22"/>
          <w:lang w:val="es-CR"/>
        </w:rPr>
        <w:t xml:space="preserve">ligado a la dificultad de venta de los bonos por motivo de las condiciones de oferta y demanda en el mercado, por no tener suficiente bursatilidad o actividad de negociación. </w:t>
      </w:r>
      <w:r w:rsidR="00CA3A92" w:rsidRPr="00205C60">
        <w:rPr>
          <w:rFonts w:ascii="Verdana" w:hAnsi="Verdana" w:cs="Arial"/>
          <w:sz w:val="22"/>
          <w:szCs w:val="22"/>
          <w:lang w:val="es-CR"/>
        </w:rPr>
        <w:t xml:space="preserve">Tal situación se presenta si existe poca profundidad o liquidez en el mercado secundario, con lo cual se puede incurrir en ajustes en el precio y en los costos de transacción para poder cerrar una operación en este mercado, que podrían producir una disminución en el retorno esperado de la inversión. </w:t>
      </w:r>
      <w:r w:rsidRPr="00205C60">
        <w:rPr>
          <w:rFonts w:ascii="Verdana" w:hAnsi="Verdana" w:cs="Arial"/>
          <w:sz w:val="22"/>
          <w:szCs w:val="22"/>
          <w:lang w:val="es-CR"/>
        </w:rPr>
        <w:t>Este riesgo podría implicar que el inversionista no obtenga los recursos en el momento oportuno, que reciba un monto menor al invertido o que no pueda liquidar su inversión</w:t>
      </w:r>
      <w:r w:rsidR="00CA3A92" w:rsidRPr="00205C60">
        <w:rPr>
          <w:rFonts w:ascii="Verdana" w:hAnsi="Verdana" w:cs="Arial"/>
          <w:sz w:val="22"/>
          <w:szCs w:val="22"/>
          <w:lang w:val="es-CR"/>
        </w:rPr>
        <w:t>.</w:t>
      </w:r>
    </w:p>
    <w:p w14:paraId="3CA7E7A5" w14:textId="77777777" w:rsidR="009350DE" w:rsidRPr="00205C60" w:rsidRDefault="009350DE" w:rsidP="00CB3B35">
      <w:pPr>
        <w:rPr>
          <w:rFonts w:ascii="Verdana" w:hAnsi="Verdana"/>
          <w:sz w:val="22"/>
          <w:szCs w:val="22"/>
          <w:lang w:val="es-CR"/>
        </w:rPr>
      </w:pPr>
    </w:p>
    <w:p w14:paraId="3CA7E7A6" w14:textId="77777777" w:rsidR="00005AAE" w:rsidRPr="00205C60" w:rsidRDefault="00005AAE" w:rsidP="00B74B93">
      <w:pPr>
        <w:rPr>
          <w:rFonts w:ascii="Verdana" w:hAnsi="Verdana" w:cs="Arial"/>
          <w:b/>
          <w:sz w:val="22"/>
          <w:szCs w:val="22"/>
        </w:rPr>
      </w:pPr>
      <w:r w:rsidRPr="00205C60">
        <w:rPr>
          <w:rFonts w:ascii="Verdana" w:hAnsi="Verdana" w:cs="Arial"/>
          <w:b/>
          <w:sz w:val="22"/>
          <w:szCs w:val="22"/>
        </w:rPr>
        <w:t>Riesgo precio de mercado</w:t>
      </w:r>
    </w:p>
    <w:p w14:paraId="3CA7E7A7" w14:textId="77777777" w:rsidR="00B21EE6" w:rsidRPr="00205C60" w:rsidRDefault="00B21EE6" w:rsidP="00B74B93">
      <w:pPr>
        <w:rPr>
          <w:rFonts w:ascii="Verdana" w:hAnsi="Verdana" w:cs="Arial"/>
          <w:b/>
          <w:sz w:val="22"/>
          <w:szCs w:val="22"/>
        </w:rPr>
      </w:pPr>
    </w:p>
    <w:p w14:paraId="3CA7E7A8" w14:textId="562FE6D2" w:rsidR="00005AAE" w:rsidRPr="00205C60" w:rsidRDefault="00005AAE" w:rsidP="008E5B36">
      <w:pPr>
        <w:jc w:val="both"/>
        <w:rPr>
          <w:rFonts w:ascii="Verdana" w:hAnsi="Verdana" w:cs="Arial"/>
          <w:sz w:val="22"/>
          <w:szCs w:val="22"/>
        </w:rPr>
      </w:pPr>
      <w:r w:rsidRPr="00205C60">
        <w:rPr>
          <w:rFonts w:ascii="Verdana" w:hAnsi="Verdana" w:cs="Arial"/>
          <w:sz w:val="22"/>
          <w:szCs w:val="22"/>
          <w:lang w:val="es-CR"/>
        </w:rPr>
        <w:t>Es la posibilidad de tener un descuento o de recibir un menor monto de lo invertido, en el momento de vender el valor, antes de su vencimiento, a un precio menor, en virtud de que la tasa nominal del valor sea menor al rendimiento de mercado o porque simplemente el rendimiento de mercado aumente</w:t>
      </w:r>
      <w:r w:rsidRPr="00205C60">
        <w:rPr>
          <w:rFonts w:ascii="Verdana" w:hAnsi="Verdana" w:cs="Arial"/>
          <w:sz w:val="22"/>
          <w:szCs w:val="22"/>
        </w:rPr>
        <w:t>.</w:t>
      </w:r>
      <w:r w:rsidR="00897E16" w:rsidRPr="00205C60">
        <w:rPr>
          <w:rFonts w:ascii="Verdana" w:hAnsi="Verdana" w:cs="Arial"/>
          <w:sz w:val="22"/>
          <w:szCs w:val="22"/>
        </w:rPr>
        <w:t xml:space="preserve"> Esta situación puede </w:t>
      </w:r>
      <w:r w:rsidR="003F7D7F" w:rsidRPr="00205C60">
        <w:rPr>
          <w:rFonts w:ascii="Verdana" w:hAnsi="Verdana" w:cs="Arial"/>
          <w:sz w:val="22"/>
          <w:szCs w:val="22"/>
        </w:rPr>
        <w:t>obedecer,</w:t>
      </w:r>
      <w:r w:rsidR="00897E16" w:rsidRPr="00205C60">
        <w:rPr>
          <w:rFonts w:ascii="Verdana" w:hAnsi="Verdana" w:cs="Arial"/>
          <w:sz w:val="22"/>
          <w:szCs w:val="22"/>
        </w:rPr>
        <w:t xml:space="preserve"> además, a la situación financiera del emisor en un momento dado y a las condiciones de la oferta y la demanda de mercado.</w:t>
      </w:r>
    </w:p>
    <w:p w14:paraId="3CA7E7A9" w14:textId="77777777" w:rsidR="00005AAE" w:rsidRPr="00205C60" w:rsidRDefault="00005AAE" w:rsidP="00005AAE">
      <w:pPr>
        <w:rPr>
          <w:rFonts w:ascii="Verdana" w:hAnsi="Verdana"/>
          <w:sz w:val="22"/>
          <w:szCs w:val="22"/>
        </w:rPr>
      </w:pPr>
    </w:p>
    <w:p w14:paraId="3CA7E7AA" w14:textId="77777777" w:rsidR="00CD3830" w:rsidRPr="00205C60" w:rsidRDefault="00CD3830" w:rsidP="00B74B93">
      <w:pPr>
        <w:rPr>
          <w:rFonts w:ascii="Verdana" w:hAnsi="Verdana" w:cs="Arial"/>
          <w:b/>
          <w:sz w:val="22"/>
          <w:szCs w:val="22"/>
        </w:rPr>
      </w:pPr>
      <w:r w:rsidRPr="00205C60">
        <w:rPr>
          <w:rFonts w:ascii="Verdana" w:hAnsi="Verdana" w:cs="Arial"/>
          <w:b/>
          <w:sz w:val="22"/>
          <w:szCs w:val="22"/>
        </w:rPr>
        <w:t>Riesgo de liquidación anticipada</w:t>
      </w:r>
    </w:p>
    <w:p w14:paraId="3CA7E7AB" w14:textId="77777777" w:rsidR="00B21EE6" w:rsidRPr="00205C60" w:rsidRDefault="00B21EE6" w:rsidP="00B74B93">
      <w:pPr>
        <w:rPr>
          <w:rFonts w:ascii="Verdana" w:hAnsi="Verdana" w:cs="Arial"/>
          <w:b/>
          <w:sz w:val="22"/>
          <w:szCs w:val="22"/>
        </w:rPr>
      </w:pPr>
    </w:p>
    <w:p w14:paraId="3CA7E7AC" w14:textId="03C88EA2" w:rsidR="00CD3830" w:rsidRPr="00205C60" w:rsidRDefault="00CD3830" w:rsidP="008E5B36">
      <w:pPr>
        <w:jc w:val="both"/>
        <w:rPr>
          <w:rFonts w:ascii="Verdana" w:hAnsi="Verdana" w:cs="Arial"/>
          <w:sz w:val="22"/>
          <w:szCs w:val="22"/>
          <w:lang w:val="es-CR"/>
        </w:rPr>
      </w:pPr>
      <w:r w:rsidRPr="00205C60">
        <w:rPr>
          <w:rFonts w:ascii="Verdana" w:hAnsi="Verdana" w:cs="Arial"/>
          <w:sz w:val="22"/>
          <w:szCs w:val="22"/>
          <w:lang w:val="es-CR"/>
        </w:rPr>
        <w:t>Es la posibilidad de que el inversionista se vea afectado por una liquidación anticipada de los valores como consecuencia de la desinscripción del emisor del Registro Nacional de Valores e Intermediarios.</w:t>
      </w:r>
      <w:r w:rsidR="00681F9E" w:rsidRPr="00205C60">
        <w:rPr>
          <w:rFonts w:ascii="Verdana" w:hAnsi="Verdana" w:cs="Arial"/>
          <w:sz w:val="22"/>
          <w:szCs w:val="22"/>
          <w:lang w:val="es-CR"/>
        </w:rPr>
        <w:t xml:space="preserve"> </w:t>
      </w:r>
      <w:r w:rsidR="000E62CC" w:rsidRPr="00205C60">
        <w:rPr>
          <w:rFonts w:ascii="Verdana" w:hAnsi="Verdana" w:cs="Arial"/>
          <w:sz w:val="22"/>
          <w:szCs w:val="22"/>
          <w:lang w:val="es-CR"/>
        </w:rPr>
        <w:t xml:space="preserve">Esta situación </w:t>
      </w:r>
      <w:r w:rsidR="00CA3A92" w:rsidRPr="00205C60">
        <w:rPr>
          <w:rFonts w:ascii="Verdana" w:hAnsi="Verdana" w:cs="Arial"/>
          <w:sz w:val="22"/>
          <w:szCs w:val="22"/>
          <w:lang w:val="es-CR"/>
        </w:rPr>
        <w:t xml:space="preserve">modificaría las condiciones iniciales en que se planteó la inversión, </w:t>
      </w:r>
      <w:r w:rsidR="000E62CC" w:rsidRPr="00205C60">
        <w:rPr>
          <w:rFonts w:ascii="Verdana" w:hAnsi="Verdana" w:cs="Arial"/>
          <w:sz w:val="22"/>
          <w:szCs w:val="22"/>
          <w:lang w:val="es-CR"/>
        </w:rPr>
        <w:t xml:space="preserve">reduciría </w:t>
      </w:r>
      <w:r w:rsidR="00CA3A92" w:rsidRPr="00205C60">
        <w:rPr>
          <w:rFonts w:ascii="Verdana" w:hAnsi="Verdana" w:cs="Arial"/>
          <w:sz w:val="22"/>
          <w:szCs w:val="22"/>
          <w:lang w:val="es-CR"/>
        </w:rPr>
        <w:t>su</w:t>
      </w:r>
      <w:r w:rsidR="000E62CC" w:rsidRPr="00205C60">
        <w:rPr>
          <w:rFonts w:ascii="Verdana" w:hAnsi="Verdana" w:cs="Arial"/>
          <w:sz w:val="22"/>
          <w:szCs w:val="22"/>
          <w:lang w:val="es-CR"/>
        </w:rPr>
        <w:t xml:space="preserve"> plazo</w:t>
      </w:r>
      <w:r w:rsidR="00CA3A92" w:rsidRPr="00205C60">
        <w:rPr>
          <w:rFonts w:ascii="Verdana" w:hAnsi="Verdana" w:cs="Arial"/>
          <w:sz w:val="22"/>
          <w:szCs w:val="22"/>
          <w:lang w:val="es-CR"/>
        </w:rPr>
        <w:t xml:space="preserve"> </w:t>
      </w:r>
      <w:r w:rsidR="000E62CC" w:rsidRPr="00205C60">
        <w:rPr>
          <w:rFonts w:ascii="Verdana" w:hAnsi="Verdana" w:cs="Arial"/>
          <w:sz w:val="22"/>
          <w:szCs w:val="22"/>
          <w:lang w:val="es-CR"/>
        </w:rPr>
        <w:t>y podría afectar el retorno esperado p</w:t>
      </w:r>
      <w:r w:rsidR="00CA3A92" w:rsidRPr="00205C60">
        <w:rPr>
          <w:rFonts w:ascii="Verdana" w:hAnsi="Verdana" w:cs="Arial"/>
          <w:sz w:val="22"/>
          <w:szCs w:val="22"/>
          <w:lang w:val="es-CR"/>
        </w:rPr>
        <w:t>ara</w:t>
      </w:r>
      <w:r w:rsidR="000E62CC" w:rsidRPr="00205C60">
        <w:rPr>
          <w:rFonts w:ascii="Verdana" w:hAnsi="Verdana" w:cs="Arial"/>
          <w:sz w:val="22"/>
          <w:szCs w:val="22"/>
          <w:lang w:val="es-CR"/>
        </w:rPr>
        <w:t xml:space="preserve"> el inversionista.</w:t>
      </w:r>
    </w:p>
    <w:p w14:paraId="4014A023" w14:textId="77777777" w:rsidR="00A456E4" w:rsidRPr="00205C60" w:rsidRDefault="00A456E4" w:rsidP="008E5B36">
      <w:pPr>
        <w:jc w:val="both"/>
        <w:rPr>
          <w:rFonts w:ascii="Verdana" w:hAnsi="Verdana" w:cs="Arial"/>
          <w:sz w:val="22"/>
          <w:szCs w:val="22"/>
          <w:lang w:val="es-CR"/>
        </w:rPr>
      </w:pPr>
    </w:p>
    <w:p w14:paraId="3F69D583" w14:textId="5A30D995" w:rsidR="00A456E4" w:rsidRPr="00205C60" w:rsidRDefault="00A456E4" w:rsidP="008E5B36">
      <w:pPr>
        <w:jc w:val="both"/>
        <w:rPr>
          <w:rFonts w:ascii="Verdana" w:hAnsi="Verdana" w:cs="Arial"/>
          <w:sz w:val="22"/>
          <w:szCs w:val="22"/>
          <w:lang w:val="es-CR"/>
        </w:rPr>
      </w:pPr>
    </w:p>
    <w:p w14:paraId="1F17FE8D" w14:textId="768D1D65" w:rsidR="00A456E4" w:rsidRPr="00205C60" w:rsidRDefault="00A456E4" w:rsidP="008E5B36">
      <w:pPr>
        <w:jc w:val="both"/>
        <w:rPr>
          <w:rFonts w:ascii="Verdana" w:hAnsi="Verdana" w:cs="Arial"/>
          <w:sz w:val="22"/>
          <w:szCs w:val="22"/>
          <w:lang w:val="es-CR"/>
        </w:rPr>
      </w:pPr>
    </w:p>
    <w:p w14:paraId="1EAD920C" w14:textId="77777777" w:rsidR="00A456E4" w:rsidRPr="00205C60" w:rsidRDefault="00A456E4" w:rsidP="008E5B36">
      <w:pPr>
        <w:jc w:val="both"/>
        <w:rPr>
          <w:rFonts w:ascii="Verdana" w:hAnsi="Verdana" w:cs="Arial"/>
          <w:sz w:val="22"/>
          <w:szCs w:val="22"/>
        </w:rPr>
      </w:pPr>
    </w:p>
    <w:p w14:paraId="3CA7E7AD" w14:textId="77777777" w:rsidR="00B21EE6" w:rsidRPr="00205C60" w:rsidRDefault="00B21EE6" w:rsidP="00B74B93">
      <w:pPr>
        <w:rPr>
          <w:rFonts w:ascii="Verdana" w:hAnsi="Verdana"/>
          <w:sz w:val="22"/>
          <w:szCs w:val="22"/>
        </w:rPr>
      </w:pPr>
    </w:p>
    <w:p w14:paraId="3CA7E7B2" w14:textId="77777777" w:rsidR="00E4766E" w:rsidRPr="00205C60" w:rsidRDefault="00E4766E" w:rsidP="00B74B93">
      <w:pPr>
        <w:rPr>
          <w:rFonts w:ascii="Verdana" w:hAnsi="Verdana" w:cs="Arial"/>
          <w:b/>
          <w:sz w:val="22"/>
          <w:szCs w:val="22"/>
        </w:rPr>
      </w:pPr>
      <w:r w:rsidRPr="00205C60">
        <w:rPr>
          <w:rFonts w:ascii="Verdana" w:hAnsi="Verdana" w:cs="Arial"/>
          <w:b/>
          <w:sz w:val="22"/>
          <w:szCs w:val="22"/>
        </w:rPr>
        <w:lastRenderedPageBreak/>
        <w:t>Riesgo de Crédito</w:t>
      </w:r>
    </w:p>
    <w:p w14:paraId="3CA7E7B3" w14:textId="77777777" w:rsidR="00B21EE6" w:rsidRPr="00205C60" w:rsidRDefault="00B21EE6" w:rsidP="00B74B93">
      <w:pPr>
        <w:rPr>
          <w:rFonts w:ascii="Verdana" w:hAnsi="Verdana" w:cs="Arial"/>
          <w:b/>
          <w:sz w:val="22"/>
          <w:szCs w:val="22"/>
        </w:rPr>
      </w:pPr>
    </w:p>
    <w:p w14:paraId="3CA7E7B4" w14:textId="77777777" w:rsidR="00E4766E" w:rsidRPr="00205C60" w:rsidRDefault="00E4766E" w:rsidP="008E5B36">
      <w:pPr>
        <w:jc w:val="both"/>
        <w:rPr>
          <w:rFonts w:ascii="Verdana" w:hAnsi="Verdana" w:cs="Arial"/>
          <w:sz w:val="22"/>
          <w:szCs w:val="22"/>
          <w:lang w:val="es-CR"/>
        </w:rPr>
      </w:pPr>
      <w:r w:rsidRPr="00205C60">
        <w:rPr>
          <w:rFonts w:ascii="Verdana" w:hAnsi="Verdana" w:cs="Arial"/>
          <w:sz w:val="22"/>
          <w:szCs w:val="22"/>
          <w:lang w:val="es-CR"/>
        </w:rPr>
        <w:t xml:space="preserve">El emisor al igual que toda entidad dedicada a esta actividad, está expuesta a los efectos macroeconómicos y estructurales que puedan atentar contra su capacidad crediticia que en casos pueden afectar el pago de sus obligaciones en la fecha debida o en cualquier otra.  Este riesgo es la posibilidad de que la empresa incumpla con el pago del principal y/o con los intereses de los Bonos Estandarizados Serie </w:t>
      </w:r>
      <w:r w:rsidR="005E5808" w:rsidRPr="00205C60">
        <w:rPr>
          <w:rFonts w:ascii="Verdana" w:hAnsi="Verdana" w:cs="Arial"/>
          <w:sz w:val="22"/>
          <w:szCs w:val="22"/>
          <w:lang w:val="es-CR"/>
        </w:rPr>
        <w:t>B</w:t>
      </w:r>
      <w:r w:rsidRPr="00205C60">
        <w:rPr>
          <w:rFonts w:ascii="Verdana" w:hAnsi="Verdana" w:cs="Arial"/>
          <w:sz w:val="22"/>
          <w:szCs w:val="22"/>
          <w:lang w:val="es-CR"/>
        </w:rPr>
        <w:t>, debido tanto a factores externos como internos de la Compañía que afecten negativamente la realización del flujo de efectivo, los resultados operativos y las perspectivas de utilidades.</w:t>
      </w:r>
    </w:p>
    <w:p w14:paraId="3CA7E7B5" w14:textId="77777777" w:rsidR="00CE1F2E" w:rsidRPr="00205C60" w:rsidRDefault="00CE1F2E" w:rsidP="00BF6456">
      <w:pPr>
        <w:jc w:val="both"/>
        <w:rPr>
          <w:rFonts w:ascii="Verdana" w:hAnsi="Verdana" w:cs="Arial"/>
          <w:b/>
          <w:sz w:val="22"/>
          <w:szCs w:val="22"/>
        </w:rPr>
      </w:pPr>
    </w:p>
    <w:p w14:paraId="3CA7E7B7" w14:textId="77777777" w:rsidR="00005AAE" w:rsidRPr="00205C60" w:rsidRDefault="00B00D2F" w:rsidP="009C3E2E">
      <w:pPr>
        <w:pStyle w:val="Ttulo2"/>
        <w:numPr>
          <w:ilvl w:val="0"/>
          <w:numId w:val="0"/>
        </w:numPr>
        <w:tabs>
          <w:tab w:val="clear" w:pos="1241"/>
          <w:tab w:val="clear" w:pos="2268"/>
          <w:tab w:val="clear" w:pos="2480"/>
          <w:tab w:val="left" w:pos="993"/>
          <w:tab w:val="left" w:pos="1843"/>
        </w:tabs>
        <w:spacing w:line="120" w:lineRule="atLeast"/>
        <w:ind w:right="142"/>
        <w:rPr>
          <w:rFonts w:ascii="Verdana" w:hAnsi="Verdana" w:cs="Arial"/>
          <w:sz w:val="22"/>
          <w:szCs w:val="22"/>
        </w:rPr>
      </w:pPr>
      <w:r w:rsidRPr="00205C60">
        <w:rPr>
          <w:rFonts w:ascii="Verdana" w:hAnsi="Verdana" w:cs="Arial"/>
          <w:sz w:val="22"/>
          <w:szCs w:val="22"/>
        </w:rPr>
        <w:t xml:space="preserve">     </w:t>
      </w:r>
      <w:bookmarkStart w:id="92" w:name="_Toc104529454"/>
      <w:r w:rsidR="009C3E2E" w:rsidRPr="00205C60">
        <w:rPr>
          <w:rFonts w:ascii="Verdana" w:hAnsi="Verdana" w:cs="Arial"/>
          <w:sz w:val="22"/>
          <w:szCs w:val="22"/>
        </w:rPr>
        <w:t xml:space="preserve">2.1.2. </w:t>
      </w:r>
      <w:r w:rsidR="00005AAE" w:rsidRPr="00205C60">
        <w:rPr>
          <w:rFonts w:ascii="Verdana" w:hAnsi="Verdana" w:cs="Arial"/>
          <w:sz w:val="22"/>
          <w:szCs w:val="22"/>
        </w:rPr>
        <w:t>Riesgos relacionados con la operación de la empresa:</w:t>
      </w:r>
      <w:bookmarkEnd w:id="92"/>
    </w:p>
    <w:p w14:paraId="3CA7E7B8" w14:textId="77777777" w:rsidR="008A28E0" w:rsidRPr="00205C60" w:rsidRDefault="008A28E0" w:rsidP="00B74B93">
      <w:pPr>
        <w:rPr>
          <w:rFonts w:ascii="Verdana" w:hAnsi="Verdana" w:cs="Arial"/>
          <w:b/>
          <w:sz w:val="22"/>
          <w:szCs w:val="22"/>
        </w:rPr>
      </w:pPr>
      <w:bookmarkStart w:id="93" w:name="_Toc102455538"/>
    </w:p>
    <w:p w14:paraId="3CA7E7B9" w14:textId="77777777" w:rsidR="00005AAE" w:rsidRPr="00205C60" w:rsidRDefault="00005AAE" w:rsidP="00B74B93">
      <w:pPr>
        <w:rPr>
          <w:rFonts w:ascii="Verdana" w:hAnsi="Verdana" w:cs="Arial"/>
          <w:b/>
          <w:sz w:val="22"/>
          <w:szCs w:val="22"/>
        </w:rPr>
      </w:pPr>
      <w:r w:rsidRPr="00205C60">
        <w:rPr>
          <w:rFonts w:ascii="Verdana" w:hAnsi="Verdana" w:cs="Arial"/>
          <w:b/>
          <w:sz w:val="22"/>
          <w:szCs w:val="22"/>
        </w:rPr>
        <w:t>Riesgos que afectan la Empresa</w:t>
      </w:r>
      <w:bookmarkEnd w:id="93"/>
    </w:p>
    <w:p w14:paraId="3CA7E7BA" w14:textId="77777777" w:rsidR="00B21EE6" w:rsidRPr="00205C60" w:rsidRDefault="00B21EE6" w:rsidP="00B74B93">
      <w:pPr>
        <w:rPr>
          <w:rFonts w:ascii="Verdana" w:hAnsi="Verdana" w:cs="Arial"/>
          <w:b/>
          <w:sz w:val="22"/>
          <w:szCs w:val="22"/>
        </w:rPr>
      </w:pPr>
    </w:p>
    <w:p w14:paraId="3CA7E7BB" w14:textId="77777777" w:rsidR="006578CE" w:rsidRPr="00205C60" w:rsidRDefault="00005AAE" w:rsidP="008E5B36">
      <w:pPr>
        <w:jc w:val="both"/>
        <w:rPr>
          <w:rFonts w:ascii="Verdana" w:hAnsi="Verdana" w:cs="Arial"/>
          <w:sz w:val="22"/>
          <w:szCs w:val="22"/>
        </w:rPr>
      </w:pPr>
      <w:r w:rsidRPr="00205C60">
        <w:rPr>
          <w:rFonts w:ascii="Verdana" w:hAnsi="Verdana" w:cs="Arial"/>
          <w:sz w:val="22"/>
          <w:szCs w:val="22"/>
        </w:rPr>
        <w:t xml:space="preserve">Es el riesgo intrínseco a la operación que lleva a cabo la Compañía Nacional de Fuerza y Luz, S.A. </w:t>
      </w:r>
      <w:r w:rsidR="006578CE" w:rsidRPr="00205C60">
        <w:rPr>
          <w:rFonts w:ascii="Verdana" w:hAnsi="Verdana" w:cs="Arial"/>
          <w:sz w:val="22"/>
          <w:szCs w:val="22"/>
        </w:rPr>
        <w:t>y la posibilidad de tener resultados desfavorables de su operación.</w:t>
      </w:r>
    </w:p>
    <w:p w14:paraId="3CA7E7BC" w14:textId="77777777" w:rsidR="006578CE" w:rsidRPr="00205C60" w:rsidRDefault="006578CE" w:rsidP="00005AAE">
      <w:pPr>
        <w:ind w:left="360"/>
        <w:jc w:val="both"/>
        <w:rPr>
          <w:rFonts w:ascii="Verdana" w:hAnsi="Verdana" w:cs="Arial"/>
          <w:sz w:val="22"/>
          <w:szCs w:val="22"/>
        </w:rPr>
      </w:pPr>
    </w:p>
    <w:p w14:paraId="3CA7E7BD" w14:textId="71566254" w:rsidR="006578CE" w:rsidRPr="00205C60" w:rsidRDefault="006578CE" w:rsidP="008E5B36">
      <w:pPr>
        <w:jc w:val="both"/>
        <w:rPr>
          <w:rFonts w:ascii="Verdana" w:hAnsi="Verdana" w:cs="Arial"/>
          <w:sz w:val="22"/>
          <w:szCs w:val="22"/>
        </w:rPr>
      </w:pPr>
      <w:r w:rsidRPr="00205C60">
        <w:rPr>
          <w:rFonts w:ascii="Verdana" w:hAnsi="Verdana" w:cs="Arial"/>
          <w:sz w:val="22"/>
          <w:szCs w:val="22"/>
        </w:rPr>
        <w:t xml:space="preserve">Es el riesgo de pérdidas potenciales que pueden darse como resultado de inadecuados sistemas de control interno, fallas administrativas, fraudes o errores humanos, repercutiendo en la estabilidad </w:t>
      </w:r>
      <w:r w:rsidR="000376BD" w:rsidRPr="00205C60">
        <w:rPr>
          <w:rFonts w:ascii="Verdana" w:hAnsi="Verdana" w:cs="Arial"/>
          <w:sz w:val="22"/>
          <w:szCs w:val="22"/>
        </w:rPr>
        <w:t xml:space="preserve">financiera </w:t>
      </w:r>
      <w:r w:rsidRPr="00205C60">
        <w:rPr>
          <w:rFonts w:ascii="Verdana" w:hAnsi="Verdana" w:cs="Arial"/>
          <w:sz w:val="22"/>
          <w:szCs w:val="22"/>
        </w:rPr>
        <w:t>de la empresa.</w:t>
      </w:r>
      <w:r w:rsidR="000376BD" w:rsidRPr="00205C60">
        <w:rPr>
          <w:rFonts w:ascii="Verdana" w:hAnsi="Verdana" w:cs="Arial"/>
          <w:sz w:val="22"/>
          <w:szCs w:val="22"/>
        </w:rPr>
        <w:t xml:space="preserve">  También, l</w:t>
      </w:r>
      <w:r w:rsidRPr="00205C60">
        <w:rPr>
          <w:rFonts w:ascii="Verdana" w:hAnsi="Verdana" w:cs="Arial"/>
          <w:sz w:val="22"/>
          <w:szCs w:val="22"/>
        </w:rPr>
        <w:t xml:space="preserve">a operación de la empresa podría verse afectada por desastres naturales </w:t>
      </w:r>
      <w:r w:rsidR="000376BD" w:rsidRPr="00205C60">
        <w:rPr>
          <w:rFonts w:ascii="Verdana" w:hAnsi="Verdana" w:cs="Arial"/>
          <w:sz w:val="22"/>
          <w:szCs w:val="22"/>
        </w:rPr>
        <w:t xml:space="preserve">que </w:t>
      </w:r>
      <w:r w:rsidR="00557337" w:rsidRPr="00205C60">
        <w:rPr>
          <w:rFonts w:ascii="Verdana" w:hAnsi="Verdana" w:cs="Arial"/>
          <w:sz w:val="22"/>
          <w:szCs w:val="22"/>
        </w:rPr>
        <w:t>ocasionarían daños</w:t>
      </w:r>
      <w:r w:rsidR="000376BD" w:rsidRPr="00205C60">
        <w:rPr>
          <w:rFonts w:ascii="Verdana" w:hAnsi="Verdana" w:cs="Arial"/>
          <w:sz w:val="22"/>
          <w:szCs w:val="22"/>
        </w:rPr>
        <w:t xml:space="preserve"> en su </w:t>
      </w:r>
      <w:r w:rsidR="002B2D96" w:rsidRPr="00205C60">
        <w:rPr>
          <w:rFonts w:ascii="Verdana" w:hAnsi="Verdana" w:cs="Arial"/>
          <w:sz w:val="22"/>
          <w:szCs w:val="22"/>
        </w:rPr>
        <w:t>red</w:t>
      </w:r>
      <w:r w:rsidR="000376BD" w:rsidRPr="00205C60">
        <w:rPr>
          <w:rFonts w:ascii="Verdana" w:hAnsi="Verdana" w:cs="Arial"/>
          <w:sz w:val="22"/>
          <w:szCs w:val="22"/>
        </w:rPr>
        <w:t xml:space="preserve"> de distribución y plantas generadoras, además del impacto </w:t>
      </w:r>
      <w:r w:rsidR="002B2D96" w:rsidRPr="00205C60">
        <w:rPr>
          <w:rFonts w:ascii="Verdana" w:hAnsi="Verdana" w:cs="Arial"/>
          <w:sz w:val="22"/>
          <w:szCs w:val="22"/>
        </w:rPr>
        <w:t xml:space="preserve">negativo </w:t>
      </w:r>
      <w:r w:rsidR="000376BD" w:rsidRPr="00205C60">
        <w:rPr>
          <w:rFonts w:ascii="Verdana" w:hAnsi="Verdana" w:cs="Arial"/>
          <w:sz w:val="22"/>
          <w:szCs w:val="22"/>
        </w:rPr>
        <w:t xml:space="preserve">que podrían tener sobre la producción de su proveedor </w:t>
      </w:r>
      <w:r w:rsidR="00557337" w:rsidRPr="00205C60">
        <w:rPr>
          <w:rFonts w:ascii="Verdana" w:hAnsi="Verdana" w:cs="Arial"/>
          <w:sz w:val="22"/>
          <w:szCs w:val="22"/>
        </w:rPr>
        <w:t>único del</w:t>
      </w:r>
      <w:r w:rsidR="000376BD" w:rsidRPr="00205C60">
        <w:rPr>
          <w:rFonts w:ascii="Verdana" w:hAnsi="Verdana" w:cs="Arial"/>
          <w:sz w:val="22"/>
          <w:szCs w:val="22"/>
        </w:rPr>
        <w:t xml:space="preserve"> cual se obtiene un alto porcentaje d</w:t>
      </w:r>
      <w:r w:rsidRPr="00205C60">
        <w:rPr>
          <w:rFonts w:ascii="Verdana" w:hAnsi="Verdana" w:cs="Arial"/>
          <w:sz w:val="22"/>
          <w:szCs w:val="22"/>
        </w:rPr>
        <w:t xml:space="preserve">e la energía eléctrica </w:t>
      </w:r>
      <w:r w:rsidR="000376BD" w:rsidRPr="00205C60">
        <w:rPr>
          <w:rFonts w:ascii="Verdana" w:hAnsi="Verdana" w:cs="Arial"/>
          <w:sz w:val="22"/>
          <w:szCs w:val="22"/>
        </w:rPr>
        <w:t xml:space="preserve">que </w:t>
      </w:r>
      <w:r w:rsidRPr="00205C60">
        <w:rPr>
          <w:rFonts w:ascii="Verdana" w:hAnsi="Verdana" w:cs="Arial"/>
          <w:sz w:val="22"/>
          <w:szCs w:val="22"/>
        </w:rPr>
        <w:t>distribuye la Compañía</w:t>
      </w:r>
      <w:r w:rsidR="00450E9B" w:rsidRPr="00205C60">
        <w:rPr>
          <w:rFonts w:ascii="Verdana" w:hAnsi="Verdana" w:cs="Arial"/>
          <w:sz w:val="22"/>
          <w:szCs w:val="22"/>
        </w:rPr>
        <w:t>.</w:t>
      </w:r>
      <w:r w:rsidR="001B0732" w:rsidRPr="00205C60">
        <w:rPr>
          <w:rFonts w:ascii="Verdana" w:hAnsi="Verdana" w:cs="Arial"/>
          <w:sz w:val="22"/>
          <w:szCs w:val="22"/>
        </w:rPr>
        <w:t xml:space="preserve"> Por otro lado, un deterioro en </w:t>
      </w:r>
      <w:r w:rsidR="00B951B0" w:rsidRPr="00205C60">
        <w:rPr>
          <w:rFonts w:ascii="Verdana" w:hAnsi="Verdana" w:cs="Arial"/>
          <w:sz w:val="22"/>
          <w:szCs w:val="22"/>
        </w:rPr>
        <w:t xml:space="preserve">la posición financiera del </w:t>
      </w:r>
      <w:r w:rsidR="00557337" w:rsidRPr="00205C60">
        <w:rPr>
          <w:rFonts w:ascii="Verdana" w:hAnsi="Verdana" w:cs="Arial"/>
          <w:sz w:val="22"/>
          <w:szCs w:val="22"/>
        </w:rPr>
        <w:t>ICE repercutiría</w:t>
      </w:r>
      <w:r w:rsidR="00B951B0" w:rsidRPr="00205C60">
        <w:rPr>
          <w:rFonts w:ascii="Verdana" w:hAnsi="Verdana" w:cs="Arial"/>
          <w:sz w:val="22"/>
          <w:szCs w:val="22"/>
        </w:rPr>
        <w:t xml:space="preserve"> en la </w:t>
      </w:r>
      <w:r w:rsidR="003E55D4" w:rsidRPr="00205C60">
        <w:rPr>
          <w:rFonts w:ascii="Verdana" w:hAnsi="Verdana" w:cs="Arial"/>
          <w:sz w:val="22"/>
          <w:szCs w:val="22"/>
        </w:rPr>
        <w:t>morosidad en el pago de los servicios prestados por la Compañía</w:t>
      </w:r>
      <w:r w:rsidR="001B0732" w:rsidRPr="00205C60">
        <w:rPr>
          <w:rFonts w:ascii="Verdana" w:hAnsi="Verdana" w:cs="Arial"/>
          <w:sz w:val="22"/>
          <w:szCs w:val="22"/>
        </w:rPr>
        <w:t xml:space="preserve"> a esa institución</w:t>
      </w:r>
      <w:r w:rsidR="003E55D4" w:rsidRPr="00205C60">
        <w:rPr>
          <w:rFonts w:ascii="Verdana" w:hAnsi="Verdana" w:cs="Arial"/>
          <w:sz w:val="22"/>
          <w:szCs w:val="22"/>
        </w:rPr>
        <w:t xml:space="preserve">. </w:t>
      </w:r>
      <w:r w:rsidR="00450E9B" w:rsidRPr="00205C60">
        <w:rPr>
          <w:rFonts w:ascii="Verdana" w:hAnsi="Verdana" w:cs="Arial"/>
          <w:sz w:val="22"/>
          <w:szCs w:val="22"/>
        </w:rPr>
        <w:t xml:space="preserve">Lo anterior </w:t>
      </w:r>
      <w:r w:rsidR="000376BD" w:rsidRPr="00205C60">
        <w:rPr>
          <w:rFonts w:ascii="Verdana" w:hAnsi="Verdana" w:cs="Arial"/>
          <w:sz w:val="22"/>
          <w:szCs w:val="22"/>
        </w:rPr>
        <w:t>haría que se experimente inestabilidad en el mercado servido, un período de ganancias reducidas o hasta negativas, afectando la capacidad de pago de las deudas contraídas.</w:t>
      </w:r>
    </w:p>
    <w:p w14:paraId="3CA7E7BE" w14:textId="77777777" w:rsidR="006578CE" w:rsidRPr="00205C60" w:rsidRDefault="006578CE" w:rsidP="00005AAE">
      <w:pPr>
        <w:ind w:left="360"/>
        <w:jc w:val="both"/>
        <w:rPr>
          <w:rFonts w:ascii="Verdana" w:hAnsi="Verdana" w:cs="Arial"/>
          <w:sz w:val="22"/>
          <w:szCs w:val="22"/>
        </w:rPr>
      </w:pPr>
    </w:p>
    <w:p w14:paraId="3CA7E7BF" w14:textId="77777777" w:rsidR="002B2D96" w:rsidRPr="00205C60" w:rsidRDefault="002B2D96" w:rsidP="008E5B36">
      <w:pPr>
        <w:jc w:val="both"/>
        <w:rPr>
          <w:rFonts w:ascii="Verdana" w:hAnsi="Verdana" w:cs="Arial"/>
          <w:sz w:val="22"/>
          <w:szCs w:val="22"/>
        </w:rPr>
      </w:pPr>
      <w:r w:rsidRPr="00205C60">
        <w:rPr>
          <w:rFonts w:ascii="Verdana" w:hAnsi="Verdana" w:cs="Arial"/>
          <w:sz w:val="22"/>
          <w:szCs w:val="22"/>
        </w:rPr>
        <w:t xml:space="preserve">Factores como la posible escasez de recursos para incorporar nueva tecnología en el área de generación, el riesgo de crédito de las cuentas por cobrar, la disminución del nivel de eficiencia operacional, la apertura de las barreras de entrada a la competencia y el bajo nivel de satisfacción de los clientes por los productos y </w:t>
      </w:r>
      <w:r w:rsidR="00127DE8" w:rsidRPr="00205C60">
        <w:rPr>
          <w:rFonts w:ascii="Verdana" w:hAnsi="Verdana" w:cs="Arial"/>
          <w:sz w:val="22"/>
          <w:szCs w:val="22"/>
        </w:rPr>
        <w:t xml:space="preserve">el </w:t>
      </w:r>
      <w:r w:rsidRPr="00205C60">
        <w:rPr>
          <w:rFonts w:ascii="Verdana" w:hAnsi="Verdana" w:cs="Arial"/>
          <w:sz w:val="22"/>
          <w:szCs w:val="22"/>
        </w:rPr>
        <w:t>servicio brindado</w:t>
      </w:r>
      <w:r w:rsidR="00127DE8" w:rsidRPr="00205C60">
        <w:rPr>
          <w:rFonts w:ascii="Verdana" w:hAnsi="Verdana" w:cs="Arial"/>
          <w:sz w:val="22"/>
          <w:szCs w:val="22"/>
        </w:rPr>
        <w:t xml:space="preserve">, </w:t>
      </w:r>
      <w:r w:rsidR="00813906" w:rsidRPr="00205C60">
        <w:rPr>
          <w:rFonts w:ascii="Verdana" w:hAnsi="Verdana" w:cs="Arial"/>
          <w:sz w:val="22"/>
          <w:szCs w:val="22"/>
        </w:rPr>
        <w:t>podrían cambiar en forma no planeada las condiciones definidas como estándares para garantizar el funcionamiento de la operación productiva de la Compañía, determinándose como un potencial de pérdidas.</w:t>
      </w:r>
    </w:p>
    <w:p w14:paraId="3CA7E7C0" w14:textId="77777777" w:rsidR="009C3E2E" w:rsidRPr="00205C60" w:rsidRDefault="002B2D96" w:rsidP="00B00D2F">
      <w:pPr>
        <w:ind w:left="180"/>
        <w:jc w:val="both"/>
        <w:rPr>
          <w:rFonts w:ascii="Verdana" w:hAnsi="Verdana" w:cs="Arial"/>
          <w:sz w:val="22"/>
          <w:szCs w:val="22"/>
        </w:rPr>
      </w:pPr>
      <w:r w:rsidRPr="00205C60">
        <w:rPr>
          <w:rFonts w:ascii="Verdana" w:hAnsi="Verdana" w:cs="Arial"/>
          <w:sz w:val="22"/>
          <w:szCs w:val="22"/>
        </w:rPr>
        <w:t xml:space="preserve"> </w:t>
      </w:r>
    </w:p>
    <w:p w14:paraId="3CA7E7C1" w14:textId="77777777" w:rsidR="0065305E" w:rsidRPr="00205C60" w:rsidRDefault="0065305E" w:rsidP="00B74B93">
      <w:pPr>
        <w:rPr>
          <w:rFonts w:ascii="Verdana" w:hAnsi="Verdana" w:cs="Arial"/>
          <w:b/>
          <w:sz w:val="22"/>
          <w:szCs w:val="22"/>
        </w:rPr>
      </w:pPr>
      <w:r w:rsidRPr="00205C60">
        <w:rPr>
          <w:rFonts w:ascii="Verdana" w:hAnsi="Verdana" w:cs="Arial"/>
          <w:b/>
          <w:sz w:val="22"/>
          <w:szCs w:val="22"/>
        </w:rPr>
        <w:t>Riesgos de proyectos</w:t>
      </w:r>
    </w:p>
    <w:p w14:paraId="3CA7E7C2" w14:textId="77777777" w:rsidR="00B21EE6" w:rsidRPr="00205C60" w:rsidRDefault="00B21EE6" w:rsidP="00B74B93">
      <w:pPr>
        <w:rPr>
          <w:rFonts w:ascii="Verdana" w:hAnsi="Verdana" w:cs="Arial"/>
          <w:b/>
          <w:sz w:val="22"/>
          <w:szCs w:val="22"/>
        </w:rPr>
      </w:pPr>
    </w:p>
    <w:p w14:paraId="3CA7E7C3" w14:textId="25E362AB" w:rsidR="00B52EC2" w:rsidRPr="00205C60" w:rsidRDefault="00751397" w:rsidP="00751397">
      <w:pPr>
        <w:jc w:val="both"/>
        <w:rPr>
          <w:rFonts w:ascii="Verdana" w:hAnsi="Verdana" w:cs="Arial"/>
          <w:sz w:val="22"/>
          <w:szCs w:val="22"/>
        </w:rPr>
      </w:pPr>
      <w:r w:rsidRPr="00205C60">
        <w:rPr>
          <w:rFonts w:ascii="Verdana" w:hAnsi="Verdana" w:cs="Arial"/>
          <w:sz w:val="22"/>
          <w:szCs w:val="22"/>
        </w:rPr>
        <w:t xml:space="preserve">El riesgo en un proyecto es un </w:t>
      </w:r>
      <w:r w:rsidR="00FA65C7" w:rsidRPr="00205C60">
        <w:rPr>
          <w:rFonts w:ascii="Verdana" w:hAnsi="Verdana" w:cs="Arial"/>
          <w:sz w:val="22"/>
          <w:szCs w:val="22"/>
        </w:rPr>
        <w:t>evento o condición inciert</w:t>
      </w:r>
      <w:r w:rsidR="00FA65C7">
        <w:rPr>
          <w:rFonts w:ascii="Verdana" w:hAnsi="Verdana" w:cs="Arial"/>
          <w:sz w:val="22"/>
          <w:szCs w:val="22"/>
        </w:rPr>
        <w:t>a</w:t>
      </w:r>
      <w:r w:rsidRPr="00205C60">
        <w:rPr>
          <w:rFonts w:ascii="Verdana" w:hAnsi="Verdana" w:cs="Arial"/>
          <w:sz w:val="22"/>
          <w:szCs w:val="22"/>
        </w:rPr>
        <w:t xml:space="preserve"> </w:t>
      </w:r>
      <w:r w:rsidR="00557337" w:rsidRPr="00205C60">
        <w:rPr>
          <w:rFonts w:ascii="Verdana" w:hAnsi="Verdana" w:cs="Arial"/>
          <w:sz w:val="22"/>
          <w:szCs w:val="22"/>
        </w:rPr>
        <w:t>que,</w:t>
      </w:r>
      <w:r w:rsidRPr="00205C60">
        <w:rPr>
          <w:rFonts w:ascii="Verdana" w:hAnsi="Verdana" w:cs="Arial"/>
          <w:sz w:val="22"/>
          <w:szCs w:val="22"/>
        </w:rPr>
        <w:t xml:space="preserve"> si ocurre, tiene un efecto negativo sobre el proyecto y </w:t>
      </w:r>
      <w:r w:rsidR="008C5465" w:rsidRPr="00205C60">
        <w:rPr>
          <w:rFonts w:ascii="Verdana" w:hAnsi="Verdana" w:cs="Arial"/>
          <w:sz w:val="22"/>
          <w:szCs w:val="22"/>
        </w:rPr>
        <w:t>cuyo costo d</w:t>
      </w:r>
      <w:r w:rsidRPr="00205C60">
        <w:rPr>
          <w:rFonts w:ascii="Verdana" w:hAnsi="Verdana" w:cs="Arial"/>
          <w:sz w:val="22"/>
          <w:szCs w:val="22"/>
        </w:rPr>
        <w:t>eberá ser asumido por la empresa.</w:t>
      </w:r>
    </w:p>
    <w:p w14:paraId="3CA7E7C4" w14:textId="77777777" w:rsidR="00C027FD" w:rsidRPr="00205C60" w:rsidRDefault="00C027FD" w:rsidP="00751397">
      <w:pPr>
        <w:jc w:val="both"/>
        <w:rPr>
          <w:rFonts w:ascii="Verdana" w:hAnsi="Verdana" w:cs="Arial"/>
          <w:sz w:val="22"/>
          <w:szCs w:val="22"/>
        </w:rPr>
      </w:pPr>
    </w:p>
    <w:p w14:paraId="3CA7E7C5" w14:textId="77777777" w:rsidR="002961A2" w:rsidRPr="00205C60" w:rsidRDefault="002961A2" w:rsidP="00751397">
      <w:pPr>
        <w:jc w:val="both"/>
        <w:rPr>
          <w:rFonts w:ascii="Verdana" w:hAnsi="Verdana" w:cs="Arial"/>
          <w:sz w:val="22"/>
          <w:szCs w:val="22"/>
        </w:rPr>
      </w:pPr>
      <w:r w:rsidRPr="00205C60">
        <w:rPr>
          <w:rFonts w:ascii="Verdana" w:hAnsi="Verdana" w:cs="Arial"/>
          <w:sz w:val="22"/>
          <w:szCs w:val="22"/>
        </w:rPr>
        <w:t>Los resultados esperados de un proyecto pueden variar en el tiempo. La eventualidad de obtener pérdidas en lugar de ganancias esperadas es e</w:t>
      </w:r>
      <w:r w:rsidR="008C1688" w:rsidRPr="00205C60">
        <w:rPr>
          <w:rFonts w:ascii="Verdana" w:hAnsi="Verdana" w:cs="Arial"/>
          <w:sz w:val="22"/>
          <w:szCs w:val="22"/>
        </w:rPr>
        <w:t>l concepto clave de este riesgo, donde se entremezclan múltiples factores de orden endógeno y exógeno.</w:t>
      </w:r>
    </w:p>
    <w:p w14:paraId="3CA7E7C6" w14:textId="77777777" w:rsidR="002961A2" w:rsidRPr="00205C60" w:rsidRDefault="002961A2" w:rsidP="00751397">
      <w:pPr>
        <w:jc w:val="both"/>
        <w:rPr>
          <w:rFonts w:ascii="Verdana" w:hAnsi="Verdana" w:cs="Arial"/>
          <w:sz w:val="22"/>
          <w:szCs w:val="22"/>
        </w:rPr>
      </w:pPr>
    </w:p>
    <w:p w14:paraId="3CA7E7C7" w14:textId="77777777" w:rsidR="00751397" w:rsidRPr="00205C60" w:rsidRDefault="00751397" w:rsidP="00751397">
      <w:pPr>
        <w:jc w:val="both"/>
        <w:rPr>
          <w:rFonts w:ascii="Verdana" w:hAnsi="Verdana" w:cs="Arial"/>
          <w:sz w:val="22"/>
          <w:szCs w:val="22"/>
        </w:rPr>
      </w:pPr>
      <w:r w:rsidRPr="00205C60">
        <w:rPr>
          <w:rFonts w:ascii="Verdana" w:hAnsi="Verdana" w:cs="Arial"/>
          <w:sz w:val="22"/>
          <w:szCs w:val="22"/>
        </w:rPr>
        <w:t xml:space="preserve">Sobrecostos </w:t>
      </w:r>
      <w:r w:rsidR="008C5465" w:rsidRPr="00205C60">
        <w:rPr>
          <w:rFonts w:ascii="Verdana" w:hAnsi="Verdana" w:cs="Arial"/>
          <w:sz w:val="22"/>
          <w:szCs w:val="22"/>
        </w:rPr>
        <w:t>en la inversión del proyecto</w:t>
      </w:r>
      <w:r w:rsidR="006D5138" w:rsidRPr="00205C60">
        <w:rPr>
          <w:rFonts w:ascii="Verdana" w:hAnsi="Verdana" w:cs="Arial"/>
          <w:sz w:val="22"/>
          <w:szCs w:val="22"/>
        </w:rPr>
        <w:t>,</w:t>
      </w:r>
      <w:r w:rsidR="008C5465" w:rsidRPr="00205C60">
        <w:rPr>
          <w:rFonts w:ascii="Verdana" w:hAnsi="Verdana" w:cs="Arial"/>
          <w:sz w:val="22"/>
          <w:szCs w:val="22"/>
        </w:rPr>
        <w:t xml:space="preserve"> podrían repercutir en la rentabilidad esperada del mismo y presentar flujos de ingresos negativos, que tendrían que ser asumidos por la empresa y que dependiendo de su magnitud podrían afectar </w:t>
      </w:r>
      <w:r w:rsidR="002961A2" w:rsidRPr="00205C60">
        <w:rPr>
          <w:rFonts w:ascii="Verdana" w:hAnsi="Verdana" w:cs="Arial"/>
          <w:sz w:val="22"/>
          <w:szCs w:val="22"/>
        </w:rPr>
        <w:t xml:space="preserve">el flujo de caja y los </w:t>
      </w:r>
      <w:r w:rsidR="008C5465" w:rsidRPr="00205C60">
        <w:rPr>
          <w:rFonts w:ascii="Verdana" w:hAnsi="Verdana" w:cs="Arial"/>
          <w:sz w:val="22"/>
          <w:szCs w:val="22"/>
        </w:rPr>
        <w:t>resultados financieros de la empresa.</w:t>
      </w:r>
    </w:p>
    <w:p w14:paraId="3CA7E7C8" w14:textId="77777777" w:rsidR="008C5465" w:rsidRPr="00205C60" w:rsidRDefault="008C5465" w:rsidP="00751397">
      <w:pPr>
        <w:jc w:val="both"/>
        <w:rPr>
          <w:rFonts w:ascii="Verdana" w:hAnsi="Verdana" w:cs="Arial"/>
          <w:sz w:val="22"/>
          <w:szCs w:val="22"/>
        </w:rPr>
      </w:pPr>
    </w:p>
    <w:p w14:paraId="3CA7E7C9" w14:textId="582E09C5" w:rsidR="00751397" w:rsidRPr="00205C60" w:rsidRDefault="008C5465" w:rsidP="00751397">
      <w:pPr>
        <w:jc w:val="both"/>
        <w:rPr>
          <w:rFonts w:ascii="Verdana" w:hAnsi="Verdana" w:cs="Arial"/>
          <w:sz w:val="22"/>
          <w:szCs w:val="22"/>
        </w:rPr>
      </w:pPr>
      <w:r w:rsidRPr="00205C60">
        <w:rPr>
          <w:rFonts w:ascii="Verdana" w:hAnsi="Verdana" w:cs="Arial"/>
          <w:sz w:val="22"/>
          <w:szCs w:val="22"/>
        </w:rPr>
        <w:t>Atrasos en la ejecución de un proyecto y por tanto en su entrada en operación comercial, ocasionaría</w:t>
      </w:r>
      <w:r w:rsidR="002961A2" w:rsidRPr="00205C60">
        <w:rPr>
          <w:rFonts w:ascii="Verdana" w:hAnsi="Verdana" w:cs="Arial"/>
          <w:sz w:val="22"/>
          <w:szCs w:val="22"/>
        </w:rPr>
        <w:t>n</w:t>
      </w:r>
      <w:r w:rsidRPr="00205C60">
        <w:rPr>
          <w:rFonts w:ascii="Verdana" w:hAnsi="Verdana" w:cs="Arial"/>
          <w:sz w:val="22"/>
          <w:szCs w:val="22"/>
        </w:rPr>
        <w:t xml:space="preserve"> una afectación directa en el flujo de caja de la empresa, </w:t>
      </w:r>
      <w:r w:rsidR="00557337" w:rsidRPr="00205C60">
        <w:rPr>
          <w:rFonts w:ascii="Verdana" w:hAnsi="Verdana" w:cs="Arial"/>
          <w:sz w:val="22"/>
          <w:szCs w:val="22"/>
        </w:rPr>
        <w:t>al tener</w:t>
      </w:r>
      <w:r w:rsidRPr="00205C60">
        <w:rPr>
          <w:rFonts w:ascii="Verdana" w:hAnsi="Verdana" w:cs="Arial"/>
          <w:sz w:val="22"/>
          <w:szCs w:val="22"/>
        </w:rPr>
        <w:t xml:space="preserve"> que comprar energía que se esperaba generaría el proyecto y reclasificar recursos financieros para la atenci</w:t>
      </w:r>
      <w:r w:rsidR="006D5138" w:rsidRPr="00205C60">
        <w:rPr>
          <w:rFonts w:ascii="Verdana" w:hAnsi="Verdana" w:cs="Arial"/>
          <w:sz w:val="22"/>
          <w:szCs w:val="22"/>
        </w:rPr>
        <w:t>ón de su deuda que habrían</w:t>
      </w:r>
      <w:r w:rsidR="0018441F" w:rsidRPr="00205C60">
        <w:rPr>
          <w:rFonts w:ascii="Verdana" w:hAnsi="Verdana" w:cs="Arial"/>
          <w:sz w:val="22"/>
          <w:szCs w:val="22"/>
        </w:rPr>
        <w:t xml:space="preserve"> sido generados por el mismo.</w:t>
      </w:r>
    </w:p>
    <w:p w14:paraId="3CA7E7CA" w14:textId="77777777" w:rsidR="00096389" w:rsidRPr="00205C60" w:rsidRDefault="00096389" w:rsidP="00096389">
      <w:pPr>
        <w:rPr>
          <w:rFonts w:ascii="Verdana" w:hAnsi="Verdana" w:cs="Arial"/>
          <w:b/>
          <w:sz w:val="22"/>
          <w:szCs w:val="22"/>
        </w:rPr>
      </w:pPr>
    </w:p>
    <w:p w14:paraId="3CA7E7CB" w14:textId="77777777" w:rsidR="00096389" w:rsidRPr="00205C60" w:rsidRDefault="00096389" w:rsidP="00096389">
      <w:pPr>
        <w:rPr>
          <w:rFonts w:ascii="Verdana" w:hAnsi="Verdana" w:cs="Arial"/>
          <w:b/>
          <w:sz w:val="22"/>
          <w:szCs w:val="22"/>
        </w:rPr>
      </w:pPr>
      <w:r w:rsidRPr="00205C60">
        <w:rPr>
          <w:rFonts w:ascii="Verdana" w:hAnsi="Verdana" w:cs="Arial"/>
          <w:b/>
          <w:sz w:val="22"/>
          <w:szCs w:val="22"/>
        </w:rPr>
        <w:t>Riesgo reputacional o de imagen</w:t>
      </w:r>
    </w:p>
    <w:p w14:paraId="3CA7E7CC" w14:textId="77777777" w:rsidR="00A44E3C" w:rsidRPr="00205C60" w:rsidRDefault="00A44E3C" w:rsidP="00096389">
      <w:pPr>
        <w:spacing w:after="150"/>
        <w:contextualSpacing/>
        <w:jc w:val="both"/>
        <w:rPr>
          <w:rFonts w:ascii="Verdana" w:hAnsi="Verdana" w:cs="Arial"/>
          <w:color w:val="000000"/>
          <w:sz w:val="22"/>
          <w:szCs w:val="22"/>
          <w:lang w:eastAsia="es-CR"/>
        </w:rPr>
      </w:pPr>
    </w:p>
    <w:p w14:paraId="3CA7E7CD" w14:textId="77777777" w:rsidR="009A5495" w:rsidRPr="00205C60" w:rsidRDefault="00A44E3C" w:rsidP="009A5495">
      <w:pPr>
        <w:spacing w:after="150"/>
        <w:contextualSpacing/>
        <w:jc w:val="both"/>
        <w:rPr>
          <w:rFonts w:ascii="Verdana" w:hAnsi="Verdana" w:cs="Arial"/>
          <w:iCs/>
          <w:sz w:val="22"/>
          <w:szCs w:val="22"/>
          <w:lang w:val="es-CR" w:eastAsia="es-CR"/>
        </w:rPr>
      </w:pPr>
      <w:r w:rsidRPr="00205C60">
        <w:rPr>
          <w:rFonts w:ascii="Verdana" w:hAnsi="Verdana" w:cs="Arial"/>
          <w:sz w:val="22"/>
          <w:szCs w:val="22"/>
        </w:rPr>
        <w:t xml:space="preserve">Podemos considerar el riesgo reputacional, </w:t>
      </w:r>
      <w:r w:rsidR="009A5495" w:rsidRPr="00205C60">
        <w:rPr>
          <w:rFonts w:ascii="Verdana" w:hAnsi="Verdana" w:cs="Arial"/>
          <w:sz w:val="22"/>
          <w:szCs w:val="22"/>
        </w:rPr>
        <w:t xml:space="preserve">como </w:t>
      </w:r>
      <w:r w:rsidR="009A5495" w:rsidRPr="00205C60">
        <w:rPr>
          <w:rFonts w:ascii="Verdana" w:hAnsi="Verdana" w:cs="Arial"/>
          <w:iCs/>
          <w:sz w:val="22"/>
          <w:szCs w:val="22"/>
          <w:lang w:val="es-CR" w:eastAsia="es-CR"/>
        </w:rPr>
        <w:t>la posibilidad de pérdida en que incurre una compañía por desprestigio, mala imagen, publicidad negativa cierta o no, respecto de la institución y sus prácticas de negocios, que cause pérdida de clientes, disminución de ingresos o procesos judiciales.”</w:t>
      </w:r>
    </w:p>
    <w:p w14:paraId="3CA7E7CE" w14:textId="77777777" w:rsidR="009A5495" w:rsidRPr="00205C60" w:rsidRDefault="009A5495" w:rsidP="00591049">
      <w:pPr>
        <w:tabs>
          <w:tab w:val="left" w:pos="7275"/>
        </w:tabs>
        <w:spacing w:after="150"/>
        <w:contextualSpacing/>
        <w:jc w:val="both"/>
        <w:rPr>
          <w:rFonts w:ascii="Verdana" w:eastAsiaTheme="minorHAnsi" w:hAnsi="Verdana" w:cs="Arial"/>
          <w:sz w:val="22"/>
          <w:szCs w:val="22"/>
          <w:lang w:eastAsia="en-US"/>
        </w:rPr>
      </w:pPr>
    </w:p>
    <w:p w14:paraId="3CA7E7CF" w14:textId="77777777" w:rsidR="00096389" w:rsidRPr="00205C60" w:rsidRDefault="00591049" w:rsidP="00591049">
      <w:pPr>
        <w:tabs>
          <w:tab w:val="left" w:pos="7275"/>
        </w:tabs>
        <w:spacing w:after="150"/>
        <w:contextualSpacing/>
        <w:jc w:val="both"/>
        <w:rPr>
          <w:rFonts w:ascii="Verdana" w:eastAsiaTheme="minorHAnsi" w:hAnsi="Verdana" w:cs="Arial"/>
          <w:sz w:val="22"/>
          <w:szCs w:val="22"/>
          <w:lang w:eastAsia="en-US"/>
        </w:rPr>
      </w:pPr>
      <w:r w:rsidRPr="00205C60">
        <w:rPr>
          <w:rFonts w:ascii="Verdana" w:eastAsiaTheme="minorHAnsi" w:hAnsi="Verdana" w:cs="Arial"/>
          <w:sz w:val="22"/>
          <w:szCs w:val="22"/>
          <w:lang w:eastAsia="en-US"/>
        </w:rPr>
        <w:t>La afectación de la reputación derivada de rumores, comunicaciones masivas negativas, manejo administrativo deficiente, conductas contrarias a la ética de los funcionarios o representantes de la entidad, opiniones negativas de clientes, lavado de dinero o situaciones legales que afecten la imagen, impiden o disminuyen la capacidad o reputación para hacer negocios.</w:t>
      </w:r>
    </w:p>
    <w:p w14:paraId="3CA7E7D0" w14:textId="77777777" w:rsidR="00F16A7B" w:rsidRPr="00205C60" w:rsidRDefault="00F16A7B" w:rsidP="00591049">
      <w:pPr>
        <w:tabs>
          <w:tab w:val="left" w:pos="7275"/>
        </w:tabs>
        <w:spacing w:after="150"/>
        <w:contextualSpacing/>
        <w:jc w:val="both"/>
        <w:rPr>
          <w:rFonts w:ascii="Verdana" w:eastAsiaTheme="minorHAnsi" w:hAnsi="Verdana" w:cs="Arial"/>
          <w:sz w:val="22"/>
          <w:szCs w:val="22"/>
          <w:lang w:eastAsia="en-US"/>
        </w:rPr>
      </w:pPr>
    </w:p>
    <w:p w14:paraId="3CA7E7D1" w14:textId="77777777" w:rsidR="00F16A7B" w:rsidRPr="00205C60" w:rsidRDefault="0000213C" w:rsidP="0000213C">
      <w:pPr>
        <w:autoSpaceDE w:val="0"/>
        <w:autoSpaceDN w:val="0"/>
        <w:adjustRightInd w:val="0"/>
        <w:jc w:val="both"/>
        <w:rPr>
          <w:rFonts w:ascii="Verdana" w:hAnsi="Verdana" w:cs="Arial"/>
          <w:sz w:val="22"/>
          <w:szCs w:val="22"/>
          <w:lang w:val="es-CR" w:eastAsia="es-CR"/>
        </w:rPr>
      </w:pPr>
      <w:r w:rsidRPr="00205C60">
        <w:rPr>
          <w:rFonts w:ascii="Verdana" w:hAnsi="Verdana" w:cs="Arial"/>
          <w:sz w:val="22"/>
          <w:szCs w:val="22"/>
          <w:lang w:val="es-CR" w:eastAsia="es-CR"/>
        </w:rPr>
        <w:t>Una crisis de imagen puede poner en peligro la continuidad de la empresa. La reputación influye en los resultados del negocio y tiene una relación directa en términos económicos, por lo que el inversionista podría verse afectado, por el impacto del riesgo reputacional en las operaciones de la empresa en caso de materializarse.</w:t>
      </w:r>
    </w:p>
    <w:p w14:paraId="3CA7E7D2" w14:textId="77777777" w:rsidR="0000213C" w:rsidRPr="00205C60" w:rsidRDefault="0000213C" w:rsidP="0000213C">
      <w:pPr>
        <w:autoSpaceDE w:val="0"/>
        <w:autoSpaceDN w:val="0"/>
        <w:adjustRightInd w:val="0"/>
        <w:jc w:val="both"/>
        <w:rPr>
          <w:rFonts w:ascii="Verdana" w:hAnsi="Verdana" w:cs="Arial"/>
          <w:sz w:val="22"/>
          <w:szCs w:val="22"/>
          <w:lang w:val="es-CR" w:eastAsia="es-CR"/>
        </w:rPr>
      </w:pPr>
    </w:p>
    <w:p w14:paraId="3CA7E7D3" w14:textId="61A7F467" w:rsidR="00527582" w:rsidRPr="00205C60" w:rsidRDefault="00F16A7B" w:rsidP="00096389">
      <w:pPr>
        <w:spacing w:after="150"/>
        <w:contextualSpacing/>
        <w:jc w:val="both"/>
        <w:rPr>
          <w:rFonts w:ascii="Verdana" w:hAnsi="Verdana" w:cs="Arial"/>
          <w:sz w:val="22"/>
          <w:szCs w:val="22"/>
        </w:rPr>
      </w:pPr>
      <w:r w:rsidRPr="00205C60">
        <w:rPr>
          <w:rFonts w:ascii="Verdana" w:hAnsi="Verdana" w:cs="Arial"/>
          <w:sz w:val="22"/>
          <w:szCs w:val="22"/>
        </w:rPr>
        <w:t xml:space="preserve">Sucesos o </w:t>
      </w:r>
      <w:r w:rsidR="00327993" w:rsidRPr="00205C60">
        <w:rPr>
          <w:rFonts w:ascii="Verdana" w:hAnsi="Verdana" w:cs="Arial"/>
          <w:sz w:val="22"/>
          <w:szCs w:val="22"/>
        </w:rPr>
        <w:t>noticias que</w:t>
      </w:r>
      <w:r w:rsidRPr="00205C60">
        <w:rPr>
          <w:rFonts w:ascii="Verdana" w:hAnsi="Verdana" w:cs="Arial"/>
          <w:sz w:val="22"/>
          <w:szCs w:val="22"/>
        </w:rPr>
        <w:t xml:space="preserve"> configuren una opinión pública negativa de la Compañía, serán abordadas por la Alta Dirección junto </w:t>
      </w:r>
      <w:r w:rsidR="00AD0966" w:rsidRPr="00205C60">
        <w:rPr>
          <w:rFonts w:ascii="Verdana" w:hAnsi="Verdana" w:cs="Arial"/>
          <w:sz w:val="22"/>
          <w:szCs w:val="22"/>
        </w:rPr>
        <w:t>con la</w:t>
      </w:r>
      <w:r w:rsidRPr="00205C60">
        <w:rPr>
          <w:rFonts w:ascii="Verdana" w:hAnsi="Verdana" w:cs="Arial"/>
          <w:sz w:val="22"/>
          <w:szCs w:val="22"/>
        </w:rPr>
        <w:t xml:space="preserve"> Unidad de Comunicación </w:t>
      </w:r>
      <w:r w:rsidR="0078084D" w:rsidRPr="00205C60">
        <w:rPr>
          <w:rFonts w:ascii="Verdana" w:hAnsi="Verdana" w:cs="Arial"/>
          <w:sz w:val="22"/>
          <w:szCs w:val="22"/>
        </w:rPr>
        <w:t>Empresarial, pudiendo</w:t>
      </w:r>
      <w:r w:rsidRPr="00205C60">
        <w:rPr>
          <w:rFonts w:ascii="Verdana" w:hAnsi="Verdana" w:cs="Arial"/>
          <w:sz w:val="22"/>
          <w:szCs w:val="22"/>
        </w:rPr>
        <w:t xml:space="preserve"> </w:t>
      </w:r>
      <w:r w:rsidR="009501BF">
        <w:rPr>
          <w:rFonts w:ascii="Verdana" w:hAnsi="Verdana" w:cs="Arial"/>
          <w:sz w:val="22"/>
          <w:szCs w:val="22"/>
        </w:rPr>
        <w:t>atender tales circunstancias,</w:t>
      </w:r>
      <w:r w:rsidRPr="00205C60">
        <w:rPr>
          <w:rFonts w:ascii="Verdana" w:hAnsi="Verdana" w:cs="Arial"/>
          <w:sz w:val="22"/>
          <w:szCs w:val="22"/>
        </w:rPr>
        <w:t xml:space="preserve"> dando la cara y estableciendo una solución adecuada a la situación que menoscaba la reputación, devolviendo la confianza lo antes posible a los grupos de interés con los que se relaciona la empresa.</w:t>
      </w:r>
    </w:p>
    <w:p w14:paraId="3CA7E7D4" w14:textId="75732326" w:rsidR="0017458A" w:rsidRPr="00205C60" w:rsidRDefault="0017458A" w:rsidP="00EB5C6E">
      <w:pPr>
        <w:pStyle w:val="Sinespaciado"/>
        <w:jc w:val="both"/>
        <w:rPr>
          <w:rFonts w:ascii="Verdana" w:hAnsi="Verdana" w:cs="Arial"/>
          <w:sz w:val="22"/>
          <w:szCs w:val="22"/>
        </w:rPr>
      </w:pPr>
      <w:r w:rsidRPr="00205C60">
        <w:rPr>
          <w:rFonts w:ascii="Verdana" w:hAnsi="Verdana" w:cs="Arial"/>
          <w:sz w:val="22"/>
          <w:szCs w:val="22"/>
        </w:rPr>
        <w:t xml:space="preserve">Por demás, la Compañía cuenta con un Código de Ética y Conducta, instrumento que regula y establece los comportamientos orientadores que buscan guiar al personal hacia conductas éticas, sin importar su rango u ocupación. Estos comportamientos están sustentados, principalmente, en los valores de compromiso, integridad, eficiencia, excelencia e innovación que la empresa eligió como ideales de conducta del personal en el cumplimiento de sus funciones. </w:t>
      </w:r>
    </w:p>
    <w:p w14:paraId="5D184C3C" w14:textId="08317523" w:rsidR="00327993" w:rsidRPr="00205C60" w:rsidRDefault="00327993" w:rsidP="00EB5C6E">
      <w:pPr>
        <w:pStyle w:val="Sinespaciado"/>
        <w:jc w:val="both"/>
        <w:rPr>
          <w:rFonts w:ascii="Verdana" w:hAnsi="Verdana" w:cs="Arial"/>
          <w:sz w:val="22"/>
          <w:szCs w:val="22"/>
        </w:rPr>
      </w:pPr>
    </w:p>
    <w:p w14:paraId="3CA7E7D6" w14:textId="77777777" w:rsidR="008D5226" w:rsidRPr="00205C60" w:rsidRDefault="008D5226" w:rsidP="008D5226">
      <w:pPr>
        <w:rPr>
          <w:rFonts w:ascii="Verdana" w:hAnsi="Verdana" w:cs="Arial"/>
          <w:b/>
          <w:sz w:val="22"/>
          <w:szCs w:val="22"/>
        </w:rPr>
      </w:pPr>
      <w:r w:rsidRPr="00205C60">
        <w:rPr>
          <w:rFonts w:ascii="Verdana" w:hAnsi="Verdana" w:cs="Arial"/>
          <w:b/>
          <w:sz w:val="22"/>
          <w:szCs w:val="22"/>
        </w:rPr>
        <w:t>Riesgo de continuidad del negocio</w:t>
      </w:r>
    </w:p>
    <w:p w14:paraId="3CA7E7D7" w14:textId="48ADFF06" w:rsidR="0040763C" w:rsidRPr="00205C60" w:rsidRDefault="00754899" w:rsidP="00754899">
      <w:pPr>
        <w:spacing w:before="240" w:after="240"/>
        <w:jc w:val="both"/>
        <w:rPr>
          <w:rFonts w:ascii="Verdana" w:hAnsi="Verdana" w:cs="Arial"/>
          <w:sz w:val="22"/>
          <w:szCs w:val="22"/>
        </w:rPr>
      </w:pPr>
      <w:r w:rsidRPr="00205C60">
        <w:rPr>
          <w:rFonts w:ascii="Verdana" w:hAnsi="Verdana" w:cs="Arial"/>
          <w:sz w:val="22"/>
          <w:szCs w:val="22"/>
        </w:rPr>
        <w:t xml:space="preserve">Se refiere a la posibilidad de que las operaciones de la Compañía Nacional de Fuerza y Luz S.A. se vean suspendidas parcial o totalmente por eventos internos o externos de alto impacto, </w:t>
      </w:r>
      <w:r w:rsidR="00327993" w:rsidRPr="00205C60">
        <w:rPr>
          <w:rFonts w:ascii="Verdana" w:hAnsi="Verdana" w:cs="Arial"/>
          <w:sz w:val="22"/>
          <w:szCs w:val="22"/>
        </w:rPr>
        <w:t>como,</w:t>
      </w:r>
      <w:r w:rsidRPr="00205C60">
        <w:rPr>
          <w:rFonts w:ascii="Verdana" w:hAnsi="Verdana" w:cs="Arial"/>
          <w:sz w:val="22"/>
          <w:szCs w:val="22"/>
        </w:rPr>
        <w:t xml:space="preserve"> por ejemplo, desastres naturales, emergencias de </w:t>
      </w:r>
      <w:r w:rsidRPr="00205C60">
        <w:rPr>
          <w:rFonts w:ascii="Verdana" w:hAnsi="Verdana" w:cs="Arial"/>
          <w:sz w:val="22"/>
          <w:szCs w:val="22"/>
        </w:rPr>
        <w:lastRenderedPageBreak/>
        <w:t xml:space="preserve">salud, manifestaciones sociales, inhabilitación de las instalaciones, suspensión de servicios de tecnologías de información, o cualquier otro factor que afecte a la entidad, a los mercados que atiende y a sus clientes. </w:t>
      </w:r>
    </w:p>
    <w:p w14:paraId="3CA7E7D8" w14:textId="77777777" w:rsidR="00684D96" w:rsidRPr="00205C60" w:rsidRDefault="00754899" w:rsidP="00754899">
      <w:pPr>
        <w:spacing w:before="240" w:after="240"/>
        <w:jc w:val="both"/>
        <w:rPr>
          <w:rFonts w:ascii="Verdana" w:hAnsi="Verdana" w:cs="Arial"/>
          <w:sz w:val="22"/>
          <w:szCs w:val="22"/>
          <w:lang w:val="es-CR"/>
        </w:rPr>
      </w:pPr>
      <w:r w:rsidRPr="00205C60">
        <w:rPr>
          <w:rFonts w:ascii="Verdana" w:hAnsi="Verdana" w:cs="Arial"/>
          <w:sz w:val="22"/>
          <w:szCs w:val="22"/>
        </w:rPr>
        <w:t>Es importante señalar, que en caso de prolongarse la respuesta ante un escenario que afecte la continuidad normal de las operaciones, podría comprometerse la oportunidad en la atención de las obligaciones con los inversionistas</w:t>
      </w:r>
      <w:r w:rsidR="00684D96" w:rsidRPr="00205C60">
        <w:rPr>
          <w:rFonts w:ascii="Verdana" w:hAnsi="Verdana" w:cs="Arial"/>
          <w:sz w:val="22"/>
          <w:szCs w:val="22"/>
        </w:rPr>
        <w:t xml:space="preserve"> y por tanto de que se incumpla con </w:t>
      </w:r>
      <w:r w:rsidR="00684D96" w:rsidRPr="00205C60">
        <w:rPr>
          <w:rFonts w:ascii="Verdana" w:hAnsi="Verdana" w:cs="Arial"/>
          <w:sz w:val="22"/>
          <w:szCs w:val="22"/>
          <w:lang w:val="es-CR"/>
        </w:rPr>
        <w:t>el pago del principal y/o con los intereses de los bonos, ya que se afecta la realización del flujo de efectivo.</w:t>
      </w:r>
    </w:p>
    <w:p w14:paraId="3CA7E7D9" w14:textId="77777777" w:rsidR="0038577A" w:rsidRPr="00205C60" w:rsidRDefault="00DC5FAD" w:rsidP="0038577A">
      <w:pPr>
        <w:spacing w:before="240" w:after="240"/>
        <w:jc w:val="both"/>
        <w:rPr>
          <w:rFonts w:ascii="Verdana" w:hAnsi="Verdana" w:cs="Arial"/>
          <w:sz w:val="22"/>
          <w:szCs w:val="22"/>
          <w:lang w:val="es-CR"/>
        </w:rPr>
      </w:pPr>
      <w:r w:rsidRPr="00205C60">
        <w:rPr>
          <w:rFonts w:ascii="Verdana" w:hAnsi="Verdana" w:cs="Arial"/>
          <w:sz w:val="22"/>
          <w:szCs w:val="22"/>
        </w:rPr>
        <w:t xml:space="preserve">Los desastres naturales, las </w:t>
      </w:r>
      <w:r w:rsidR="00512103" w:rsidRPr="00205C60">
        <w:rPr>
          <w:rFonts w:ascii="Verdana" w:hAnsi="Verdana" w:cs="Arial"/>
          <w:sz w:val="22"/>
          <w:szCs w:val="22"/>
        </w:rPr>
        <w:t>p</w:t>
      </w:r>
      <w:r w:rsidRPr="00205C60">
        <w:rPr>
          <w:rFonts w:ascii="Verdana" w:hAnsi="Verdana" w:cs="Arial"/>
          <w:sz w:val="22"/>
          <w:szCs w:val="22"/>
        </w:rPr>
        <w:t>andemias, las crisis de agua, los eventos climáticos extremos, los ciberataques se seguirán presentando, lo importante aquí es estar conscientes de la existencia de dichos riesgos, no subestimarlos, estar preparados</w:t>
      </w:r>
      <w:r w:rsidR="0038577A" w:rsidRPr="00205C60">
        <w:rPr>
          <w:rFonts w:ascii="Verdana" w:hAnsi="Verdana" w:cs="Arial"/>
          <w:sz w:val="22"/>
          <w:szCs w:val="22"/>
        </w:rPr>
        <w:t xml:space="preserve"> mediante un plan de continuidad de los negocios a través de una precisa administración de riesgos, que responda a situaciones impredecibles para minimizar las pérdidas.</w:t>
      </w:r>
    </w:p>
    <w:p w14:paraId="3CA7E7DA" w14:textId="77777777" w:rsidR="003D5E08" w:rsidRPr="00205C60" w:rsidRDefault="003D5E08" w:rsidP="0040763C">
      <w:pPr>
        <w:pStyle w:val="Encabezado"/>
        <w:rPr>
          <w:rFonts w:ascii="Verdana" w:hAnsi="Verdana"/>
          <w:szCs w:val="22"/>
        </w:rPr>
      </w:pPr>
      <w:r w:rsidRPr="00205C60">
        <w:rPr>
          <w:rFonts w:ascii="Verdana" w:hAnsi="Verdana"/>
          <w:szCs w:val="22"/>
        </w:rPr>
        <w:t>En la Compañía se cuenta con un “Manual para el Centro de Operaciones de Emergencia” en donde se establece la forma de implementación de la metodología para el control de la respuesta a emergencias, desastres y otros que afecten el funcionamiento de las operaciones de acuerdo a la Estrategia de Continuidad del Negocio de la CNFL</w:t>
      </w:r>
      <w:r w:rsidR="009263F8" w:rsidRPr="00205C60">
        <w:rPr>
          <w:rFonts w:ascii="Verdana" w:hAnsi="Verdana"/>
          <w:szCs w:val="22"/>
        </w:rPr>
        <w:t>, cuyo objetivo es establecer los mecanismos estandarizados para el Manejo y Control de Operaciones de Emergencias, la activación y funcionamiento del Centro de Operaciones de Emergencia</w:t>
      </w:r>
      <w:r w:rsidR="007C5EB1" w:rsidRPr="00205C60">
        <w:rPr>
          <w:rFonts w:ascii="Verdana" w:hAnsi="Verdana"/>
          <w:szCs w:val="22"/>
        </w:rPr>
        <w:t>.</w:t>
      </w:r>
    </w:p>
    <w:p w14:paraId="3CA7E7DB" w14:textId="77777777" w:rsidR="003D5E08" w:rsidRPr="00205C60" w:rsidRDefault="003D5E08" w:rsidP="0040763C">
      <w:pPr>
        <w:pStyle w:val="Encabezado"/>
        <w:rPr>
          <w:rFonts w:ascii="Verdana" w:hAnsi="Verdana"/>
          <w:szCs w:val="22"/>
        </w:rPr>
      </w:pPr>
    </w:p>
    <w:p w14:paraId="3CA7E7DC" w14:textId="77777777" w:rsidR="009263F8" w:rsidRPr="00205C60" w:rsidRDefault="009263F8" w:rsidP="0040763C">
      <w:pPr>
        <w:pStyle w:val="Encabezado"/>
        <w:rPr>
          <w:rFonts w:ascii="Verdana" w:hAnsi="Verdana"/>
          <w:szCs w:val="22"/>
        </w:rPr>
      </w:pPr>
      <w:r w:rsidRPr="00205C60">
        <w:rPr>
          <w:rFonts w:ascii="Verdana" w:hAnsi="Verdana"/>
          <w:szCs w:val="22"/>
        </w:rPr>
        <w:t>El Centro de Operaciones de Emergencia de la CNFL, es un equipo de trabajo que activa una serie de mecanismos de coordinación, conducción y decisión que integra la información más relevante de los incidentes, para generar acciones de respuesta directa y efectiva.</w:t>
      </w:r>
    </w:p>
    <w:p w14:paraId="3CA7E7DD" w14:textId="15EBB6C6" w:rsidR="003D5E08" w:rsidRPr="00205C60" w:rsidRDefault="007C5EB1" w:rsidP="00754899">
      <w:pPr>
        <w:spacing w:before="240" w:after="240"/>
        <w:jc w:val="both"/>
        <w:rPr>
          <w:rFonts w:ascii="Verdana" w:hAnsi="Verdana" w:cs="Arial"/>
          <w:sz w:val="22"/>
          <w:szCs w:val="22"/>
        </w:rPr>
      </w:pPr>
      <w:r w:rsidRPr="00205C60">
        <w:rPr>
          <w:rFonts w:ascii="Verdana" w:hAnsi="Verdana" w:cs="Arial"/>
          <w:sz w:val="22"/>
          <w:szCs w:val="22"/>
        </w:rPr>
        <w:t xml:space="preserve">El Centro de Operaciones de emergencias se encuentra conformado por un Comité </w:t>
      </w:r>
      <w:r w:rsidR="00327993" w:rsidRPr="00205C60">
        <w:rPr>
          <w:rFonts w:ascii="Verdana" w:hAnsi="Verdana" w:cs="Arial"/>
          <w:sz w:val="22"/>
          <w:szCs w:val="22"/>
        </w:rPr>
        <w:t>director</w:t>
      </w:r>
      <w:r w:rsidRPr="00205C60">
        <w:rPr>
          <w:rFonts w:ascii="Verdana" w:hAnsi="Verdana" w:cs="Arial"/>
          <w:sz w:val="22"/>
          <w:szCs w:val="22"/>
        </w:rPr>
        <w:t xml:space="preserve">, un Comité Operativo de Crisis y Mesas Sectoriales, éstas últimas de operaciones, logística, soporte, comunicación, tecnologías e </w:t>
      </w:r>
      <w:r w:rsidR="00013F6F" w:rsidRPr="00205C60">
        <w:rPr>
          <w:rFonts w:ascii="Verdana" w:hAnsi="Verdana" w:cs="Arial"/>
          <w:sz w:val="22"/>
          <w:szCs w:val="22"/>
        </w:rPr>
        <w:t>Infocomunicaciones</w:t>
      </w:r>
      <w:r w:rsidRPr="00205C60">
        <w:rPr>
          <w:rFonts w:ascii="Verdana" w:hAnsi="Verdana" w:cs="Arial"/>
          <w:sz w:val="22"/>
          <w:szCs w:val="22"/>
        </w:rPr>
        <w:t>.</w:t>
      </w:r>
    </w:p>
    <w:p w14:paraId="3CA7E7DE" w14:textId="77777777" w:rsidR="003D5E08" w:rsidRPr="00205C60" w:rsidRDefault="007C5EB1" w:rsidP="00754899">
      <w:pPr>
        <w:spacing w:before="240" w:after="240"/>
        <w:jc w:val="both"/>
        <w:rPr>
          <w:rFonts w:ascii="Verdana" w:hAnsi="Verdana" w:cs="Arial"/>
          <w:sz w:val="22"/>
          <w:szCs w:val="22"/>
        </w:rPr>
      </w:pPr>
      <w:r w:rsidRPr="00205C60">
        <w:rPr>
          <w:rFonts w:ascii="Verdana" w:hAnsi="Verdana" w:cs="Arial"/>
          <w:sz w:val="22"/>
          <w:szCs w:val="22"/>
        </w:rPr>
        <w:t xml:space="preserve"> </w:t>
      </w:r>
    </w:p>
    <w:p w14:paraId="3CA7E7DF" w14:textId="77777777" w:rsidR="00005AAE" w:rsidRPr="00205C60" w:rsidRDefault="00B00D2F" w:rsidP="009C3E2E">
      <w:pPr>
        <w:pStyle w:val="Ttulo2"/>
        <w:numPr>
          <w:ilvl w:val="0"/>
          <w:numId w:val="0"/>
        </w:numPr>
        <w:tabs>
          <w:tab w:val="clear" w:pos="1241"/>
          <w:tab w:val="clear" w:pos="2268"/>
          <w:tab w:val="clear" w:pos="2480"/>
          <w:tab w:val="left" w:pos="993"/>
          <w:tab w:val="left" w:pos="1843"/>
        </w:tabs>
        <w:spacing w:line="120" w:lineRule="atLeast"/>
        <w:ind w:right="142"/>
        <w:rPr>
          <w:rFonts w:ascii="Verdana" w:hAnsi="Verdana" w:cs="Arial"/>
          <w:sz w:val="22"/>
          <w:szCs w:val="22"/>
        </w:rPr>
      </w:pPr>
      <w:r w:rsidRPr="00205C60">
        <w:rPr>
          <w:rFonts w:ascii="Verdana" w:hAnsi="Verdana" w:cs="Arial"/>
          <w:sz w:val="22"/>
          <w:szCs w:val="22"/>
        </w:rPr>
        <w:t xml:space="preserve">     </w:t>
      </w:r>
      <w:bookmarkStart w:id="94" w:name="_Toc104529455"/>
      <w:r w:rsidR="009C3E2E" w:rsidRPr="00205C60">
        <w:rPr>
          <w:rFonts w:ascii="Verdana" w:hAnsi="Verdana" w:cs="Arial"/>
          <w:sz w:val="22"/>
          <w:szCs w:val="22"/>
        </w:rPr>
        <w:t xml:space="preserve">2.1.3. </w:t>
      </w:r>
      <w:r w:rsidR="00005AAE" w:rsidRPr="00205C60">
        <w:rPr>
          <w:rFonts w:ascii="Verdana" w:hAnsi="Verdana" w:cs="Arial"/>
          <w:sz w:val="22"/>
          <w:szCs w:val="22"/>
        </w:rPr>
        <w:t>Riesgos de la industria</w:t>
      </w:r>
      <w:bookmarkEnd w:id="94"/>
    </w:p>
    <w:p w14:paraId="3CA7E7E0" w14:textId="77777777" w:rsidR="00005AAE" w:rsidRPr="00205C60" w:rsidRDefault="00005AAE" w:rsidP="00005AAE">
      <w:pPr>
        <w:pStyle w:val="Ttulo3"/>
        <w:numPr>
          <w:ilvl w:val="0"/>
          <w:numId w:val="0"/>
        </w:numPr>
        <w:spacing w:line="240" w:lineRule="auto"/>
        <w:ind w:left="360"/>
        <w:rPr>
          <w:rFonts w:ascii="Verdana" w:hAnsi="Verdana" w:cs="Arial"/>
          <w:i w:val="0"/>
          <w:szCs w:val="22"/>
        </w:rPr>
      </w:pPr>
      <w:bookmarkStart w:id="95" w:name="_Toc102455537"/>
    </w:p>
    <w:p w14:paraId="3CA7E7E1" w14:textId="77777777" w:rsidR="00005AAE" w:rsidRPr="00205C60" w:rsidRDefault="00005AAE" w:rsidP="00B74B93">
      <w:pPr>
        <w:rPr>
          <w:rFonts w:ascii="Verdana" w:hAnsi="Verdana" w:cs="Arial"/>
          <w:b/>
          <w:sz w:val="22"/>
          <w:szCs w:val="22"/>
        </w:rPr>
      </w:pPr>
      <w:r w:rsidRPr="00205C60">
        <w:rPr>
          <w:rFonts w:ascii="Verdana" w:hAnsi="Verdana" w:cs="Arial"/>
          <w:b/>
          <w:sz w:val="22"/>
          <w:szCs w:val="22"/>
        </w:rPr>
        <w:t>Riesgo Sectorial</w:t>
      </w:r>
      <w:bookmarkEnd w:id="95"/>
    </w:p>
    <w:p w14:paraId="3CA7E7E2" w14:textId="77777777" w:rsidR="00B21EE6" w:rsidRPr="00205C60" w:rsidRDefault="00B21EE6" w:rsidP="00B74B93">
      <w:pPr>
        <w:rPr>
          <w:rFonts w:ascii="Verdana" w:hAnsi="Verdana" w:cs="Arial"/>
          <w:b/>
          <w:sz w:val="22"/>
          <w:szCs w:val="22"/>
        </w:rPr>
      </w:pPr>
    </w:p>
    <w:p w14:paraId="3CA7E7E3" w14:textId="77777777" w:rsidR="00500226" w:rsidRPr="00205C60" w:rsidRDefault="00005AAE" w:rsidP="008E5B36">
      <w:pPr>
        <w:jc w:val="both"/>
        <w:rPr>
          <w:rFonts w:ascii="Verdana" w:hAnsi="Verdana" w:cs="Arial"/>
          <w:sz w:val="22"/>
          <w:szCs w:val="22"/>
          <w:lang w:val="es-CR"/>
        </w:rPr>
      </w:pPr>
      <w:r w:rsidRPr="00205C60">
        <w:rPr>
          <w:rFonts w:ascii="Verdana" w:hAnsi="Verdana" w:cs="Arial"/>
          <w:sz w:val="22"/>
          <w:szCs w:val="22"/>
          <w:lang w:val="es-CR"/>
        </w:rPr>
        <w:t xml:space="preserve">Es el riesgo relacionado con </w:t>
      </w:r>
      <w:r w:rsidR="002A0F4F" w:rsidRPr="00205C60">
        <w:rPr>
          <w:rFonts w:ascii="Verdana" w:hAnsi="Verdana" w:cs="Arial"/>
          <w:sz w:val="22"/>
          <w:szCs w:val="22"/>
          <w:lang w:val="es-CR"/>
        </w:rPr>
        <w:t xml:space="preserve">el desempeño específico del segmento económico en el que se desenvuelve la Compañía. Por ejemplo, los efectos </w:t>
      </w:r>
      <w:r w:rsidR="001E5C75" w:rsidRPr="00205C60">
        <w:rPr>
          <w:rFonts w:ascii="Verdana" w:hAnsi="Verdana" w:cs="Arial"/>
          <w:sz w:val="22"/>
          <w:szCs w:val="22"/>
          <w:lang w:val="es-CR"/>
        </w:rPr>
        <w:t xml:space="preserve">en la operación de la empresa </w:t>
      </w:r>
      <w:r w:rsidR="002A0F4F" w:rsidRPr="00205C60">
        <w:rPr>
          <w:rFonts w:ascii="Verdana" w:hAnsi="Verdana" w:cs="Arial"/>
          <w:sz w:val="22"/>
          <w:szCs w:val="22"/>
          <w:lang w:val="es-CR"/>
        </w:rPr>
        <w:t>de la política del gobierno de turno en materia de electricidad</w:t>
      </w:r>
      <w:r w:rsidR="00500226" w:rsidRPr="00205C60">
        <w:rPr>
          <w:rFonts w:ascii="Verdana" w:hAnsi="Verdana" w:cs="Arial"/>
          <w:sz w:val="22"/>
          <w:szCs w:val="22"/>
          <w:lang w:val="es-CR"/>
        </w:rPr>
        <w:t xml:space="preserve"> y</w:t>
      </w:r>
      <w:r w:rsidR="002A0F4F" w:rsidRPr="00205C60">
        <w:rPr>
          <w:rFonts w:ascii="Verdana" w:hAnsi="Verdana" w:cs="Arial"/>
          <w:sz w:val="22"/>
          <w:szCs w:val="22"/>
          <w:lang w:val="es-CR"/>
        </w:rPr>
        <w:t xml:space="preserve"> la alta dependencia de la Compañía en cuanto a directrices del Instituto Costarricense de Electricidad</w:t>
      </w:r>
      <w:r w:rsidR="00F13ECA" w:rsidRPr="00205C60">
        <w:rPr>
          <w:rFonts w:ascii="Verdana" w:hAnsi="Verdana" w:cs="Arial"/>
          <w:sz w:val="22"/>
          <w:szCs w:val="22"/>
          <w:lang w:val="es-CR"/>
        </w:rPr>
        <w:t xml:space="preserve"> por su carácter de subsidiaria</w:t>
      </w:r>
      <w:r w:rsidR="005E5808" w:rsidRPr="00205C60">
        <w:rPr>
          <w:rFonts w:ascii="Verdana" w:hAnsi="Verdana" w:cs="Arial"/>
          <w:sz w:val="22"/>
          <w:szCs w:val="22"/>
          <w:lang w:val="es-CR"/>
        </w:rPr>
        <w:t>.</w:t>
      </w:r>
      <w:r w:rsidR="002A0F4F" w:rsidRPr="00205C60">
        <w:rPr>
          <w:rFonts w:ascii="Verdana" w:hAnsi="Verdana" w:cs="Arial"/>
          <w:sz w:val="22"/>
          <w:szCs w:val="22"/>
          <w:lang w:val="es-CR"/>
        </w:rPr>
        <w:t xml:space="preserve">  </w:t>
      </w:r>
    </w:p>
    <w:p w14:paraId="3CA7E7E4" w14:textId="77777777" w:rsidR="00500226" w:rsidRPr="00205C60" w:rsidRDefault="00500226" w:rsidP="008E5B36">
      <w:pPr>
        <w:jc w:val="both"/>
        <w:rPr>
          <w:rFonts w:ascii="Verdana" w:hAnsi="Verdana" w:cs="Arial"/>
          <w:sz w:val="22"/>
          <w:szCs w:val="22"/>
          <w:lang w:val="es-CR"/>
        </w:rPr>
      </w:pPr>
    </w:p>
    <w:p w14:paraId="3CA7E7E5" w14:textId="77777777" w:rsidR="00433C01" w:rsidRPr="00205C60" w:rsidRDefault="002A0F4F" w:rsidP="008E5B36">
      <w:pPr>
        <w:jc w:val="both"/>
        <w:rPr>
          <w:rFonts w:ascii="Verdana" w:hAnsi="Verdana" w:cs="Arial"/>
          <w:sz w:val="22"/>
          <w:szCs w:val="22"/>
          <w:lang w:val="es-CR"/>
        </w:rPr>
      </w:pPr>
      <w:r w:rsidRPr="00205C60">
        <w:rPr>
          <w:rFonts w:ascii="Verdana" w:hAnsi="Verdana" w:cs="Arial"/>
          <w:sz w:val="22"/>
          <w:szCs w:val="22"/>
          <w:lang w:val="es-CR"/>
        </w:rPr>
        <w:t xml:space="preserve">Además, el hecho de que los incrementos en las tarifas que se cobran a los clientes deben ser aprobados por la Autoridad Reguladora de los Servicios Públicos, podría provocar atrasos para obtener aumentos, con el consiguiente desfase en el flujo de caja de la empresa o que las tarifas no </w:t>
      </w:r>
      <w:r w:rsidR="0027436E" w:rsidRPr="00205C60">
        <w:rPr>
          <w:rFonts w:ascii="Verdana" w:hAnsi="Verdana" w:cs="Arial"/>
          <w:sz w:val="22"/>
          <w:szCs w:val="22"/>
          <w:lang w:val="es-CR"/>
        </w:rPr>
        <w:t>aumenten en la misma proporción</w:t>
      </w:r>
      <w:r w:rsidRPr="00205C60">
        <w:rPr>
          <w:rFonts w:ascii="Verdana" w:hAnsi="Verdana" w:cs="Arial"/>
          <w:sz w:val="22"/>
          <w:szCs w:val="22"/>
          <w:lang w:val="es-CR"/>
        </w:rPr>
        <w:t xml:space="preserve"> que el </w:t>
      </w:r>
      <w:r w:rsidRPr="00205C60">
        <w:rPr>
          <w:rFonts w:ascii="Verdana" w:hAnsi="Verdana" w:cs="Arial"/>
          <w:sz w:val="22"/>
          <w:szCs w:val="22"/>
          <w:lang w:val="es-CR"/>
        </w:rPr>
        <w:lastRenderedPageBreak/>
        <w:t>costo de la energía adquirida al ICE.</w:t>
      </w:r>
      <w:r w:rsidR="001E5C75" w:rsidRPr="00205C60">
        <w:rPr>
          <w:rFonts w:ascii="Verdana" w:hAnsi="Verdana" w:cs="Arial"/>
          <w:sz w:val="22"/>
          <w:szCs w:val="22"/>
          <w:lang w:val="es-CR"/>
        </w:rPr>
        <w:t xml:space="preserve"> Estos factores podrían incidir de manera directa o indirecta en la situación financiera y resultados de la empresa, lo cual podría afectar la capacidad de pago de sus obligaciones.</w:t>
      </w:r>
      <w:r w:rsidRPr="00205C60">
        <w:rPr>
          <w:rFonts w:ascii="Verdana" w:hAnsi="Verdana" w:cs="Arial"/>
          <w:sz w:val="22"/>
          <w:szCs w:val="22"/>
          <w:lang w:val="es-CR"/>
        </w:rPr>
        <w:t xml:space="preserve"> </w:t>
      </w:r>
    </w:p>
    <w:p w14:paraId="3CA7E7E6" w14:textId="77777777" w:rsidR="00DC1D4A" w:rsidRPr="00205C60" w:rsidRDefault="00DC1D4A" w:rsidP="0049547C">
      <w:pPr>
        <w:ind w:left="360"/>
        <w:jc w:val="both"/>
        <w:rPr>
          <w:rFonts w:ascii="Verdana" w:hAnsi="Verdana" w:cs="Arial"/>
          <w:sz w:val="22"/>
          <w:szCs w:val="22"/>
          <w:lang w:val="es-CR"/>
        </w:rPr>
      </w:pPr>
    </w:p>
    <w:p w14:paraId="3CA7E7E7" w14:textId="66203B34" w:rsidR="00E76751" w:rsidRPr="00205C60" w:rsidRDefault="00E76751" w:rsidP="00E76751">
      <w:pPr>
        <w:jc w:val="both"/>
        <w:rPr>
          <w:rFonts w:ascii="Verdana" w:hAnsi="Verdana" w:cs="Arial"/>
          <w:sz w:val="22"/>
          <w:szCs w:val="22"/>
          <w:lang w:val="es-CR"/>
        </w:rPr>
      </w:pPr>
      <w:r w:rsidRPr="00205C60">
        <w:rPr>
          <w:rFonts w:ascii="Verdana" w:hAnsi="Verdana" w:cs="Arial"/>
          <w:sz w:val="22"/>
          <w:szCs w:val="22"/>
          <w:lang w:val="es-CR"/>
        </w:rPr>
        <w:t>La ausencia del soporte financiero del ICE a través de convenios de financiamiento</w:t>
      </w:r>
      <w:r w:rsidR="00546B44" w:rsidRPr="00205C60">
        <w:rPr>
          <w:rFonts w:ascii="Verdana" w:hAnsi="Verdana" w:cs="Arial"/>
          <w:sz w:val="22"/>
          <w:szCs w:val="22"/>
          <w:lang w:val="es-CR"/>
        </w:rPr>
        <w:t>,</w:t>
      </w:r>
      <w:r w:rsidRPr="00205C60">
        <w:rPr>
          <w:rFonts w:ascii="Verdana" w:hAnsi="Verdana" w:cs="Arial"/>
          <w:sz w:val="22"/>
          <w:szCs w:val="22"/>
          <w:lang w:val="es-CR"/>
        </w:rPr>
        <w:t xml:space="preserve"> </w:t>
      </w:r>
      <w:r w:rsidR="00546B44" w:rsidRPr="00205C60">
        <w:rPr>
          <w:rFonts w:ascii="Verdana" w:hAnsi="Verdana" w:cs="Arial"/>
          <w:sz w:val="22"/>
          <w:szCs w:val="22"/>
          <w:lang w:val="es-CR"/>
        </w:rPr>
        <w:t xml:space="preserve">en momentos de debilitamiento en el flujo de caja de la CNFL </w:t>
      </w:r>
      <w:r w:rsidRPr="00205C60">
        <w:rPr>
          <w:rFonts w:ascii="Verdana" w:hAnsi="Verdana" w:cs="Arial"/>
          <w:sz w:val="22"/>
          <w:szCs w:val="22"/>
          <w:lang w:val="es-CR"/>
        </w:rPr>
        <w:t xml:space="preserve">para </w:t>
      </w:r>
      <w:r w:rsidR="00546B44" w:rsidRPr="00205C60">
        <w:rPr>
          <w:rFonts w:ascii="Verdana" w:hAnsi="Verdana" w:cs="Arial"/>
          <w:sz w:val="22"/>
          <w:szCs w:val="22"/>
          <w:lang w:val="es-CR"/>
        </w:rPr>
        <w:t xml:space="preserve">atender el </w:t>
      </w:r>
      <w:r w:rsidRPr="00205C60">
        <w:rPr>
          <w:rFonts w:ascii="Verdana" w:hAnsi="Verdana" w:cs="Arial"/>
          <w:sz w:val="22"/>
          <w:szCs w:val="22"/>
          <w:lang w:val="es-CR"/>
        </w:rPr>
        <w:t xml:space="preserve">pago </w:t>
      </w:r>
      <w:r w:rsidR="00546B44" w:rsidRPr="00205C60">
        <w:rPr>
          <w:rFonts w:ascii="Verdana" w:hAnsi="Verdana" w:cs="Arial"/>
          <w:sz w:val="22"/>
          <w:szCs w:val="22"/>
          <w:lang w:val="es-CR"/>
        </w:rPr>
        <w:t xml:space="preserve">oportuno </w:t>
      </w:r>
      <w:r w:rsidRPr="00205C60">
        <w:rPr>
          <w:rFonts w:ascii="Verdana" w:hAnsi="Verdana" w:cs="Arial"/>
          <w:sz w:val="22"/>
          <w:szCs w:val="22"/>
          <w:lang w:val="es-CR"/>
        </w:rPr>
        <w:t xml:space="preserve">de </w:t>
      </w:r>
      <w:r w:rsidR="00546B44" w:rsidRPr="00205C60">
        <w:rPr>
          <w:rFonts w:ascii="Verdana" w:hAnsi="Verdana" w:cs="Arial"/>
          <w:sz w:val="22"/>
          <w:szCs w:val="22"/>
          <w:lang w:val="es-CR"/>
        </w:rPr>
        <w:t xml:space="preserve">las </w:t>
      </w:r>
      <w:r w:rsidRPr="00205C60">
        <w:rPr>
          <w:rFonts w:ascii="Verdana" w:hAnsi="Verdana" w:cs="Arial"/>
          <w:sz w:val="22"/>
          <w:szCs w:val="22"/>
          <w:lang w:val="es-CR"/>
        </w:rPr>
        <w:t>compras de energía, tendría un efecto inmediato negativo en la calificación de riesgo.</w:t>
      </w:r>
      <w:r w:rsidR="00FC5561" w:rsidRPr="00205C60">
        <w:rPr>
          <w:rFonts w:ascii="Verdana" w:hAnsi="Verdana" w:cs="Arial"/>
          <w:sz w:val="22"/>
          <w:szCs w:val="22"/>
          <w:lang w:val="es-CR"/>
        </w:rPr>
        <w:t xml:space="preserve"> La ausencia de este apoyo financiero podría afectar la posibilidad de cumplir oportunamente con el pago de las obligaciones de corto plazo.</w:t>
      </w:r>
      <w:r w:rsidR="0001749E" w:rsidRPr="00205C60">
        <w:rPr>
          <w:rFonts w:ascii="Verdana" w:hAnsi="Verdana" w:cs="Arial"/>
          <w:sz w:val="22"/>
          <w:szCs w:val="22"/>
          <w:lang w:val="es-CR"/>
        </w:rPr>
        <w:t xml:space="preserve"> </w:t>
      </w:r>
      <w:r w:rsidR="00E500D6" w:rsidRPr="00205C60">
        <w:rPr>
          <w:rFonts w:ascii="Verdana" w:hAnsi="Verdana" w:cs="Arial"/>
          <w:sz w:val="22"/>
          <w:szCs w:val="22"/>
          <w:lang w:val="es-CR"/>
        </w:rPr>
        <w:t>Esta variable se presenta solamente en aquellos casos donde la ARESEP provoque un desface tarifario a la hora de hacer extensivo un incremento en la tarifa de generación del ICE, evento que no se materializa desde el año 2017.</w:t>
      </w:r>
    </w:p>
    <w:p w14:paraId="3CA7E7E8" w14:textId="77777777" w:rsidR="00E76751" w:rsidRPr="00205C60" w:rsidRDefault="00E76751" w:rsidP="0049547C">
      <w:pPr>
        <w:ind w:left="360"/>
        <w:jc w:val="both"/>
        <w:rPr>
          <w:rFonts w:ascii="Verdana" w:hAnsi="Verdana" w:cs="Arial"/>
          <w:sz w:val="22"/>
          <w:szCs w:val="22"/>
          <w:lang w:val="es-CR"/>
        </w:rPr>
      </w:pPr>
    </w:p>
    <w:p w14:paraId="3CA7E7E9" w14:textId="77777777" w:rsidR="00267987" w:rsidRPr="00205C60" w:rsidRDefault="00267987" w:rsidP="008E5B36">
      <w:pPr>
        <w:jc w:val="both"/>
        <w:rPr>
          <w:rFonts w:ascii="Verdana" w:hAnsi="Verdana" w:cs="Arial"/>
          <w:sz w:val="22"/>
          <w:szCs w:val="22"/>
          <w:lang w:val="es-CR"/>
        </w:rPr>
      </w:pPr>
      <w:r w:rsidRPr="00205C60">
        <w:rPr>
          <w:rFonts w:ascii="Verdana" w:hAnsi="Verdana" w:cs="Arial"/>
          <w:sz w:val="22"/>
          <w:szCs w:val="22"/>
          <w:lang w:val="es-CR"/>
        </w:rPr>
        <w:t xml:space="preserve">También la construcción de nuevas plantas generadoras se encuentra sujeta a diversas normas de protección del medio ambiente que limitan las áreas potenciales de uso de fuentes de energía.  Esto podría limitar el suministro de energía de parte del ICE a la Compañía, con el consecuente impacto en el servicio servido y </w:t>
      </w:r>
      <w:r w:rsidR="00322FCC" w:rsidRPr="00205C60">
        <w:rPr>
          <w:rFonts w:ascii="Verdana" w:hAnsi="Verdana" w:cs="Arial"/>
          <w:sz w:val="22"/>
          <w:szCs w:val="22"/>
          <w:lang w:val="es-CR"/>
        </w:rPr>
        <w:t xml:space="preserve">en sus resultados operativos afectando su capacidad de pago. </w:t>
      </w:r>
    </w:p>
    <w:p w14:paraId="3CA7E7EA" w14:textId="77777777" w:rsidR="003E6650" w:rsidRPr="00205C60" w:rsidRDefault="003E6650" w:rsidP="008E5B36">
      <w:pPr>
        <w:jc w:val="both"/>
        <w:rPr>
          <w:rFonts w:ascii="Verdana" w:hAnsi="Verdana" w:cs="Arial"/>
          <w:sz w:val="22"/>
          <w:szCs w:val="22"/>
          <w:lang w:val="es-CR"/>
        </w:rPr>
      </w:pPr>
    </w:p>
    <w:p w14:paraId="3CA7E7EB" w14:textId="77777777" w:rsidR="00DC1D4A" w:rsidRPr="00205C60" w:rsidRDefault="00CC231D" w:rsidP="00B74B93">
      <w:pPr>
        <w:rPr>
          <w:rFonts w:ascii="Verdana" w:hAnsi="Verdana" w:cs="Arial"/>
          <w:b/>
          <w:sz w:val="22"/>
          <w:szCs w:val="22"/>
        </w:rPr>
      </w:pPr>
      <w:r w:rsidRPr="00205C60">
        <w:rPr>
          <w:rFonts w:ascii="Verdana" w:hAnsi="Verdana" w:cs="Arial"/>
          <w:b/>
          <w:sz w:val="22"/>
          <w:szCs w:val="22"/>
        </w:rPr>
        <w:t>Riesgo por la escasez en la generación de energía eléctrica</w:t>
      </w:r>
    </w:p>
    <w:p w14:paraId="3CA7E7EC" w14:textId="77777777" w:rsidR="00B21EE6" w:rsidRPr="00205C60" w:rsidRDefault="00B21EE6" w:rsidP="00B74B93">
      <w:pPr>
        <w:rPr>
          <w:rFonts w:ascii="Verdana" w:hAnsi="Verdana" w:cs="Arial"/>
          <w:b/>
          <w:sz w:val="22"/>
          <w:szCs w:val="22"/>
        </w:rPr>
      </w:pPr>
    </w:p>
    <w:p w14:paraId="3CA7E7ED" w14:textId="6F093CCC" w:rsidR="00632B62" w:rsidRPr="00205C60" w:rsidRDefault="00632B62" w:rsidP="008E5B36">
      <w:pPr>
        <w:jc w:val="both"/>
        <w:rPr>
          <w:rFonts w:ascii="Verdana" w:hAnsi="Verdana" w:cs="Arial"/>
          <w:sz w:val="22"/>
          <w:szCs w:val="22"/>
        </w:rPr>
      </w:pPr>
      <w:r w:rsidRPr="00205C60">
        <w:rPr>
          <w:rFonts w:ascii="Verdana" w:hAnsi="Verdana" w:cs="Arial"/>
          <w:sz w:val="22"/>
          <w:szCs w:val="22"/>
        </w:rPr>
        <w:t xml:space="preserve">La CNFL genera a través de sus propias plantas aproximadamente el </w:t>
      </w:r>
      <w:r w:rsidRPr="00205C60">
        <w:rPr>
          <w:rFonts w:ascii="Verdana" w:hAnsi="Verdana" w:cs="Arial"/>
          <w:color w:val="000000" w:themeColor="text1"/>
          <w:sz w:val="22"/>
          <w:szCs w:val="22"/>
        </w:rPr>
        <w:t>1</w:t>
      </w:r>
      <w:r w:rsidR="00BB0AC1" w:rsidRPr="00205C60">
        <w:rPr>
          <w:rFonts w:ascii="Verdana" w:hAnsi="Verdana" w:cs="Arial"/>
          <w:color w:val="000000" w:themeColor="text1"/>
          <w:sz w:val="22"/>
          <w:szCs w:val="22"/>
        </w:rPr>
        <w:t>1</w:t>
      </w:r>
      <w:r w:rsidRPr="00205C60">
        <w:rPr>
          <w:rFonts w:ascii="Verdana" w:hAnsi="Verdana" w:cs="Arial"/>
          <w:color w:val="000000" w:themeColor="text1"/>
          <w:sz w:val="22"/>
          <w:szCs w:val="22"/>
        </w:rPr>
        <w:t xml:space="preserve">% </w:t>
      </w:r>
      <w:r w:rsidRPr="00205C60">
        <w:rPr>
          <w:rFonts w:ascii="Verdana" w:hAnsi="Verdana" w:cs="Arial"/>
          <w:sz w:val="22"/>
          <w:szCs w:val="22"/>
        </w:rPr>
        <w:t xml:space="preserve">de la energía que vende y el resto lo adquiere del ICE.  Al igual que las otras distribuidoras del país, está supeditada al suministro por parte del mayor generador, de modo tal que una disminución en la generación global afectaría todo el país y proporcionalmente </w:t>
      </w:r>
      <w:r w:rsidR="00585DA6" w:rsidRPr="00205C60">
        <w:rPr>
          <w:rFonts w:ascii="Verdana" w:hAnsi="Verdana" w:cs="Arial"/>
          <w:sz w:val="22"/>
          <w:szCs w:val="22"/>
        </w:rPr>
        <w:t xml:space="preserve">en la operación de la empresa y el servicio brindado </w:t>
      </w:r>
      <w:r w:rsidR="00327993" w:rsidRPr="00205C60">
        <w:rPr>
          <w:rFonts w:ascii="Verdana" w:hAnsi="Verdana" w:cs="Arial"/>
          <w:sz w:val="22"/>
          <w:szCs w:val="22"/>
        </w:rPr>
        <w:t>a sus</w:t>
      </w:r>
      <w:r w:rsidR="00585DA6" w:rsidRPr="00205C60">
        <w:rPr>
          <w:rFonts w:ascii="Verdana" w:hAnsi="Verdana" w:cs="Arial"/>
          <w:sz w:val="22"/>
          <w:szCs w:val="22"/>
        </w:rPr>
        <w:t xml:space="preserve"> </w:t>
      </w:r>
      <w:r w:rsidRPr="00205C60">
        <w:rPr>
          <w:rFonts w:ascii="Verdana" w:hAnsi="Verdana" w:cs="Arial"/>
          <w:sz w:val="22"/>
          <w:szCs w:val="22"/>
        </w:rPr>
        <w:t>clientes</w:t>
      </w:r>
      <w:r w:rsidR="00585DA6" w:rsidRPr="00205C60">
        <w:rPr>
          <w:rFonts w:ascii="Verdana" w:hAnsi="Verdana" w:cs="Arial"/>
          <w:sz w:val="22"/>
          <w:szCs w:val="22"/>
        </w:rPr>
        <w:t>.</w:t>
      </w:r>
    </w:p>
    <w:p w14:paraId="3CA7E7EE" w14:textId="77777777" w:rsidR="00DC1D4A" w:rsidRPr="00205C60" w:rsidRDefault="00DC1D4A" w:rsidP="008E44EA">
      <w:pPr>
        <w:jc w:val="both"/>
        <w:rPr>
          <w:rFonts w:ascii="Verdana" w:hAnsi="Verdana" w:cs="Arial"/>
          <w:sz w:val="22"/>
          <w:szCs w:val="22"/>
        </w:rPr>
      </w:pPr>
    </w:p>
    <w:p w14:paraId="3CA7E7EF" w14:textId="38C99453" w:rsidR="00CC231D" w:rsidRPr="00205C60" w:rsidRDefault="00CC231D" w:rsidP="008E5B36">
      <w:pPr>
        <w:jc w:val="both"/>
        <w:rPr>
          <w:rFonts w:ascii="Verdana" w:hAnsi="Verdana" w:cs="Arial"/>
          <w:sz w:val="22"/>
          <w:szCs w:val="22"/>
        </w:rPr>
      </w:pPr>
      <w:r w:rsidRPr="00205C60">
        <w:rPr>
          <w:rFonts w:ascii="Verdana" w:hAnsi="Verdana" w:cs="Arial"/>
          <w:sz w:val="22"/>
          <w:szCs w:val="22"/>
        </w:rPr>
        <w:t xml:space="preserve">La </w:t>
      </w:r>
      <w:r w:rsidR="00632B62" w:rsidRPr="00205C60">
        <w:rPr>
          <w:rFonts w:ascii="Verdana" w:hAnsi="Verdana" w:cs="Arial"/>
          <w:sz w:val="22"/>
          <w:szCs w:val="22"/>
        </w:rPr>
        <w:t xml:space="preserve">Compañía </w:t>
      </w:r>
      <w:r w:rsidRPr="00205C60">
        <w:rPr>
          <w:rFonts w:ascii="Verdana" w:hAnsi="Verdana" w:cs="Arial"/>
          <w:sz w:val="22"/>
          <w:szCs w:val="22"/>
        </w:rPr>
        <w:t xml:space="preserve">dentro de su industria podría verse afectada en la prestación del servicio por insuficiencia en la generación de energía o por distribución defectuosa ante apagones y cortes generados por factores ambientales y fenómenos como huracanes, tornados y trastornos producidos por el efecto del niño y la niña </w:t>
      </w:r>
      <w:r w:rsidR="00322FCC" w:rsidRPr="00205C60">
        <w:rPr>
          <w:rFonts w:ascii="Verdana" w:hAnsi="Verdana" w:cs="Arial"/>
          <w:sz w:val="22"/>
          <w:szCs w:val="22"/>
        </w:rPr>
        <w:t>que se presentan periódicamente afectando sus resultados y su capacidad de pago.</w:t>
      </w:r>
    </w:p>
    <w:p w14:paraId="284C1197" w14:textId="094B94BE" w:rsidR="00EA6B25" w:rsidRPr="00205C60" w:rsidRDefault="00EA6B25" w:rsidP="008E5B36">
      <w:pPr>
        <w:jc w:val="both"/>
        <w:rPr>
          <w:rFonts w:ascii="Verdana" w:hAnsi="Verdana" w:cs="Arial"/>
          <w:sz w:val="22"/>
          <w:szCs w:val="22"/>
        </w:rPr>
      </w:pPr>
    </w:p>
    <w:p w14:paraId="3CA7E7F1" w14:textId="760092EC" w:rsidR="00CC231D" w:rsidRPr="00205C60" w:rsidRDefault="00327993" w:rsidP="00B74B93">
      <w:pPr>
        <w:rPr>
          <w:rFonts w:ascii="Verdana" w:hAnsi="Verdana" w:cs="Arial"/>
          <w:b/>
          <w:sz w:val="22"/>
          <w:szCs w:val="22"/>
        </w:rPr>
      </w:pPr>
      <w:r w:rsidRPr="00205C60">
        <w:rPr>
          <w:rFonts w:ascii="Verdana" w:hAnsi="Verdana" w:cs="Arial"/>
          <w:b/>
          <w:sz w:val="22"/>
          <w:szCs w:val="22"/>
        </w:rPr>
        <w:t>Riesgo por</w:t>
      </w:r>
      <w:r w:rsidR="00AE013B" w:rsidRPr="00205C60">
        <w:rPr>
          <w:rFonts w:ascii="Verdana" w:hAnsi="Verdana" w:cs="Arial"/>
          <w:b/>
          <w:sz w:val="22"/>
          <w:szCs w:val="22"/>
        </w:rPr>
        <w:t xml:space="preserve"> dependencia de la normativa</w:t>
      </w:r>
    </w:p>
    <w:p w14:paraId="3CA7E7F2" w14:textId="77777777" w:rsidR="00B21EE6" w:rsidRPr="00205C60" w:rsidRDefault="00B21EE6" w:rsidP="00B74B93">
      <w:pPr>
        <w:rPr>
          <w:rFonts w:ascii="Verdana" w:hAnsi="Verdana" w:cs="Arial"/>
          <w:b/>
          <w:sz w:val="22"/>
          <w:szCs w:val="22"/>
        </w:rPr>
      </w:pPr>
    </w:p>
    <w:p w14:paraId="3CA7E7F3" w14:textId="46D07645" w:rsidR="003C3B2F" w:rsidRPr="00205C60" w:rsidRDefault="00727BA7" w:rsidP="008E5B36">
      <w:pPr>
        <w:jc w:val="both"/>
        <w:rPr>
          <w:rFonts w:ascii="Verdana" w:hAnsi="Verdana" w:cs="Arial"/>
          <w:sz w:val="22"/>
          <w:szCs w:val="22"/>
        </w:rPr>
      </w:pPr>
      <w:r w:rsidRPr="00205C60">
        <w:rPr>
          <w:rFonts w:ascii="Verdana" w:hAnsi="Verdana" w:cs="Arial"/>
          <w:sz w:val="22"/>
          <w:szCs w:val="22"/>
        </w:rPr>
        <w:t>Para las contrataciones de bienes y servicios</w:t>
      </w:r>
      <w:r w:rsidR="003C3B2F" w:rsidRPr="00205C60">
        <w:rPr>
          <w:rFonts w:ascii="Verdana" w:hAnsi="Verdana" w:cs="Arial"/>
          <w:sz w:val="22"/>
          <w:szCs w:val="22"/>
        </w:rPr>
        <w:t xml:space="preserve"> la CNFL debe acatar las disposiciones establecidas en la Ley 8660 </w:t>
      </w:r>
      <w:r w:rsidR="000D13FA" w:rsidRPr="00205C60">
        <w:rPr>
          <w:rFonts w:ascii="Verdana" w:hAnsi="Verdana" w:cs="Arial"/>
          <w:sz w:val="22"/>
          <w:szCs w:val="22"/>
        </w:rPr>
        <w:t xml:space="preserve">“Fortalecimiento y modernización de las entidades públicas del sector telecomunicaciones” </w:t>
      </w:r>
      <w:r w:rsidR="00B00D2F" w:rsidRPr="00205C60">
        <w:rPr>
          <w:rFonts w:ascii="Verdana" w:hAnsi="Verdana" w:cs="Arial"/>
          <w:sz w:val="22"/>
          <w:szCs w:val="22"/>
        </w:rPr>
        <w:t>publicada en la g</w:t>
      </w:r>
      <w:r w:rsidR="003C3B2F" w:rsidRPr="00205C60">
        <w:rPr>
          <w:rFonts w:ascii="Verdana" w:hAnsi="Verdana" w:cs="Arial"/>
          <w:sz w:val="22"/>
          <w:szCs w:val="22"/>
        </w:rPr>
        <w:t xml:space="preserve">aceta 156 del </w:t>
      </w:r>
      <w:r w:rsidR="00666C4D" w:rsidRPr="00205C60">
        <w:rPr>
          <w:rFonts w:ascii="Verdana" w:hAnsi="Verdana" w:cs="Arial"/>
          <w:sz w:val="22"/>
          <w:szCs w:val="22"/>
        </w:rPr>
        <w:t>13 de agosto del 2008</w:t>
      </w:r>
      <w:r w:rsidR="00FF4E56" w:rsidRPr="00205C60">
        <w:rPr>
          <w:rFonts w:ascii="Verdana" w:hAnsi="Verdana" w:cs="Arial"/>
          <w:sz w:val="22"/>
          <w:szCs w:val="22"/>
        </w:rPr>
        <w:t xml:space="preserve"> </w:t>
      </w:r>
      <w:r w:rsidR="00B00D2F" w:rsidRPr="00205C60">
        <w:rPr>
          <w:rFonts w:ascii="Verdana" w:hAnsi="Verdana" w:cs="Arial"/>
          <w:sz w:val="22"/>
          <w:szCs w:val="22"/>
        </w:rPr>
        <w:t>y el</w:t>
      </w:r>
      <w:r w:rsidR="00666C4D" w:rsidRPr="00205C60">
        <w:rPr>
          <w:rFonts w:ascii="Verdana" w:hAnsi="Verdana" w:cs="Arial"/>
          <w:sz w:val="22"/>
          <w:szCs w:val="22"/>
        </w:rPr>
        <w:t xml:space="preserve"> reglamento para los procesos de adquisición de la CNFL</w:t>
      </w:r>
      <w:r w:rsidR="00B00D2F" w:rsidRPr="00205C60">
        <w:rPr>
          <w:rFonts w:ascii="Verdana" w:hAnsi="Verdana" w:cs="Arial"/>
          <w:sz w:val="22"/>
          <w:szCs w:val="22"/>
        </w:rPr>
        <w:t xml:space="preserve"> </w:t>
      </w:r>
      <w:r w:rsidR="00327993" w:rsidRPr="00205C60">
        <w:rPr>
          <w:rFonts w:ascii="Verdana" w:hAnsi="Verdana" w:cs="Arial"/>
          <w:sz w:val="22"/>
          <w:szCs w:val="22"/>
        </w:rPr>
        <w:t>publicado en</w:t>
      </w:r>
      <w:r w:rsidR="00666C4D" w:rsidRPr="00205C60">
        <w:rPr>
          <w:rFonts w:ascii="Verdana" w:hAnsi="Verdana" w:cs="Arial"/>
          <w:sz w:val="22"/>
          <w:szCs w:val="22"/>
        </w:rPr>
        <w:t xml:space="preserve"> la gaceta N</w:t>
      </w:r>
      <w:r w:rsidR="00B00D2F" w:rsidRPr="00205C60">
        <w:rPr>
          <w:rFonts w:ascii="Verdana" w:hAnsi="Verdana" w:cs="Arial"/>
          <w:sz w:val="22"/>
          <w:szCs w:val="22"/>
        </w:rPr>
        <w:t>°</w:t>
      </w:r>
      <w:r w:rsidR="00666C4D" w:rsidRPr="00205C60">
        <w:rPr>
          <w:rFonts w:ascii="Verdana" w:hAnsi="Verdana" w:cs="Arial"/>
          <w:sz w:val="22"/>
          <w:szCs w:val="22"/>
        </w:rPr>
        <w:t xml:space="preserve"> 82</w:t>
      </w:r>
      <w:r w:rsidR="00B00D2F" w:rsidRPr="00205C60">
        <w:rPr>
          <w:rFonts w:ascii="Verdana" w:hAnsi="Verdana" w:cs="Arial"/>
          <w:sz w:val="22"/>
          <w:szCs w:val="22"/>
        </w:rPr>
        <w:t xml:space="preserve"> del</w:t>
      </w:r>
      <w:r w:rsidR="00666C4D" w:rsidRPr="00205C60">
        <w:rPr>
          <w:rFonts w:ascii="Verdana" w:hAnsi="Verdana" w:cs="Arial"/>
          <w:sz w:val="22"/>
          <w:szCs w:val="22"/>
        </w:rPr>
        <w:t xml:space="preserve"> 30 de </w:t>
      </w:r>
      <w:r w:rsidR="00AD0966" w:rsidRPr="00205C60">
        <w:rPr>
          <w:rFonts w:ascii="Verdana" w:hAnsi="Verdana" w:cs="Arial"/>
          <w:sz w:val="22"/>
          <w:szCs w:val="22"/>
        </w:rPr>
        <w:t>abril</w:t>
      </w:r>
      <w:r w:rsidR="00666C4D" w:rsidRPr="00205C60">
        <w:rPr>
          <w:rFonts w:ascii="Verdana" w:hAnsi="Verdana" w:cs="Arial"/>
          <w:sz w:val="22"/>
          <w:szCs w:val="22"/>
        </w:rPr>
        <w:t xml:space="preserve"> del 2014.</w:t>
      </w:r>
      <w:r w:rsidR="009501BF">
        <w:rPr>
          <w:rFonts w:ascii="Verdana" w:hAnsi="Verdana" w:cs="Arial"/>
          <w:sz w:val="22"/>
          <w:szCs w:val="22"/>
        </w:rPr>
        <w:t xml:space="preserve"> Sin embargo, a partir del 1 de diciembre de 2022 entró en vigor la Ley de Compras Públicas N°9986 y su reglamento, que incluye a las empresas públicas no estatales.</w:t>
      </w:r>
    </w:p>
    <w:p w14:paraId="3CA7E7F4" w14:textId="77777777" w:rsidR="003C3B2F" w:rsidRPr="00205C60" w:rsidRDefault="003C3B2F" w:rsidP="003C3B2F">
      <w:pPr>
        <w:ind w:left="360"/>
        <w:jc w:val="both"/>
        <w:rPr>
          <w:rFonts w:ascii="Verdana" w:hAnsi="Verdana" w:cs="Arial"/>
          <w:sz w:val="22"/>
          <w:szCs w:val="22"/>
        </w:rPr>
      </w:pPr>
    </w:p>
    <w:p w14:paraId="3CA7E7F5" w14:textId="77777777" w:rsidR="003C3B2F" w:rsidRPr="00205C60" w:rsidRDefault="003C3B2F" w:rsidP="008E5B36">
      <w:pPr>
        <w:jc w:val="both"/>
        <w:rPr>
          <w:rFonts w:ascii="Verdana" w:hAnsi="Verdana" w:cs="Arial"/>
          <w:sz w:val="22"/>
          <w:szCs w:val="22"/>
        </w:rPr>
      </w:pPr>
      <w:r w:rsidRPr="00205C60">
        <w:rPr>
          <w:rFonts w:ascii="Verdana" w:hAnsi="Verdana" w:cs="Arial"/>
          <w:sz w:val="22"/>
          <w:szCs w:val="22"/>
        </w:rPr>
        <w:t>En materia de regulación del servicio y autorización de tarifas, la Compañía está sometida a la Ley 7593 de la Autoridad Reguladora de los Servicios Públicos, del 5 de octubre de 1996.</w:t>
      </w:r>
    </w:p>
    <w:p w14:paraId="3CA7E7F6" w14:textId="77777777" w:rsidR="003C3B2F" w:rsidRPr="00205C60" w:rsidRDefault="003C3B2F" w:rsidP="003C3B2F">
      <w:pPr>
        <w:ind w:left="360"/>
        <w:jc w:val="both"/>
        <w:rPr>
          <w:rFonts w:ascii="Verdana" w:hAnsi="Verdana" w:cs="Arial"/>
          <w:sz w:val="22"/>
          <w:szCs w:val="22"/>
        </w:rPr>
      </w:pPr>
    </w:p>
    <w:p w14:paraId="3CA7E7F7" w14:textId="77777777" w:rsidR="003C3B2F" w:rsidRPr="00205C60" w:rsidRDefault="003C3B2F" w:rsidP="008E5B36">
      <w:pPr>
        <w:jc w:val="both"/>
        <w:rPr>
          <w:rFonts w:ascii="Verdana" w:hAnsi="Verdana" w:cs="Arial"/>
          <w:sz w:val="22"/>
          <w:szCs w:val="22"/>
        </w:rPr>
      </w:pPr>
      <w:r w:rsidRPr="00205C60">
        <w:rPr>
          <w:rFonts w:ascii="Verdana" w:hAnsi="Verdana" w:cs="Arial"/>
          <w:sz w:val="22"/>
          <w:szCs w:val="22"/>
        </w:rPr>
        <w:lastRenderedPageBreak/>
        <w:t>Como se puede observar, la legislación actual, permite a la CNFL un margen de maniobra regulado por la normativa señalada.</w:t>
      </w:r>
    </w:p>
    <w:p w14:paraId="3CA7E7F8" w14:textId="77777777" w:rsidR="003C3B2F" w:rsidRPr="00205C60" w:rsidRDefault="003C3B2F" w:rsidP="003C3B2F">
      <w:pPr>
        <w:ind w:left="360"/>
        <w:jc w:val="both"/>
        <w:rPr>
          <w:rFonts w:ascii="Verdana" w:hAnsi="Verdana" w:cs="Arial"/>
          <w:sz w:val="22"/>
          <w:szCs w:val="22"/>
        </w:rPr>
      </w:pPr>
    </w:p>
    <w:p w14:paraId="3CA7E7FB" w14:textId="5CCF810C" w:rsidR="00AE013B" w:rsidRDefault="00ED7BAB" w:rsidP="008E5B36">
      <w:pPr>
        <w:jc w:val="both"/>
        <w:rPr>
          <w:rFonts w:ascii="Verdana" w:hAnsi="Verdana" w:cs="Arial"/>
          <w:sz w:val="22"/>
          <w:szCs w:val="22"/>
        </w:rPr>
      </w:pPr>
      <w:r w:rsidRPr="00205C60">
        <w:rPr>
          <w:rFonts w:ascii="Verdana" w:hAnsi="Verdana" w:cs="Arial"/>
          <w:sz w:val="22"/>
          <w:szCs w:val="22"/>
        </w:rPr>
        <w:t>E</w:t>
      </w:r>
      <w:r w:rsidR="00AE013B" w:rsidRPr="00205C60">
        <w:rPr>
          <w:rFonts w:ascii="Verdana" w:hAnsi="Verdana" w:cs="Arial"/>
          <w:sz w:val="22"/>
          <w:szCs w:val="22"/>
        </w:rPr>
        <w:t>n algunas ocasiones, sus compras podrían demorarse más tiempo del ideal para atender</w:t>
      </w:r>
      <w:r w:rsidR="00040D87" w:rsidRPr="00205C60">
        <w:rPr>
          <w:rFonts w:ascii="Verdana" w:hAnsi="Verdana" w:cs="Arial"/>
          <w:sz w:val="22"/>
          <w:szCs w:val="22"/>
        </w:rPr>
        <w:t xml:space="preserve"> el servicio con a</w:t>
      </w:r>
      <w:r w:rsidR="00322FCC" w:rsidRPr="00205C60">
        <w:rPr>
          <w:rFonts w:ascii="Verdana" w:hAnsi="Verdana" w:cs="Arial"/>
          <w:sz w:val="22"/>
          <w:szCs w:val="22"/>
        </w:rPr>
        <w:t>gilidad</w:t>
      </w:r>
      <w:r w:rsidR="003C3B2F" w:rsidRPr="00205C60">
        <w:rPr>
          <w:rFonts w:ascii="Verdana" w:hAnsi="Verdana" w:cs="Arial"/>
          <w:sz w:val="22"/>
          <w:szCs w:val="22"/>
        </w:rPr>
        <w:t>,</w:t>
      </w:r>
      <w:r w:rsidR="00322FCC" w:rsidRPr="00205C60">
        <w:rPr>
          <w:rFonts w:ascii="Verdana" w:hAnsi="Verdana" w:cs="Arial"/>
          <w:sz w:val="22"/>
          <w:szCs w:val="22"/>
        </w:rPr>
        <w:t xml:space="preserve"> y por tanto </w:t>
      </w:r>
      <w:r w:rsidR="003C3B2F" w:rsidRPr="00205C60">
        <w:rPr>
          <w:rFonts w:ascii="Verdana" w:hAnsi="Verdana" w:cs="Arial"/>
          <w:sz w:val="22"/>
          <w:szCs w:val="22"/>
        </w:rPr>
        <w:t xml:space="preserve">podrían verse </w:t>
      </w:r>
      <w:r w:rsidR="00322FCC" w:rsidRPr="00205C60">
        <w:rPr>
          <w:rFonts w:ascii="Verdana" w:hAnsi="Verdana" w:cs="Arial"/>
          <w:sz w:val="22"/>
          <w:szCs w:val="22"/>
        </w:rPr>
        <w:t>afecta</w:t>
      </w:r>
      <w:r w:rsidR="003C3B2F" w:rsidRPr="00205C60">
        <w:rPr>
          <w:rFonts w:ascii="Verdana" w:hAnsi="Verdana" w:cs="Arial"/>
          <w:sz w:val="22"/>
          <w:szCs w:val="22"/>
        </w:rPr>
        <w:t>dos</w:t>
      </w:r>
      <w:r w:rsidR="00322FCC" w:rsidRPr="00205C60">
        <w:rPr>
          <w:rFonts w:ascii="Verdana" w:hAnsi="Verdana" w:cs="Arial"/>
          <w:sz w:val="22"/>
          <w:szCs w:val="22"/>
        </w:rPr>
        <w:t xml:space="preserve"> </w:t>
      </w:r>
      <w:r w:rsidR="00EA6B25" w:rsidRPr="00205C60">
        <w:rPr>
          <w:rFonts w:ascii="Verdana" w:hAnsi="Verdana" w:cs="Arial"/>
          <w:sz w:val="22"/>
          <w:szCs w:val="22"/>
        </w:rPr>
        <w:t>sus resultados</w:t>
      </w:r>
      <w:r w:rsidR="00322FCC" w:rsidRPr="00205C60">
        <w:rPr>
          <w:rFonts w:ascii="Verdana" w:hAnsi="Verdana" w:cs="Arial"/>
          <w:sz w:val="22"/>
          <w:szCs w:val="22"/>
        </w:rPr>
        <w:t xml:space="preserve"> operativos y </w:t>
      </w:r>
      <w:r w:rsidR="00D86B3C" w:rsidRPr="00205C60">
        <w:rPr>
          <w:rFonts w:ascii="Verdana" w:hAnsi="Verdana" w:cs="Arial"/>
          <w:sz w:val="22"/>
          <w:szCs w:val="22"/>
        </w:rPr>
        <w:t xml:space="preserve">consecuentemente </w:t>
      </w:r>
      <w:r w:rsidR="00322FCC" w:rsidRPr="00205C60">
        <w:rPr>
          <w:rFonts w:ascii="Verdana" w:hAnsi="Verdana" w:cs="Arial"/>
          <w:sz w:val="22"/>
          <w:szCs w:val="22"/>
        </w:rPr>
        <w:t>su capacidad de pago.</w:t>
      </w:r>
    </w:p>
    <w:p w14:paraId="6F23AE1F" w14:textId="77777777" w:rsidR="009916A7" w:rsidRPr="000272DD" w:rsidRDefault="009916A7" w:rsidP="008E5B36">
      <w:pPr>
        <w:jc w:val="both"/>
        <w:rPr>
          <w:rFonts w:ascii="Verdana" w:hAnsi="Verdana" w:cs="Arial"/>
          <w:color w:val="000000" w:themeColor="text1"/>
          <w:sz w:val="22"/>
          <w:szCs w:val="22"/>
        </w:rPr>
      </w:pPr>
    </w:p>
    <w:p w14:paraId="7C344DE7" w14:textId="0D8E194B" w:rsidR="009916A7" w:rsidRPr="000272DD" w:rsidRDefault="009916A7" w:rsidP="008E5B36">
      <w:pPr>
        <w:jc w:val="both"/>
        <w:rPr>
          <w:rFonts w:ascii="Verdana" w:hAnsi="Verdana" w:cs="Arial"/>
          <w:color w:val="000000" w:themeColor="text1"/>
          <w:sz w:val="22"/>
          <w:szCs w:val="22"/>
        </w:rPr>
      </w:pPr>
      <w:r w:rsidRPr="000272DD">
        <w:rPr>
          <w:rFonts w:ascii="Verdana" w:hAnsi="Verdana" w:cs="Arial"/>
          <w:color w:val="000000" w:themeColor="text1"/>
          <w:sz w:val="22"/>
          <w:szCs w:val="22"/>
        </w:rPr>
        <w:t xml:space="preserve">Cabe indicar que a partir del </w:t>
      </w:r>
      <w:r w:rsidR="009B7095" w:rsidRPr="000272DD">
        <w:rPr>
          <w:rFonts w:ascii="Verdana" w:hAnsi="Verdana" w:cs="Arial"/>
          <w:color w:val="000000" w:themeColor="text1"/>
          <w:sz w:val="22"/>
          <w:szCs w:val="22"/>
        </w:rPr>
        <w:t xml:space="preserve">01 de diciembre entró a regir </w:t>
      </w:r>
      <w:r w:rsidR="0006224D" w:rsidRPr="000272DD">
        <w:rPr>
          <w:rFonts w:ascii="Verdana" w:hAnsi="Verdana" w:cs="Arial"/>
          <w:color w:val="000000" w:themeColor="text1"/>
          <w:sz w:val="22"/>
          <w:szCs w:val="22"/>
        </w:rPr>
        <w:t xml:space="preserve">la Ley </w:t>
      </w:r>
      <w:r w:rsidR="004255DA" w:rsidRPr="000272DD">
        <w:rPr>
          <w:rFonts w:ascii="Verdana" w:hAnsi="Verdana" w:cs="Arial"/>
          <w:color w:val="000000" w:themeColor="text1"/>
          <w:sz w:val="22"/>
          <w:szCs w:val="22"/>
        </w:rPr>
        <w:t xml:space="preserve">General de Contratación Pública N° 9986, la cual </w:t>
      </w:r>
      <w:r w:rsidR="00AF7B19" w:rsidRPr="000272DD">
        <w:rPr>
          <w:rFonts w:ascii="Verdana" w:hAnsi="Verdana" w:cs="Arial"/>
          <w:color w:val="000000" w:themeColor="text1"/>
          <w:sz w:val="22"/>
          <w:szCs w:val="22"/>
        </w:rPr>
        <w:t>alcanza a la CNFL razón por la cual, se adaptaron los procedimientos internos para el cumplimiento a cabalidad de esta Ley.</w:t>
      </w:r>
    </w:p>
    <w:p w14:paraId="3CA7E7FC" w14:textId="77777777" w:rsidR="00DB5038" w:rsidRPr="00205C60" w:rsidRDefault="00DB5038" w:rsidP="005A0DB4">
      <w:pPr>
        <w:jc w:val="both"/>
        <w:rPr>
          <w:rFonts w:ascii="Verdana" w:hAnsi="Verdana" w:cs="Arial"/>
          <w:sz w:val="22"/>
          <w:szCs w:val="22"/>
        </w:rPr>
      </w:pPr>
    </w:p>
    <w:p w14:paraId="4BF6BE7F" w14:textId="77777777" w:rsidR="0078084D" w:rsidRPr="00205C60" w:rsidRDefault="0078084D" w:rsidP="00B74B93">
      <w:pPr>
        <w:rPr>
          <w:rFonts w:ascii="Verdana" w:hAnsi="Verdana" w:cs="Arial"/>
          <w:b/>
          <w:sz w:val="22"/>
          <w:szCs w:val="22"/>
        </w:rPr>
      </w:pPr>
    </w:p>
    <w:p w14:paraId="3CA7E7FD" w14:textId="5C3DDA90" w:rsidR="00AE013B" w:rsidRPr="00205C60" w:rsidRDefault="001645D6" w:rsidP="00B74B93">
      <w:pPr>
        <w:rPr>
          <w:rFonts w:ascii="Verdana" w:hAnsi="Verdana" w:cs="Arial"/>
          <w:b/>
          <w:sz w:val="22"/>
          <w:szCs w:val="22"/>
        </w:rPr>
      </w:pPr>
      <w:r w:rsidRPr="00205C60">
        <w:rPr>
          <w:rFonts w:ascii="Verdana" w:hAnsi="Verdana" w:cs="Arial"/>
          <w:b/>
          <w:sz w:val="22"/>
          <w:szCs w:val="22"/>
        </w:rPr>
        <w:t>Riesgo por</w:t>
      </w:r>
      <w:r w:rsidR="00AE013B" w:rsidRPr="00205C60">
        <w:rPr>
          <w:rFonts w:ascii="Verdana" w:hAnsi="Verdana" w:cs="Arial"/>
          <w:b/>
          <w:sz w:val="22"/>
          <w:szCs w:val="22"/>
        </w:rPr>
        <w:t xml:space="preserve"> la legislación aplicable</w:t>
      </w:r>
    </w:p>
    <w:p w14:paraId="3CA7E7FE" w14:textId="77777777" w:rsidR="00FC5561" w:rsidRPr="00205C60" w:rsidRDefault="00FC5561" w:rsidP="00B74B93">
      <w:pPr>
        <w:rPr>
          <w:rFonts w:ascii="Verdana" w:hAnsi="Verdana" w:cs="Arial"/>
          <w:b/>
          <w:sz w:val="22"/>
          <w:szCs w:val="22"/>
        </w:rPr>
      </w:pPr>
    </w:p>
    <w:p w14:paraId="3CA7E7FF" w14:textId="5F797FB5" w:rsidR="00C9363C" w:rsidRPr="00205C60" w:rsidRDefault="00AE013B" w:rsidP="008E5B36">
      <w:pPr>
        <w:jc w:val="both"/>
        <w:rPr>
          <w:rFonts w:ascii="Verdana" w:hAnsi="Verdana" w:cs="Arial"/>
          <w:sz w:val="22"/>
          <w:szCs w:val="22"/>
          <w:lang w:val="es-CR"/>
        </w:rPr>
      </w:pPr>
      <w:r w:rsidRPr="00205C60">
        <w:rPr>
          <w:rFonts w:ascii="Verdana" w:hAnsi="Verdana" w:cs="Arial"/>
          <w:sz w:val="22"/>
          <w:szCs w:val="22"/>
          <w:lang w:val="es-CR"/>
        </w:rPr>
        <w:t>La empresa dentro de la industria goza de un derecho de concesión</w:t>
      </w:r>
      <w:r w:rsidR="00C25C16" w:rsidRPr="00205C60">
        <w:rPr>
          <w:rFonts w:ascii="Verdana" w:hAnsi="Verdana" w:cs="Arial"/>
          <w:sz w:val="22"/>
          <w:szCs w:val="22"/>
          <w:lang w:val="es-CR"/>
        </w:rPr>
        <w:t xml:space="preserve"> que se extiende hasta el año 2</w:t>
      </w:r>
      <w:r w:rsidR="00CF6924" w:rsidRPr="00205C60">
        <w:rPr>
          <w:rFonts w:ascii="Verdana" w:hAnsi="Verdana" w:cs="Arial"/>
          <w:sz w:val="22"/>
          <w:szCs w:val="22"/>
          <w:lang w:val="es-CR"/>
        </w:rPr>
        <w:t>107</w:t>
      </w:r>
      <w:r w:rsidR="00632B62" w:rsidRPr="00205C60">
        <w:rPr>
          <w:rFonts w:ascii="Verdana" w:hAnsi="Verdana" w:cs="Arial"/>
          <w:sz w:val="22"/>
          <w:szCs w:val="22"/>
          <w:lang w:val="es-CR"/>
        </w:rPr>
        <w:t xml:space="preserve">, </w:t>
      </w:r>
      <w:r w:rsidR="00C25C16" w:rsidRPr="00205C60">
        <w:rPr>
          <w:rFonts w:ascii="Verdana" w:hAnsi="Verdana" w:cs="Arial"/>
          <w:sz w:val="22"/>
          <w:szCs w:val="22"/>
          <w:lang w:val="es-CR"/>
        </w:rPr>
        <w:t xml:space="preserve">lo que impide </w:t>
      </w:r>
      <w:r w:rsidRPr="00205C60">
        <w:rPr>
          <w:rFonts w:ascii="Verdana" w:hAnsi="Verdana" w:cs="Arial"/>
          <w:sz w:val="22"/>
          <w:szCs w:val="22"/>
          <w:lang w:val="es-CR"/>
        </w:rPr>
        <w:t xml:space="preserve">la entrada de competidores a su área de servicio.  Sin </w:t>
      </w:r>
      <w:r w:rsidR="001645D6" w:rsidRPr="00205C60">
        <w:rPr>
          <w:rFonts w:ascii="Verdana" w:hAnsi="Verdana" w:cs="Arial"/>
          <w:sz w:val="22"/>
          <w:szCs w:val="22"/>
          <w:lang w:val="es-CR"/>
        </w:rPr>
        <w:t>embargo, podría</w:t>
      </w:r>
      <w:r w:rsidRPr="00205C60">
        <w:rPr>
          <w:rFonts w:ascii="Verdana" w:hAnsi="Verdana" w:cs="Arial"/>
          <w:sz w:val="22"/>
          <w:szCs w:val="22"/>
          <w:lang w:val="es-CR"/>
        </w:rPr>
        <w:t xml:space="preserve"> pensarse que e</w:t>
      </w:r>
      <w:r w:rsidR="003F631A" w:rsidRPr="00205C60">
        <w:rPr>
          <w:rFonts w:ascii="Verdana" w:hAnsi="Verdana" w:cs="Arial"/>
          <w:sz w:val="22"/>
          <w:szCs w:val="22"/>
          <w:lang w:val="es-CR"/>
        </w:rPr>
        <w:t xml:space="preserve">ventualmente </w:t>
      </w:r>
      <w:r w:rsidRPr="00205C60">
        <w:rPr>
          <w:rFonts w:ascii="Verdana" w:hAnsi="Verdana" w:cs="Arial"/>
          <w:sz w:val="22"/>
          <w:szCs w:val="22"/>
          <w:lang w:val="es-CR"/>
        </w:rPr>
        <w:t>la legislación cambie para las franjas limítrofes al área geográfica que cubre la empresa por razones de organización política y civil del pa</w:t>
      </w:r>
      <w:r w:rsidR="00632B62" w:rsidRPr="00205C60">
        <w:rPr>
          <w:rFonts w:ascii="Verdana" w:hAnsi="Verdana" w:cs="Arial"/>
          <w:sz w:val="22"/>
          <w:szCs w:val="22"/>
          <w:lang w:val="es-CR"/>
        </w:rPr>
        <w:t xml:space="preserve">ís </w:t>
      </w:r>
      <w:r w:rsidR="00F204DA" w:rsidRPr="00205C60">
        <w:rPr>
          <w:rFonts w:ascii="Verdana" w:hAnsi="Verdana" w:cs="Arial"/>
          <w:sz w:val="22"/>
          <w:szCs w:val="22"/>
          <w:lang w:val="es-CR"/>
        </w:rPr>
        <w:t>y sus ingresos se vean afectados, con el consecuente impacto en sus ingresos y en la capacidad de pago de sus obligaciones.</w:t>
      </w:r>
    </w:p>
    <w:p w14:paraId="3CA7E800" w14:textId="77777777" w:rsidR="00AE013B" w:rsidRPr="00205C60" w:rsidRDefault="00AE013B" w:rsidP="0049547C">
      <w:pPr>
        <w:ind w:left="360"/>
        <w:jc w:val="both"/>
        <w:rPr>
          <w:rFonts w:ascii="Verdana" w:hAnsi="Verdana" w:cs="Arial"/>
          <w:sz w:val="22"/>
          <w:szCs w:val="22"/>
          <w:lang w:val="es-CR"/>
        </w:rPr>
      </w:pPr>
    </w:p>
    <w:p w14:paraId="3CA7E801" w14:textId="5C55ACAE" w:rsidR="00EB7E1D" w:rsidRPr="00205C60" w:rsidRDefault="00EB7E1D" w:rsidP="00EB7E1D">
      <w:pPr>
        <w:jc w:val="both"/>
        <w:rPr>
          <w:rFonts w:ascii="Verdana" w:hAnsi="Verdana" w:cs="Arial"/>
          <w:sz w:val="22"/>
          <w:szCs w:val="22"/>
          <w:lang w:val="es-CR"/>
        </w:rPr>
      </w:pPr>
      <w:r w:rsidRPr="00205C60">
        <w:rPr>
          <w:rFonts w:ascii="Verdana" w:hAnsi="Verdana" w:cs="Arial"/>
          <w:sz w:val="22"/>
          <w:szCs w:val="22"/>
          <w:lang w:val="es-CR"/>
        </w:rPr>
        <w:t xml:space="preserve">En lo que se refiere al derecho de concesión debe entenderse, que la Compañía Nacional de Fuerza y Luz S.A., es una empresa del Grupo ICE </w:t>
      </w:r>
      <w:r w:rsidR="001645D6" w:rsidRPr="00205C60">
        <w:rPr>
          <w:rFonts w:ascii="Verdana" w:hAnsi="Verdana" w:cs="Arial"/>
          <w:sz w:val="22"/>
          <w:szCs w:val="22"/>
          <w:lang w:val="es-CR"/>
        </w:rPr>
        <w:t>que opera</w:t>
      </w:r>
      <w:r w:rsidRPr="00205C60">
        <w:rPr>
          <w:rFonts w:ascii="Verdana" w:hAnsi="Verdana" w:cs="Arial"/>
          <w:sz w:val="22"/>
          <w:szCs w:val="22"/>
          <w:lang w:val="es-CR"/>
        </w:rPr>
        <w:t xml:space="preserve"> con fundamento en la Ley Nº 2 del 8 de abril de 1941 que aprobó el Contrato Eléctrico, así como por la </w:t>
      </w:r>
      <w:r w:rsidR="001645D6" w:rsidRPr="00205C60">
        <w:rPr>
          <w:rFonts w:ascii="Verdana" w:hAnsi="Verdana" w:cs="Arial"/>
          <w:sz w:val="22"/>
          <w:szCs w:val="22"/>
          <w:lang w:val="es-CR"/>
        </w:rPr>
        <w:t>Ley “</w:t>
      </w:r>
      <w:r w:rsidRPr="00205C60">
        <w:rPr>
          <w:rFonts w:ascii="Verdana" w:hAnsi="Verdana" w:cs="Arial"/>
          <w:sz w:val="22"/>
          <w:szCs w:val="22"/>
        </w:rPr>
        <w:t xml:space="preserve">Fortalecimiento y Modernización de las Entidades Públicas del Sector Telecomunicaciones”, N° </w:t>
      </w:r>
      <w:r w:rsidRPr="00205C60">
        <w:rPr>
          <w:rFonts w:ascii="Verdana" w:hAnsi="Verdana" w:cs="Arial"/>
          <w:sz w:val="22"/>
          <w:szCs w:val="22"/>
          <w:lang w:val="es-CR"/>
        </w:rPr>
        <w:t>8660 del 13 de agosto del 2008. La vigencia de la CNFL como una entidad indivisible (empresa y contrato eléctrico) fue prorrogada mediante el artículo 54 de la Ley Nº 8660 por 99 años, es decir, hasta el año 2107.</w:t>
      </w:r>
    </w:p>
    <w:p w14:paraId="5DCE8080" w14:textId="5624A0EA" w:rsidR="00AD0966" w:rsidRPr="00205C60" w:rsidRDefault="00AD0966" w:rsidP="00EB7E1D">
      <w:pPr>
        <w:jc w:val="both"/>
        <w:rPr>
          <w:rFonts w:ascii="Verdana" w:hAnsi="Verdana" w:cs="Arial"/>
          <w:sz w:val="22"/>
          <w:szCs w:val="22"/>
          <w:lang w:val="es-CR"/>
        </w:rPr>
      </w:pPr>
    </w:p>
    <w:p w14:paraId="3CA7E803" w14:textId="77777777" w:rsidR="00EB7E1D" w:rsidRPr="00205C60" w:rsidRDefault="00EB7E1D" w:rsidP="00EB7E1D">
      <w:pPr>
        <w:contextualSpacing/>
        <w:jc w:val="both"/>
        <w:rPr>
          <w:rFonts w:ascii="Verdana" w:hAnsi="Verdana" w:cs="Arial"/>
          <w:b/>
          <w:sz w:val="22"/>
          <w:szCs w:val="22"/>
        </w:rPr>
      </w:pPr>
      <w:r w:rsidRPr="00205C60">
        <w:rPr>
          <w:rFonts w:ascii="Verdana" w:hAnsi="Verdana" w:cs="Arial"/>
          <w:b/>
          <w:sz w:val="22"/>
          <w:szCs w:val="22"/>
        </w:rPr>
        <w:t>Análisis de Situación</w:t>
      </w:r>
    </w:p>
    <w:p w14:paraId="3CA7E804" w14:textId="77777777" w:rsidR="00EB7E1D" w:rsidRPr="00205C60" w:rsidRDefault="00EB7E1D" w:rsidP="00EB7E1D">
      <w:pPr>
        <w:contextualSpacing/>
        <w:jc w:val="both"/>
        <w:rPr>
          <w:rFonts w:ascii="Verdana" w:hAnsi="Verdana" w:cs="Arial"/>
          <w:b/>
          <w:sz w:val="22"/>
          <w:szCs w:val="22"/>
        </w:rPr>
      </w:pPr>
    </w:p>
    <w:p w14:paraId="3CA7E805" w14:textId="77777777" w:rsidR="00EB7E1D" w:rsidRPr="00205C60" w:rsidRDefault="00EB7E1D" w:rsidP="00882F32">
      <w:pPr>
        <w:pStyle w:val="Prrafodelista"/>
        <w:numPr>
          <w:ilvl w:val="0"/>
          <w:numId w:val="30"/>
        </w:numPr>
        <w:spacing w:after="200"/>
        <w:contextualSpacing/>
        <w:jc w:val="both"/>
        <w:rPr>
          <w:rFonts w:ascii="Verdana" w:hAnsi="Verdana" w:cs="Arial"/>
          <w:b/>
          <w:sz w:val="22"/>
          <w:szCs w:val="22"/>
        </w:rPr>
      </w:pPr>
      <w:r w:rsidRPr="00205C60">
        <w:rPr>
          <w:rFonts w:ascii="Verdana" w:hAnsi="Verdana" w:cs="Arial"/>
          <w:b/>
          <w:sz w:val="22"/>
          <w:szCs w:val="22"/>
        </w:rPr>
        <w:t>En cuanto a la concesión de servicio público.</w:t>
      </w:r>
    </w:p>
    <w:p w14:paraId="3CA7E806" w14:textId="77777777" w:rsidR="00EB7E1D" w:rsidRPr="00205C60" w:rsidRDefault="00EB7E1D" w:rsidP="00EB7E1D">
      <w:pPr>
        <w:spacing w:after="200"/>
        <w:contextualSpacing/>
        <w:jc w:val="both"/>
        <w:rPr>
          <w:rFonts w:ascii="Verdana" w:hAnsi="Verdana" w:cs="Arial"/>
          <w:sz w:val="22"/>
          <w:szCs w:val="22"/>
        </w:rPr>
      </w:pPr>
      <w:r w:rsidRPr="00205C60">
        <w:rPr>
          <w:rFonts w:ascii="Verdana" w:hAnsi="Verdana" w:cs="Arial"/>
          <w:sz w:val="22"/>
          <w:szCs w:val="22"/>
        </w:rPr>
        <w:t xml:space="preserve">La explotación del servicio público la hace el concesionario a su propia cuenta y riesgo, toda la responsabilidad que derive de hechos que concreten el ejercicio de la concesión, le corresponde al concesionario. </w:t>
      </w:r>
    </w:p>
    <w:p w14:paraId="3CA7E807" w14:textId="77777777" w:rsidR="00EB7E1D" w:rsidRPr="00205C60" w:rsidRDefault="00EB7E1D" w:rsidP="00EB7E1D">
      <w:pPr>
        <w:spacing w:after="200"/>
        <w:contextualSpacing/>
        <w:jc w:val="both"/>
        <w:rPr>
          <w:rFonts w:ascii="Verdana" w:hAnsi="Verdana" w:cs="Arial"/>
          <w:sz w:val="22"/>
          <w:szCs w:val="22"/>
        </w:rPr>
      </w:pPr>
    </w:p>
    <w:p w14:paraId="3CA7E808" w14:textId="77777777" w:rsidR="00EB7E1D" w:rsidRPr="00205C60" w:rsidRDefault="00EB7E1D" w:rsidP="00EB7E1D">
      <w:pPr>
        <w:spacing w:after="200"/>
        <w:contextualSpacing/>
        <w:jc w:val="both"/>
        <w:rPr>
          <w:rFonts w:ascii="Verdana" w:hAnsi="Verdana" w:cs="Arial"/>
          <w:sz w:val="22"/>
          <w:szCs w:val="22"/>
        </w:rPr>
      </w:pPr>
      <w:r w:rsidRPr="00205C60">
        <w:rPr>
          <w:rFonts w:ascii="Verdana" w:hAnsi="Verdana" w:cs="Arial"/>
          <w:sz w:val="22"/>
          <w:szCs w:val="22"/>
        </w:rPr>
        <w:t xml:space="preserve">El interés público que prevalece en la concesión de servicio público, y para cuya satisfacción se otorga esta última, incide en todo su régimen jurídico. </w:t>
      </w:r>
    </w:p>
    <w:p w14:paraId="3CA7E809" w14:textId="77777777" w:rsidR="00EB7E1D" w:rsidRPr="00205C60" w:rsidRDefault="00EB7E1D" w:rsidP="00EB7E1D">
      <w:pPr>
        <w:spacing w:after="200"/>
        <w:contextualSpacing/>
        <w:jc w:val="both"/>
        <w:rPr>
          <w:rFonts w:ascii="Verdana" w:hAnsi="Verdana" w:cs="Arial"/>
          <w:sz w:val="22"/>
          <w:szCs w:val="22"/>
        </w:rPr>
      </w:pPr>
    </w:p>
    <w:p w14:paraId="3CA7E80A" w14:textId="77777777" w:rsidR="00EB7E1D" w:rsidRPr="00205C60" w:rsidRDefault="00EB7E1D" w:rsidP="00EB7E1D">
      <w:pPr>
        <w:contextualSpacing/>
        <w:jc w:val="both"/>
        <w:rPr>
          <w:rFonts w:ascii="Verdana" w:hAnsi="Verdana" w:cs="Arial"/>
          <w:iCs/>
          <w:snapToGrid w:val="0"/>
          <w:sz w:val="22"/>
          <w:szCs w:val="22"/>
        </w:rPr>
      </w:pPr>
      <w:r w:rsidRPr="00205C60">
        <w:rPr>
          <w:rFonts w:ascii="Verdana" w:hAnsi="Verdana" w:cs="Arial"/>
          <w:iCs/>
          <w:snapToGrid w:val="0"/>
          <w:sz w:val="22"/>
          <w:szCs w:val="22"/>
        </w:rPr>
        <w:t>En el caso de Costa Rica el suministro eléctrico, de conformidad con nuestro ordenamiento, es catalogado como un servicio público, según se establece en el artículo 5 de la Ley de la Autoridad Reguladora de los Servicios Públicos, que señala:</w:t>
      </w:r>
    </w:p>
    <w:p w14:paraId="3CA7E80B" w14:textId="77777777" w:rsidR="00EB7E1D" w:rsidRPr="00205C60" w:rsidRDefault="00EB7E1D" w:rsidP="00EB7E1D">
      <w:pPr>
        <w:contextualSpacing/>
        <w:jc w:val="both"/>
        <w:rPr>
          <w:rFonts w:ascii="Verdana" w:hAnsi="Verdana" w:cs="Arial"/>
          <w:iCs/>
          <w:snapToGrid w:val="0"/>
          <w:sz w:val="22"/>
          <w:szCs w:val="22"/>
        </w:rPr>
      </w:pPr>
    </w:p>
    <w:p w14:paraId="3CA7E80C" w14:textId="77777777" w:rsidR="00EB7E1D" w:rsidRPr="00205C60" w:rsidRDefault="00EB7E1D" w:rsidP="00EB7E1D">
      <w:pPr>
        <w:spacing w:before="120"/>
        <w:ind w:left="567" w:right="425"/>
        <w:contextualSpacing/>
        <w:jc w:val="both"/>
        <w:rPr>
          <w:rFonts w:ascii="Verdana" w:hAnsi="Verdana" w:cs="Arial"/>
          <w:i/>
          <w:iCs/>
          <w:snapToGrid w:val="0"/>
          <w:sz w:val="22"/>
          <w:szCs w:val="22"/>
        </w:rPr>
      </w:pPr>
      <w:r w:rsidRPr="00205C60">
        <w:rPr>
          <w:rFonts w:ascii="Verdana" w:hAnsi="Verdana" w:cs="Arial"/>
          <w:i/>
          <w:iCs/>
          <w:snapToGrid w:val="0"/>
          <w:sz w:val="22"/>
          <w:szCs w:val="22"/>
        </w:rPr>
        <w:t xml:space="preserve">“Funciones. En los servicios públicos definidos en este artículo, la Autoridad Reguladora fijará precios y tarifas; además, velará por el cumplimiento de las normas de calidad, cantidad, confiabilidad, </w:t>
      </w:r>
      <w:r w:rsidRPr="00205C60">
        <w:rPr>
          <w:rFonts w:ascii="Verdana" w:hAnsi="Verdana" w:cs="Arial"/>
          <w:i/>
          <w:iCs/>
          <w:snapToGrid w:val="0"/>
          <w:sz w:val="22"/>
          <w:szCs w:val="22"/>
        </w:rPr>
        <w:lastRenderedPageBreak/>
        <w:t>continuidad, oportunidad y prestación óptima, según el artículo 25 de esta ley. Los servicios públicos antes mencionados son:</w:t>
      </w:r>
    </w:p>
    <w:p w14:paraId="3CA7E80D" w14:textId="77777777" w:rsidR="00EB7E1D" w:rsidRPr="00205C60" w:rsidRDefault="00EB7E1D" w:rsidP="00EB7E1D">
      <w:pPr>
        <w:spacing w:before="120"/>
        <w:ind w:left="567" w:right="425"/>
        <w:contextualSpacing/>
        <w:jc w:val="both"/>
        <w:rPr>
          <w:rFonts w:ascii="Verdana" w:hAnsi="Verdana" w:cs="Arial"/>
          <w:i/>
          <w:iCs/>
          <w:snapToGrid w:val="0"/>
          <w:sz w:val="22"/>
          <w:szCs w:val="22"/>
        </w:rPr>
      </w:pPr>
    </w:p>
    <w:p w14:paraId="3CA7E80E" w14:textId="77777777" w:rsidR="00EB7E1D" w:rsidRPr="00205C60" w:rsidRDefault="00EB7E1D" w:rsidP="00882F32">
      <w:pPr>
        <w:numPr>
          <w:ilvl w:val="0"/>
          <w:numId w:val="31"/>
        </w:numPr>
        <w:tabs>
          <w:tab w:val="left" w:pos="851"/>
        </w:tabs>
        <w:spacing w:before="120" w:after="200"/>
        <w:ind w:left="567" w:right="425" w:firstLine="0"/>
        <w:contextualSpacing/>
        <w:jc w:val="both"/>
        <w:rPr>
          <w:rFonts w:ascii="Verdana" w:hAnsi="Verdana" w:cs="Arial"/>
          <w:iCs/>
          <w:snapToGrid w:val="0"/>
          <w:sz w:val="22"/>
          <w:szCs w:val="22"/>
        </w:rPr>
      </w:pPr>
      <w:r w:rsidRPr="00205C60">
        <w:rPr>
          <w:rFonts w:ascii="Verdana" w:hAnsi="Verdana" w:cs="Arial"/>
          <w:i/>
          <w:iCs/>
          <w:snapToGrid w:val="0"/>
          <w:sz w:val="22"/>
          <w:szCs w:val="22"/>
        </w:rPr>
        <w:t>Suministro de energía eléctrica en las etapas de generación, trasmisión, distribución y comercialización.</w:t>
      </w:r>
    </w:p>
    <w:p w14:paraId="3CA7E80F" w14:textId="77777777" w:rsidR="00EB7E1D" w:rsidRPr="00205C60" w:rsidRDefault="00EB7E1D" w:rsidP="00EB7E1D">
      <w:pPr>
        <w:tabs>
          <w:tab w:val="left" w:pos="851"/>
        </w:tabs>
        <w:spacing w:before="120" w:after="200"/>
        <w:ind w:left="567" w:right="425"/>
        <w:contextualSpacing/>
        <w:jc w:val="both"/>
        <w:rPr>
          <w:rFonts w:ascii="Verdana" w:hAnsi="Verdana" w:cs="Arial"/>
          <w:iCs/>
          <w:snapToGrid w:val="0"/>
          <w:sz w:val="22"/>
          <w:szCs w:val="22"/>
        </w:rPr>
      </w:pPr>
    </w:p>
    <w:p w14:paraId="3CA7E810" w14:textId="77777777" w:rsidR="00EB7E1D" w:rsidRPr="00205C60" w:rsidRDefault="00EB7E1D" w:rsidP="00EB7E1D">
      <w:pPr>
        <w:tabs>
          <w:tab w:val="left" w:pos="851"/>
        </w:tabs>
        <w:spacing w:before="120" w:after="200"/>
        <w:ind w:left="567" w:right="425"/>
        <w:contextualSpacing/>
        <w:jc w:val="both"/>
        <w:rPr>
          <w:rFonts w:ascii="Verdana" w:hAnsi="Verdana" w:cs="Arial"/>
          <w:i/>
          <w:iCs/>
          <w:snapToGrid w:val="0"/>
          <w:sz w:val="22"/>
          <w:szCs w:val="22"/>
        </w:rPr>
      </w:pPr>
      <w:r w:rsidRPr="00205C60">
        <w:rPr>
          <w:rFonts w:ascii="Verdana" w:hAnsi="Verdana" w:cs="Arial"/>
          <w:i/>
          <w:iCs/>
          <w:snapToGrid w:val="0"/>
          <w:sz w:val="22"/>
          <w:szCs w:val="22"/>
        </w:rPr>
        <w:t>(…)”.</w:t>
      </w:r>
    </w:p>
    <w:p w14:paraId="3CA7E811" w14:textId="77777777" w:rsidR="00EB7E1D" w:rsidRPr="00205C60" w:rsidRDefault="00EB7E1D" w:rsidP="00EB7E1D">
      <w:pPr>
        <w:tabs>
          <w:tab w:val="left" w:pos="851"/>
        </w:tabs>
        <w:spacing w:before="120" w:after="200"/>
        <w:ind w:left="567" w:right="425"/>
        <w:contextualSpacing/>
        <w:jc w:val="both"/>
        <w:rPr>
          <w:rFonts w:ascii="Verdana" w:hAnsi="Verdana" w:cs="Arial"/>
          <w:iCs/>
          <w:snapToGrid w:val="0"/>
          <w:sz w:val="22"/>
          <w:szCs w:val="22"/>
        </w:rPr>
      </w:pPr>
    </w:p>
    <w:p w14:paraId="3CA7E812" w14:textId="77777777" w:rsidR="00EB7E1D" w:rsidRPr="00205C60" w:rsidRDefault="00EB7E1D" w:rsidP="00EB7E1D">
      <w:pPr>
        <w:spacing w:before="120"/>
        <w:contextualSpacing/>
        <w:jc w:val="both"/>
        <w:rPr>
          <w:rFonts w:ascii="Verdana" w:hAnsi="Verdana" w:cs="Arial"/>
          <w:iCs/>
          <w:snapToGrid w:val="0"/>
          <w:sz w:val="22"/>
          <w:szCs w:val="22"/>
        </w:rPr>
      </w:pPr>
      <w:r w:rsidRPr="00205C60">
        <w:rPr>
          <w:rFonts w:ascii="Verdana" w:hAnsi="Verdana" w:cs="Arial"/>
          <w:iCs/>
          <w:snapToGrid w:val="0"/>
          <w:sz w:val="22"/>
          <w:szCs w:val="22"/>
        </w:rPr>
        <w:t>Este servicio puede ser otorgado por ley o por la autoridad competente de conformidad con el artículo 9 de la Ley de la Autoridad Reguladora de los Servicios Públicos N° 7593, el cual reza:</w:t>
      </w:r>
    </w:p>
    <w:p w14:paraId="3CA7E813" w14:textId="77777777" w:rsidR="00EB7E1D" w:rsidRPr="00205C60" w:rsidRDefault="00EB7E1D" w:rsidP="00EB7E1D">
      <w:pPr>
        <w:spacing w:before="120"/>
        <w:contextualSpacing/>
        <w:jc w:val="both"/>
        <w:rPr>
          <w:rFonts w:ascii="Verdana" w:hAnsi="Verdana" w:cs="Arial"/>
          <w:iCs/>
          <w:snapToGrid w:val="0"/>
          <w:sz w:val="22"/>
          <w:szCs w:val="22"/>
        </w:rPr>
      </w:pPr>
    </w:p>
    <w:p w14:paraId="3CA7E814" w14:textId="77777777" w:rsidR="00EB7E1D" w:rsidRPr="00205C60" w:rsidRDefault="00EB7E1D" w:rsidP="00EB7E1D">
      <w:pPr>
        <w:spacing w:before="120"/>
        <w:ind w:left="567" w:right="425"/>
        <w:contextualSpacing/>
        <w:jc w:val="both"/>
        <w:rPr>
          <w:rFonts w:ascii="Verdana" w:hAnsi="Verdana" w:cs="Arial"/>
          <w:b/>
          <w:i/>
          <w:iCs/>
          <w:snapToGrid w:val="0"/>
          <w:sz w:val="22"/>
          <w:szCs w:val="22"/>
        </w:rPr>
      </w:pPr>
      <w:r w:rsidRPr="00205C60">
        <w:rPr>
          <w:rFonts w:ascii="Verdana" w:hAnsi="Verdana" w:cs="Arial"/>
          <w:i/>
          <w:iCs/>
          <w:snapToGrid w:val="0"/>
          <w:sz w:val="22"/>
          <w:szCs w:val="22"/>
        </w:rPr>
        <w:t>“</w:t>
      </w:r>
      <w:r w:rsidRPr="00205C60">
        <w:rPr>
          <w:rFonts w:ascii="Verdana" w:hAnsi="Verdana" w:cs="Arial"/>
          <w:b/>
          <w:i/>
          <w:iCs/>
          <w:snapToGrid w:val="0"/>
          <w:sz w:val="22"/>
          <w:szCs w:val="22"/>
        </w:rPr>
        <w:t>Artículo 9°-Concesión o permiso:</w:t>
      </w:r>
    </w:p>
    <w:p w14:paraId="3CA7E815" w14:textId="77777777" w:rsidR="00EB7E1D" w:rsidRPr="00205C60" w:rsidRDefault="00EB7E1D" w:rsidP="00EB7E1D">
      <w:pPr>
        <w:spacing w:before="120"/>
        <w:ind w:left="567" w:right="425"/>
        <w:contextualSpacing/>
        <w:jc w:val="both"/>
        <w:rPr>
          <w:rFonts w:ascii="Verdana" w:hAnsi="Verdana" w:cs="Arial"/>
          <w:b/>
          <w:i/>
          <w:iCs/>
          <w:snapToGrid w:val="0"/>
          <w:sz w:val="22"/>
          <w:szCs w:val="22"/>
        </w:rPr>
      </w:pPr>
    </w:p>
    <w:p w14:paraId="3CA7E816" w14:textId="77777777" w:rsidR="00EB7E1D" w:rsidRPr="00205C60" w:rsidRDefault="00EB7E1D" w:rsidP="00EB7E1D">
      <w:pPr>
        <w:spacing w:before="120"/>
        <w:ind w:left="567" w:right="425"/>
        <w:contextualSpacing/>
        <w:jc w:val="both"/>
        <w:rPr>
          <w:rFonts w:ascii="Verdana" w:hAnsi="Verdana" w:cs="Arial"/>
          <w:i/>
          <w:iCs/>
          <w:snapToGrid w:val="0"/>
          <w:sz w:val="22"/>
          <w:szCs w:val="22"/>
        </w:rPr>
      </w:pPr>
      <w:r w:rsidRPr="00205C60">
        <w:rPr>
          <w:rFonts w:ascii="Verdana" w:hAnsi="Verdana" w:cs="Arial"/>
          <w:i/>
          <w:iCs/>
          <w:snapToGrid w:val="0"/>
          <w:sz w:val="22"/>
          <w:szCs w:val="22"/>
        </w:rPr>
        <w:t>Para ser prestatario de los servicios públicos, a que se refiere esta ley, deberá obtenerse la respectiva concesión o el permiso del ente público competente en la materia, según lo dispuesto en el artículo 5 de esta ley. Se exceptúan de esta obligación las instituciones y empresas públicas que, por mandato legal, prestan cualquiera de estos servicios…”</w:t>
      </w:r>
    </w:p>
    <w:p w14:paraId="3CA7E817" w14:textId="77777777" w:rsidR="00EB7E1D" w:rsidRPr="00205C60" w:rsidRDefault="00EB7E1D" w:rsidP="00EB7E1D">
      <w:pPr>
        <w:spacing w:before="120"/>
        <w:ind w:left="567" w:right="425"/>
        <w:contextualSpacing/>
        <w:jc w:val="both"/>
        <w:rPr>
          <w:rFonts w:ascii="Verdana" w:hAnsi="Verdana" w:cs="Arial"/>
          <w:i/>
          <w:iCs/>
          <w:snapToGrid w:val="0"/>
          <w:sz w:val="22"/>
          <w:szCs w:val="22"/>
        </w:rPr>
      </w:pPr>
    </w:p>
    <w:p w14:paraId="3CA7E819" w14:textId="08A5528E" w:rsidR="00EB7E1D" w:rsidRPr="00205C60" w:rsidRDefault="00EB7E1D" w:rsidP="00EB7E1D">
      <w:pPr>
        <w:contextualSpacing/>
        <w:jc w:val="both"/>
        <w:rPr>
          <w:rFonts w:ascii="Verdana" w:hAnsi="Verdana" w:cs="Arial"/>
          <w:sz w:val="22"/>
          <w:szCs w:val="22"/>
        </w:rPr>
      </w:pPr>
      <w:r w:rsidRPr="00205C60">
        <w:rPr>
          <w:rFonts w:ascii="Verdana" w:hAnsi="Verdana" w:cs="Arial"/>
          <w:sz w:val="22"/>
          <w:szCs w:val="22"/>
        </w:rPr>
        <w:t xml:space="preserve">La Ley Fortalecimiento y Modernización de las Entidades Públicas del Sector Telecomunicaciones, N° 8660 del 8 de agosto de 2008, de conformidad con lo dispuesto en el artículo </w:t>
      </w:r>
      <w:r w:rsidR="00661A30" w:rsidRPr="00205C60">
        <w:rPr>
          <w:rFonts w:ascii="Verdana" w:hAnsi="Verdana" w:cs="Arial"/>
          <w:sz w:val="22"/>
          <w:szCs w:val="22"/>
        </w:rPr>
        <w:t>6 establece</w:t>
      </w:r>
      <w:r w:rsidRPr="00205C60">
        <w:rPr>
          <w:rFonts w:ascii="Verdana" w:hAnsi="Verdana" w:cs="Arial"/>
          <w:sz w:val="22"/>
          <w:szCs w:val="22"/>
        </w:rPr>
        <w:t xml:space="preserve"> las competencias de la CNFL, señalando que su actividad ordinaria corresponde a los servicios públicos de generación, distribución y comercialización de energía eléctrica. Al respecto en lo que interesa indica:</w:t>
      </w:r>
    </w:p>
    <w:p w14:paraId="3CA7E81A" w14:textId="77777777" w:rsidR="00EB7E1D" w:rsidRPr="00205C60" w:rsidRDefault="00EB7E1D" w:rsidP="00EB7E1D">
      <w:pPr>
        <w:contextualSpacing/>
        <w:jc w:val="both"/>
        <w:rPr>
          <w:rFonts w:ascii="Verdana" w:hAnsi="Verdana" w:cs="Arial"/>
          <w:sz w:val="22"/>
          <w:szCs w:val="22"/>
        </w:rPr>
      </w:pPr>
    </w:p>
    <w:p w14:paraId="3CA7E81B" w14:textId="6B6596B6" w:rsidR="00EB7E1D" w:rsidRPr="00205C60" w:rsidRDefault="00EB7E1D" w:rsidP="00830ADA">
      <w:pPr>
        <w:spacing w:before="100" w:beforeAutospacing="1" w:after="100" w:afterAutospacing="1"/>
        <w:ind w:left="708"/>
        <w:contextualSpacing/>
        <w:rPr>
          <w:rFonts w:ascii="Verdana" w:hAnsi="Verdana" w:cs="Arial"/>
          <w:b/>
          <w:i/>
          <w:color w:val="000000"/>
          <w:sz w:val="22"/>
          <w:szCs w:val="22"/>
          <w:lang w:val="es-ES_tradnl"/>
        </w:rPr>
      </w:pPr>
      <w:r w:rsidRPr="00205C60">
        <w:rPr>
          <w:rFonts w:ascii="Verdana" w:hAnsi="Verdana" w:cs="Arial"/>
          <w:b/>
          <w:i/>
          <w:color w:val="000000"/>
          <w:sz w:val="22"/>
          <w:szCs w:val="22"/>
          <w:lang w:val="es-ES_tradnl"/>
        </w:rPr>
        <w:t>ARTÍCULO 6.- Competencias del Instituto Costarricense de Electricidad y</w:t>
      </w:r>
      <w:r w:rsidR="00830ADA" w:rsidRPr="00205C60">
        <w:rPr>
          <w:rFonts w:ascii="Verdana" w:hAnsi="Verdana" w:cs="Arial"/>
          <w:b/>
          <w:i/>
          <w:color w:val="000000"/>
          <w:sz w:val="22"/>
          <w:szCs w:val="22"/>
          <w:lang w:val="es-ES_tradnl"/>
        </w:rPr>
        <w:t xml:space="preserve"> </w:t>
      </w:r>
      <w:r w:rsidRPr="00205C60">
        <w:rPr>
          <w:rFonts w:ascii="Verdana" w:hAnsi="Verdana" w:cs="Arial"/>
          <w:b/>
          <w:i/>
          <w:color w:val="000000"/>
          <w:sz w:val="22"/>
          <w:szCs w:val="22"/>
          <w:lang w:val="es-ES_tradnl"/>
        </w:rPr>
        <w:t>sus empresas</w:t>
      </w:r>
      <w:r w:rsidRPr="00205C60">
        <w:rPr>
          <w:rFonts w:ascii="Verdana" w:hAnsi="Verdana" w:cs="Arial"/>
          <w:b/>
          <w:i/>
          <w:color w:val="000000"/>
          <w:sz w:val="22"/>
          <w:szCs w:val="22"/>
          <w:lang w:val="es-ES_tradnl"/>
        </w:rPr>
        <w:tab/>
      </w:r>
    </w:p>
    <w:p w14:paraId="3CA7E81C" w14:textId="77777777" w:rsidR="00EB7E1D" w:rsidRPr="00205C60" w:rsidRDefault="00EB7E1D" w:rsidP="00EB7E1D">
      <w:pPr>
        <w:spacing w:before="100" w:beforeAutospacing="1" w:after="100" w:afterAutospacing="1"/>
        <w:ind w:left="708"/>
        <w:contextualSpacing/>
        <w:jc w:val="both"/>
        <w:rPr>
          <w:rFonts w:ascii="Verdana" w:hAnsi="Verdana" w:cs="Arial"/>
          <w:b/>
          <w:i/>
          <w:color w:val="000000"/>
          <w:sz w:val="22"/>
          <w:szCs w:val="22"/>
          <w:lang w:val="es-ES_tradnl"/>
        </w:rPr>
      </w:pPr>
    </w:p>
    <w:p w14:paraId="3CA7E81D" w14:textId="77777777" w:rsidR="00EB7E1D" w:rsidRPr="00205C60" w:rsidRDefault="00EB7E1D" w:rsidP="00EB7E1D">
      <w:pPr>
        <w:spacing w:before="100" w:beforeAutospacing="1" w:after="100" w:afterAutospacing="1"/>
        <w:ind w:left="708"/>
        <w:contextualSpacing/>
        <w:rPr>
          <w:rFonts w:ascii="Verdana" w:hAnsi="Verdana" w:cs="Arial"/>
          <w:i/>
          <w:color w:val="000000"/>
          <w:sz w:val="22"/>
          <w:szCs w:val="22"/>
          <w:lang w:val="es-ES_tradnl"/>
        </w:rPr>
      </w:pPr>
      <w:r w:rsidRPr="00205C60">
        <w:rPr>
          <w:rFonts w:ascii="Verdana" w:hAnsi="Verdana" w:cs="Arial"/>
          <w:i/>
          <w:color w:val="000000"/>
          <w:sz w:val="22"/>
          <w:szCs w:val="22"/>
          <w:lang w:val="es-ES_tradnl"/>
        </w:rPr>
        <w:t>El ICE y sus empresas, dentro del territorio nacional y fuera de él, serán competentes para lo siguiente:</w:t>
      </w:r>
    </w:p>
    <w:p w14:paraId="3CA7E81E" w14:textId="77777777" w:rsidR="00EB7E1D" w:rsidRPr="00205C60" w:rsidRDefault="00EB7E1D" w:rsidP="00882F32">
      <w:pPr>
        <w:pStyle w:val="Prrafodelista"/>
        <w:numPr>
          <w:ilvl w:val="0"/>
          <w:numId w:val="32"/>
        </w:numPr>
        <w:spacing w:before="100" w:beforeAutospacing="1" w:after="100" w:afterAutospacing="1"/>
        <w:contextualSpacing/>
        <w:rPr>
          <w:rFonts w:ascii="Verdana" w:hAnsi="Verdana" w:cs="Arial"/>
          <w:color w:val="000000"/>
          <w:sz w:val="22"/>
          <w:szCs w:val="22"/>
          <w:lang w:val="es-ES_tradnl"/>
        </w:rPr>
      </w:pPr>
      <w:r w:rsidRPr="00205C60">
        <w:rPr>
          <w:rFonts w:ascii="Verdana" w:hAnsi="Verdana" w:cs="Arial"/>
          <w:i/>
          <w:color w:val="000000"/>
          <w:sz w:val="22"/>
          <w:szCs w:val="22"/>
          <w:lang w:val="es-ES_tradnl"/>
        </w:rPr>
        <w:t xml:space="preserve">Generar, instalar y operar redes, prestar, adquirir y comercializar productos </w:t>
      </w:r>
      <w:r w:rsidRPr="00205C60">
        <w:rPr>
          <w:rFonts w:ascii="Verdana" w:hAnsi="Verdana" w:cs="Arial"/>
          <w:color w:val="000000"/>
          <w:sz w:val="22"/>
          <w:szCs w:val="22"/>
          <w:lang w:val="es-ES_tradnl"/>
        </w:rPr>
        <w:t>y servicios de electricidad, (…)</w:t>
      </w:r>
    </w:p>
    <w:p w14:paraId="3CA7E81F" w14:textId="73F35582" w:rsidR="00EB7E1D" w:rsidRPr="00205C60" w:rsidRDefault="00EB7E1D" w:rsidP="00EB7E1D">
      <w:pPr>
        <w:contextualSpacing/>
        <w:jc w:val="both"/>
        <w:rPr>
          <w:rFonts w:ascii="Verdana" w:hAnsi="Verdana" w:cs="Arial"/>
          <w:sz w:val="22"/>
          <w:szCs w:val="22"/>
        </w:rPr>
      </w:pPr>
      <w:r w:rsidRPr="00205C60">
        <w:rPr>
          <w:rFonts w:ascii="Verdana" w:hAnsi="Verdana" w:cs="Arial"/>
          <w:sz w:val="22"/>
          <w:szCs w:val="22"/>
        </w:rPr>
        <w:t xml:space="preserve">La CNFL en tanto subsidiaria del ICE es una empresa pública, pues es su accionista mayoritario. Tal condición quedó dispuesta en el artículo 5 de la Ley 8660. La CNFL a su vez, se encuentra regulada por lo dispuesto en los artículos 5 y 9 de la Ley 7593 citados. </w:t>
      </w:r>
    </w:p>
    <w:p w14:paraId="59244A98" w14:textId="604E987C" w:rsidR="00EA6B25" w:rsidRPr="00205C60" w:rsidRDefault="00EA6B25" w:rsidP="00EB7E1D">
      <w:pPr>
        <w:contextualSpacing/>
        <w:jc w:val="both"/>
        <w:rPr>
          <w:rFonts w:ascii="Verdana" w:hAnsi="Verdana" w:cs="Arial"/>
          <w:sz w:val="22"/>
          <w:szCs w:val="22"/>
        </w:rPr>
      </w:pPr>
    </w:p>
    <w:p w14:paraId="3CA7E820" w14:textId="77777777" w:rsidR="00EB7E1D" w:rsidRPr="00205C60" w:rsidRDefault="00EB7E1D" w:rsidP="00EB7E1D">
      <w:pPr>
        <w:contextualSpacing/>
        <w:jc w:val="both"/>
        <w:rPr>
          <w:rFonts w:ascii="Verdana" w:hAnsi="Verdana" w:cs="Arial"/>
          <w:sz w:val="22"/>
          <w:szCs w:val="22"/>
        </w:rPr>
      </w:pPr>
    </w:p>
    <w:p w14:paraId="3CA7E821" w14:textId="05F294A5" w:rsidR="00EB7E1D" w:rsidRPr="00205C60" w:rsidRDefault="00EB7E1D" w:rsidP="00882F32">
      <w:pPr>
        <w:pStyle w:val="Prrafodelista"/>
        <w:numPr>
          <w:ilvl w:val="0"/>
          <w:numId w:val="30"/>
        </w:numPr>
        <w:contextualSpacing/>
        <w:jc w:val="both"/>
        <w:rPr>
          <w:rFonts w:ascii="Verdana" w:hAnsi="Verdana" w:cs="Arial"/>
          <w:b/>
          <w:sz w:val="22"/>
          <w:szCs w:val="22"/>
        </w:rPr>
      </w:pPr>
      <w:r w:rsidRPr="00205C60">
        <w:rPr>
          <w:rFonts w:ascii="Verdana" w:hAnsi="Verdana" w:cs="Arial"/>
          <w:b/>
          <w:sz w:val="22"/>
          <w:szCs w:val="22"/>
        </w:rPr>
        <w:t xml:space="preserve">De los </w:t>
      </w:r>
      <w:r w:rsidR="00661A30" w:rsidRPr="00205C60">
        <w:rPr>
          <w:rFonts w:ascii="Verdana" w:hAnsi="Verdana" w:cs="Arial"/>
          <w:b/>
          <w:sz w:val="22"/>
          <w:szCs w:val="22"/>
        </w:rPr>
        <w:t>derechos, obligaciones</w:t>
      </w:r>
      <w:r w:rsidRPr="00205C60">
        <w:rPr>
          <w:rFonts w:ascii="Verdana" w:hAnsi="Verdana" w:cs="Arial"/>
          <w:b/>
          <w:sz w:val="22"/>
          <w:szCs w:val="22"/>
        </w:rPr>
        <w:t xml:space="preserve"> y concesiones de la CNFL</w:t>
      </w:r>
    </w:p>
    <w:p w14:paraId="3CA7E822" w14:textId="77777777" w:rsidR="00EB7E1D" w:rsidRPr="00205C60" w:rsidRDefault="00EB7E1D" w:rsidP="00EB7E1D">
      <w:pPr>
        <w:contextualSpacing/>
        <w:jc w:val="both"/>
        <w:rPr>
          <w:rFonts w:ascii="Verdana" w:hAnsi="Verdana" w:cs="Arial"/>
          <w:sz w:val="22"/>
          <w:szCs w:val="22"/>
        </w:rPr>
      </w:pPr>
    </w:p>
    <w:p w14:paraId="3CA7E823" w14:textId="1757402C" w:rsidR="00EB7E1D" w:rsidRPr="00205C60" w:rsidRDefault="00EB7E1D" w:rsidP="00EB7E1D">
      <w:pPr>
        <w:contextualSpacing/>
        <w:jc w:val="both"/>
        <w:rPr>
          <w:rFonts w:ascii="Verdana" w:hAnsi="Verdana" w:cs="Arial"/>
          <w:snapToGrid w:val="0"/>
          <w:sz w:val="22"/>
          <w:szCs w:val="22"/>
        </w:rPr>
      </w:pPr>
      <w:r w:rsidRPr="00205C60">
        <w:rPr>
          <w:rFonts w:ascii="Verdana" w:hAnsi="Verdana" w:cs="Arial"/>
          <w:snapToGrid w:val="0"/>
          <w:sz w:val="22"/>
          <w:szCs w:val="22"/>
        </w:rPr>
        <w:t xml:space="preserve">Como se mencionó en el punto anterior, con la promulgación de la Ley </w:t>
      </w:r>
      <w:proofErr w:type="spellStart"/>
      <w:r w:rsidRPr="00205C60">
        <w:rPr>
          <w:rFonts w:ascii="Verdana" w:hAnsi="Verdana" w:cs="Arial"/>
          <w:snapToGrid w:val="0"/>
          <w:sz w:val="22"/>
          <w:szCs w:val="22"/>
        </w:rPr>
        <w:t>n°</w:t>
      </w:r>
      <w:proofErr w:type="spellEnd"/>
      <w:r w:rsidRPr="00205C60">
        <w:rPr>
          <w:rFonts w:ascii="Verdana" w:hAnsi="Verdana" w:cs="Arial"/>
          <w:snapToGrid w:val="0"/>
          <w:sz w:val="22"/>
          <w:szCs w:val="22"/>
        </w:rPr>
        <w:t xml:space="preserve"> 8660, la Compañía Nacional de Fuerza y Luz se enuncia como empresa del ICE respecto de las prerrogativas dispuestas en dicha Ley. Por tanto, por </w:t>
      </w:r>
      <w:r w:rsidR="00661A30" w:rsidRPr="00205C60">
        <w:rPr>
          <w:rFonts w:ascii="Verdana" w:hAnsi="Verdana" w:cs="Arial"/>
          <w:snapToGrid w:val="0"/>
          <w:sz w:val="22"/>
          <w:szCs w:val="22"/>
        </w:rPr>
        <w:t>su capital</w:t>
      </w:r>
      <w:r w:rsidRPr="00205C60">
        <w:rPr>
          <w:rFonts w:ascii="Verdana" w:hAnsi="Verdana" w:cs="Arial"/>
          <w:snapToGrid w:val="0"/>
          <w:sz w:val="22"/>
          <w:szCs w:val="22"/>
        </w:rPr>
        <w:t xml:space="preserve"> social, la propiedad de las acciones comunes y </w:t>
      </w:r>
      <w:r w:rsidR="0078084D" w:rsidRPr="00205C60">
        <w:rPr>
          <w:rFonts w:ascii="Verdana" w:hAnsi="Verdana" w:cs="Arial"/>
          <w:snapToGrid w:val="0"/>
          <w:sz w:val="22"/>
          <w:szCs w:val="22"/>
        </w:rPr>
        <w:t>nominativas</w:t>
      </w:r>
      <w:r w:rsidRPr="00205C60">
        <w:rPr>
          <w:rFonts w:ascii="Verdana" w:hAnsi="Verdana" w:cs="Arial"/>
          <w:snapToGrid w:val="0"/>
          <w:sz w:val="22"/>
          <w:szCs w:val="22"/>
        </w:rPr>
        <w:t xml:space="preserve"> es una empresa del ICE dedicada al negocio de electricidad, y en la misma Ley 8660 se le amplió el </w:t>
      </w:r>
      <w:r w:rsidR="00AD0966" w:rsidRPr="00205C60">
        <w:rPr>
          <w:rFonts w:ascii="Verdana" w:hAnsi="Verdana" w:cs="Arial"/>
          <w:snapToGrid w:val="0"/>
          <w:sz w:val="22"/>
          <w:szCs w:val="22"/>
        </w:rPr>
        <w:t>plazo a</w:t>
      </w:r>
      <w:r w:rsidRPr="00205C60">
        <w:rPr>
          <w:rFonts w:ascii="Verdana" w:hAnsi="Verdana" w:cs="Arial"/>
          <w:snapToGrid w:val="0"/>
          <w:sz w:val="22"/>
          <w:szCs w:val="22"/>
        </w:rPr>
        <w:t xml:space="preserve"> la empresa. El artículo 54 de la Ley dispuso en ese sentido lo siguiente: </w:t>
      </w:r>
    </w:p>
    <w:p w14:paraId="0945A025" w14:textId="4F1D5BD8" w:rsidR="008C0A11" w:rsidRPr="00205C60" w:rsidRDefault="008C0A11" w:rsidP="00EB7E1D">
      <w:pPr>
        <w:contextualSpacing/>
        <w:jc w:val="both"/>
        <w:rPr>
          <w:rFonts w:ascii="Verdana" w:hAnsi="Verdana" w:cs="Arial"/>
          <w:snapToGrid w:val="0"/>
          <w:sz w:val="22"/>
          <w:szCs w:val="22"/>
        </w:rPr>
      </w:pPr>
    </w:p>
    <w:p w14:paraId="34595459" w14:textId="17D50AE0" w:rsidR="008C0A11" w:rsidRPr="00205C60" w:rsidRDefault="008C0A11" w:rsidP="00EB7E1D">
      <w:pPr>
        <w:contextualSpacing/>
        <w:jc w:val="both"/>
        <w:rPr>
          <w:rFonts w:ascii="Verdana" w:hAnsi="Verdana" w:cs="Arial"/>
          <w:snapToGrid w:val="0"/>
          <w:sz w:val="22"/>
          <w:szCs w:val="22"/>
        </w:rPr>
      </w:pPr>
    </w:p>
    <w:p w14:paraId="630EEDBE" w14:textId="4EC37EF8" w:rsidR="00E96DD0" w:rsidRPr="00205C60" w:rsidRDefault="00E96DD0" w:rsidP="00EB7E1D">
      <w:pPr>
        <w:contextualSpacing/>
        <w:jc w:val="both"/>
        <w:rPr>
          <w:rFonts w:ascii="Verdana" w:hAnsi="Verdana" w:cs="Arial"/>
          <w:snapToGrid w:val="0"/>
          <w:sz w:val="22"/>
          <w:szCs w:val="22"/>
        </w:rPr>
      </w:pPr>
    </w:p>
    <w:p w14:paraId="3CA7E824" w14:textId="77777777" w:rsidR="00EB7E1D" w:rsidRPr="00205C60" w:rsidRDefault="00EB7E1D" w:rsidP="00EB7E1D">
      <w:pPr>
        <w:contextualSpacing/>
        <w:jc w:val="both"/>
        <w:rPr>
          <w:rFonts w:ascii="Verdana" w:hAnsi="Verdana" w:cs="Arial"/>
          <w:snapToGrid w:val="0"/>
          <w:sz w:val="22"/>
          <w:szCs w:val="22"/>
        </w:rPr>
      </w:pPr>
    </w:p>
    <w:p w14:paraId="3CA7E825" w14:textId="77777777" w:rsidR="00EB7E1D" w:rsidRPr="00205C60" w:rsidRDefault="00EB7E1D" w:rsidP="00EB7E1D">
      <w:pPr>
        <w:tabs>
          <w:tab w:val="left" w:pos="1134"/>
          <w:tab w:val="center" w:pos="4691"/>
        </w:tabs>
        <w:spacing w:before="100" w:beforeAutospacing="1" w:after="100" w:afterAutospacing="1"/>
        <w:contextualSpacing/>
        <w:rPr>
          <w:rFonts w:ascii="Verdana" w:hAnsi="Verdana" w:cs="Arial"/>
          <w:b/>
          <w:i/>
          <w:color w:val="000000"/>
          <w:sz w:val="22"/>
          <w:szCs w:val="22"/>
          <w:lang w:val="es-ES_tradnl"/>
        </w:rPr>
      </w:pPr>
      <w:r w:rsidRPr="00205C60">
        <w:rPr>
          <w:rFonts w:ascii="Verdana" w:hAnsi="Verdana" w:cs="Arial"/>
          <w:b/>
          <w:color w:val="000000"/>
          <w:sz w:val="22"/>
          <w:szCs w:val="22"/>
          <w:lang w:val="es-ES_tradnl"/>
        </w:rPr>
        <w:tab/>
        <w:t>“</w:t>
      </w:r>
      <w:r w:rsidRPr="00205C60">
        <w:rPr>
          <w:rFonts w:ascii="Verdana" w:hAnsi="Verdana" w:cs="Arial"/>
          <w:b/>
          <w:i/>
          <w:color w:val="000000"/>
          <w:sz w:val="22"/>
          <w:szCs w:val="22"/>
          <w:lang w:val="es-ES_tradnl"/>
        </w:rPr>
        <w:t>ARTÍCULO 54.-      Plazos de las Empresas</w:t>
      </w:r>
      <w:r w:rsidRPr="00205C60">
        <w:rPr>
          <w:rFonts w:ascii="Verdana" w:hAnsi="Verdana" w:cs="Arial"/>
          <w:b/>
          <w:i/>
          <w:color w:val="000000"/>
          <w:sz w:val="22"/>
          <w:szCs w:val="22"/>
          <w:lang w:val="es-ES_tradnl"/>
        </w:rPr>
        <w:tab/>
      </w:r>
    </w:p>
    <w:p w14:paraId="3CA7E826" w14:textId="77777777" w:rsidR="00EB7E1D" w:rsidRPr="00205C60" w:rsidRDefault="00EB7E1D" w:rsidP="00EB7E1D">
      <w:pPr>
        <w:tabs>
          <w:tab w:val="left" w:pos="1134"/>
          <w:tab w:val="center" w:pos="4691"/>
        </w:tabs>
        <w:spacing w:before="100" w:beforeAutospacing="1" w:after="100" w:afterAutospacing="1"/>
        <w:contextualSpacing/>
        <w:rPr>
          <w:rFonts w:ascii="Verdana" w:hAnsi="Verdana" w:cs="Arial"/>
          <w:b/>
          <w:i/>
          <w:color w:val="000000"/>
          <w:sz w:val="22"/>
          <w:szCs w:val="22"/>
          <w:lang w:val="es-ES_tradnl"/>
        </w:rPr>
      </w:pPr>
    </w:p>
    <w:p w14:paraId="3CA7E827" w14:textId="77777777" w:rsidR="00EB7E1D" w:rsidRPr="00205C60" w:rsidRDefault="00EB7E1D" w:rsidP="00EB7E1D">
      <w:pPr>
        <w:tabs>
          <w:tab w:val="left" w:pos="1134"/>
        </w:tabs>
        <w:spacing w:before="100" w:beforeAutospacing="1" w:after="100" w:afterAutospacing="1"/>
        <w:ind w:left="1134"/>
        <w:contextualSpacing/>
        <w:rPr>
          <w:rFonts w:ascii="Verdana" w:hAnsi="Verdana" w:cs="Arial"/>
          <w:i/>
          <w:color w:val="000000"/>
          <w:sz w:val="22"/>
          <w:szCs w:val="22"/>
          <w:lang w:val="es-ES_tradnl"/>
        </w:rPr>
      </w:pPr>
      <w:r w:rsidRPr="00205C60">
        <w:rPr>
          <w:rFonts w:ascii="Verdana" w:hAnsi="Verdana" w:cs="Arial"/>
          <w:i/>
          <w:color w:val="000000"/>
          <w:sz w:val="22"/>
          <w:szCs w:val="22"/>
          <w:lang w:val="es-ES_tradnl"/>
        </w:rPr>
        <w:t xml:space="preserve">El plazo de (…) y la Compañía Nacional de Fuerza y Luz es de noventa y nueve (99) años, a partir de la </w:t>
      </w:r>
      <w:proofErr w:type="gramStart"/>
      <w:r w:rsidRPr="00205C60">
        <w:rPr>
          <w:rFonts w:ascii="Verdana" w:hAnsi="Verdana" w:cs="Arial"/>
          <w:i/>
          <w:color w:val="000000"/>
          <w:sz w:val="22"/>
          <w:szCs w:val="22"/>
          <w:lang w:val="es-ES_tradnl"/>
        </w:rPr>
        <w:t>entrada en vigencia</w:t>
      </w:r>
      <w:proofErr w:type="gramEnd"/>
      <w:r w:rsidRPr="00205C60">
        <w:rPr>
          <w:rFonts w:ascii="Verdana" w:hAnsi="Verdana" w:cs="Arial"/>
          <w:i/>
          <w:color w:val="000000"/>
          <w:sz w:val="22"/>
          <w:szCs w:val="22"/>
          <w:lang w:val="es-ES_tradnl"/>
        </w:rPr>
        <w:t xml:space="preserve"> de esta Ley. (…)”</w:t>
      </w:r>
    </w:p>
    <w:p w14:paraId="3CA7E828" w14:textId="77777777" w:rsidR="00EB7E1D" w:rsidRPr="00205C60" w:rsidRDefault="00EB7E1D" w:rsidP="00EB7E1D">
      <w:pPr>
        <w:tabs>
          <w:tab w:val="left" w:pos="1134"/>
        </w:tabs>
        <w:spacing w:before="100" w:beforeAutospacing="1" w:after="100" w:afterAutospacing="1"/>
        <w:ind w:left="1134"/>
        <w:contextualSpacing/>
        <w:rPr>
          <w:rFonts w:ascii="Verdana" w:hAnsi="Verdana" w:cs="Arial"/>
          <w:i/>
          <w:color w:val="000000"/>
          <w:sz w:val="22"/>
          <w:szCs w:val="22"/>
          <w:lang w:val="es-CR"/>
        </w:rPr>
      </w:pPr>
    </w:p>
    <w:p w14:paraId="3CA7E82B" w14:textId="595C945B" w:rsidR="00EB7E1D" w:rsidRPr="00205C60" w:rsidRDefault="00EB7E1D" w:rsidP="00EB7E1D">
      <w:pPr>
        <w:contextualSpacing/>
        <w:jc w:val="both"/>
        <w:rPr>
          <w:rFonts w:ascii="Verdana" w:hAnsi="Verdana" w:cs="Arial"/>
          <w:sz w:val="22"/>
          <w:szCs w:val="22"/>
        </w:rPr>
      </w:pPr>
      <w:r w:rsidRPr="00205C60">
        <w:rPr>
          <w:rFonts w:ascii="Verdana" w:hAnsi="Verdana" w:cs="Arial"/>
          <w:sz w:val="22"/>
          <w:szCs w:val="22"/>
        </w:rPr>
        <w:t xml:space="preserve">El espíritu del legislador fue reconocer y fortalecer a la CNFL en su condición de empresa dedicada al negocio eléctrico, por ello amplió su existencia con el afán de que continuara brindando los servicios públicos que le </w:t>
      </w:r>
      <w:r w:rsidR="00AD0966" w:rsidRPr="00205C60">
        <w:rPr>
          <w:rFonts w:ascii="Verdana" w:hAnsi="Verdana" w:cs="Arial"/>
          <w:sz w:val="22"/>
          <w:szCs w:val="22"/>
        </w:rPr>
        <w:t>encomendaron, cumplir</w:t>
      </w:r>
      <w:r w:rsidRPr="00205C60">
        <w:rPr>
          <w:rFonts w:ascii="Verdana" w:hAnsi="Verdana" w:cs="Arial"/>
          <w:sz w:val="22"/>
          <w:szCs w:val="22"/>
        </w:rPr>
        <w:t xml:space="preserve"> con las obligaciones y derechos que se recogen en el Contrato Eléctrico, el cual regula su funcionamiento. Al respecto hacemos hincapié en el aforismo que “lo accesorio sigue la suerte de lo principal”, por consiguiente, la vigencia de la CNFL como unidad indivisible: Empresa y Contrato Eléctrico, fueron prorrogados mediante la norma transcrita.</w:t>
      </w:r>
    </w:p>
    <w:p w14:paraId="3CA7E82C" w14:textId="77777777" w:rsidR="00EB7E1D" w:rsidRPr="00205C60" w:rsidRDefault="00EB7E1D" w:rsidP="00EB7E1D">
      <w:pPr>
        <w:contextualSpacing/>
        <w:jc w:val="both"/>
        <w:rPr>
          <w:rFonts w:ascii="Verdana" w:hAnsi="Verdana" w:cs="Arial"/>
          <w:sz w:val="22"/>
          <w:szCs w:val="22"/>
        </w:rPr>
      </w:pPr>
    </w:p>
    <w:p w14:paraId="3CA7E82D" w14:textId="77777777" w:rsidR="00EB7E1D" w:rsidRPr="00205C60" w:rsidRDefault="00EB7E1D" w:rsidP="00EB7E1D">
      <w:pPr>
        <w:contextualSpacing/>
        <w:jc w:val="both"/>
        <w:rPr>
          <w:rFonts w:ascii="Verdana" w:hAnsi="Verdana" w:cs="Arial"/>
          <w:sz w:val="22"/>
          <w:szCs w:val="22"/>
        </w:rPr>
      </w:pPr>
      <w:r w:rsidRPr="00205C60">
        <w:rPr>
          <w:rFonts w:ascii="Verdana" w:hAnsi="Verdana" w:cs="Arial"/>
          <w:sz w:val="22"/>
          <w:szCs w:val="22"/>
        </w:rPr>
        <w:t xml:space="preserve">El Contrato Eléctrico se suscribió para la creación de la CNFL, por eso cuando en el artículo 54 establece el plazo de la CNFL por 99 años a partir del 13 de agosto del 2008, en una lógica jurídica, se debe entender que se amplió todo aquello relacionado con la Compañía, es decir las concesiones, sus negocios y sus activos. En síntesis, cuando la ley N° 8660 prorrogó el plazo a la CNFL también amplió el Contrato Eléctrico, entendido como el instrumento primigenio y consustancial a su existencia, por lo que no se le puede separar este elemento que le es intrínseco a la empresa. </w:t>
      </w:r>
    </w:p>
    <w:p w14:paraId="3CA7E82E" w14:textId="77777777" w:rsidR="00EB7E1D" w:rsidRPr="00205C60" w:rsidRDefault="00EB7E1D" w:rsidP="00EB7E1D">
      <w:pPr>
        <w:contextualSpacing/>
        <w:jc w:val="both"/>
        <w:rPr>
          <w:rFonts w:ascii="Verdana" w:hAnsi="Verdana" w:cs="Arial"/>
          <w:sz w:val="22"/>
          <w:szCs w:val="22"/>
        </w:rPr>
      </w:pPr>
    </w:p>
    <w:p w14:paraId="3CA7E82F" w14:textId="77777777" w:rsidR="00EB7E1D" w:rsidRPr="00205C60" w:rsidRDefault="00EB7E1D" w:rsidP="00EB7E1D">
      <w:pPr>
        <w:contextualSpacing/>
        <w:jc w:val="both"/>
        <w:rPr>
          <w:rFonts w:ascii="Verdana" w:hAnsi="Verdana" w:cs="Arial"/>
          <w:sz w:val="22"/>
          <w:szCs w:val="22"/>
        </w:rPr>
      </w:pPr>
      <w:r w:rsidRPr="00205C60">
        <w:rPr>
          <w:rFonts w:ascii="Verdana" w:hAnsi="Verdana" w:cs="Arial"/>
          <w:sz w:val="22"/>
          <w:szCs w:val="22"/>
        </w:rPr>
        <w:t xml:space="preserve">Por otra parte, el artículo 4 de la Ley de marras establece que las normas de la Ley 8660 son de carácter imperativo e irrenunciable y, en caso de discrepancia, prevalece esa Ley sobre las leyes anteriores. </w:t>
      </w:r>
    </w:p>
    <w:p w14:paraId="3CA7E830" w14:textId="77777777" w:rsidR="00EB7E1D" w:rsidRPr="00205C60" w:rsidRDefault="00EB7E1D" w:rsidP="00EB7E1D">
      <w:pPr>
        <w:contextualSpacing/>
        <w:jc w:val="both"/>
        <w:rPr>
          <w:rFonts w:ascii="Verdana" w:hAnsi="Verdana" w:cs="Arial"/>
          <w:sz w:val="22"/>
          <w:szCs w:val="22"/>
        </w:rPr>
      </w:pPr>
    </w:p>
    <w:p w14:paraId="3CA7E831" w14:textId="76B81CE2" w:rsidR="00EB7E1D" w:rsidRPr="00205C60" w:rsidRDefault="00EB7E1D" w:rsidP="00EB7E1D">
      <w:pPr>
        <w:contextualSpacing/>
        <w:jc w:val="both"/>
        <w:rPr>
          <w:rFonts w:ascii="Verdana" w:hAnsi="Verdana" w:cs="Arial"/>
          <w:sz w:val="22"/>
          <w:szCs w:val="22"/>
        </w:rPr>
      </w:pPr>
      <w:r w:rsidRPr="00205C60">
        <w:rPr>
          <w:rFonts w:ascii="Verdana" w:hAnsi="Verdana" w:cs="Arial"/>
          <w:sz w:val="22"/>
          <w:szCs w:val="22"/>
        </w:rPr>
        <w:t xml:space="preserve">Es importante indicar que el artículo 36 del Contrato Eléctrico, establece entre otras cosas, que una vez fenecido el plazo (en el 2107) el ICE asume los activos, las </w:t>
      </w:r>
      <w:r w:rsidR="00EA6B25" w:rsidRPr="00205C60">
        <w:rPr>
          <w:rFonts w:ascii="Verdana" w:hAnsi="Verdana" w:cs="Arial"/>
          <w:sz w:val="22"/>
          <w:szCs w:val="22"/>
        </w:rPr>
        <w:t>obligaciones y</w:t>
      </w:r>
      <w:r w:rsidRPr="00205C60">
        <w:rPr>
          <w:rFonts w:ascii="Verdana" w:hAnsi="Verdana" w:cs="Arial"/>
          <w:sz w:val="22"/>
          <w:szCs w:val="22"/>
        </w:rPr>
        <w:t xml:space="preserve"> continúa con la prestación del suministro eléctrico en las localidades servidas hasta ese momento por la Compañía, o bien encargarle a una subsidiaria </w:t>
      </w:r>
      <w:r w:rsidRPr="00205C60">
        <w:rPr>
          <w:rFonts w:ascii="Verdana" w:hAnsi="Verdana" w:cs="Arial"/>
          <w:i/>
          <w:sz w:val="22"/>
          <w:szCs w:val="22"/>
        </w:rPr>
        <w:t>–como lo es la CNFL-</w:t>
      </w:r>
      <w:r w:rsidRPr="00205C60">
        <w:rPr>
          <w:rFonts w:ascii="Verdana" w:hAnsi="Verdana" w:cs="Arial"/>
          <w:sz w:val="22"/>
          <w:szCs w:val="22"/>
        </w:rPr>
        <w:t xml:space="preserve"> que atienda la prestación del servicio público, esto último a partir de lo dispuesto en la Ley 8660.</w:t>
      </w:r>
    </w:p>
    <w:p w14:paraId="3CA7E832" w14:textId="77777777" w:rsidR="00A56DFD" w:rsidRPr="00205C60" w:rsidRDefault="00A56DFD" w:rsidP="00EB7E1D">
      <w:pPr>
        <w:contextualSpacing/>
        <w:jc w:val="both"/>
        <w:rPr>
          <w:rFonts w:ascii="Verdana" w:hAnsi="Verdana" w:cs="Arial"/>
          <w:sz w:val="22"/>
          <w:szCs w:val="22"/>
        </w:rPr>
      </w:pPr>
    </w:p>
    <w:p w14:paraId="3CA7E833" w14:textId="77777777" w:rsidR="00EB7E1D" w:rsidRPr="00205C60" w:rsidRDefault="00EB7E1D" w:rsidP="00EB7E1D">
      <w:pPr>
        <w:contextualSpacing/>
        <w:jc w:val="both"/>
        <w:rPr>
          <w:rFonts w:ascii="Verdana" w:hAnsi="Verdana" w:cs="Arial"/>
          <w:sz w:val="22"/>
          <w:szCs w:val="22"/>
        </w:rPr>
      </w:pPr>
      <w:r w:rsidRPr="00205C60">
        <w:rPr>
          <w:rFonts w:ascii="Verdana" w:hAnsi="Verdana" w:cs="Arial"/>
          <w:sz w:val="22"/>
          <w:szCs w:val="22"/>
        </w:rPr>
        <w:t>De conformidad con el análisis anterior, no existe riesgo para los inversionistas, de un impago en los intereses de los bonos ni de su correspondiente amortización al vencimiento.</w:t>
      </w:r>
    </w:p>
    <w:p w14:paraId="3CA7E834" w14:textId="77777777" w:rsidR="00EB7E1D" w:rsidRPr="00205C60" w:rsidRDefault="00EB7E1D" w:rsidP="00EB7E1D">
      <w:pPr>
        <w:ind w:left="360"/>
        <w:jc w:val="both"/>
        <w:rPr>
          <w:rFonts w:ascii="Verdana" w:hAnsi="Verdana" w:cs="Arial"/>
          <w:sz w:val="22"/>
          <w:szCs w:val="22"/>
          <w:lang w:val="es-CR"/>
        </w:rPr>
      </w:pPr>
    </w:p>
    <w:p w14:paraId="3CA7E835" w14:textId="77777777" w:rsidR="00EB7E1D" w:rsidRPr="00205C60" w:rsidRDefault="00EB7E1D" w:rsidP="00EB7E1D">
      <w:pPr>
        <w:autoSpaceDE w:val="0"/>
        <w:autoSpaceDN w:val="0"/>
        <w:adjustRightInd w:val="0"/>
        <w:jc w:val="both"/>
        <w:rPr>
          <w:rFonts w:ascii="Verdana" w:eastAsiaTheme="minorHAnsi" w:hAnsi="Verdana" w:cs="Arial"/>
          <w:color w:val="000000"/>
          <w:sz w:val="22"/>
          <w:szCs w:val="22"/>
          <w:lang w:val="es-CR" w:eastAsia="en-US"/>
        </w:rPr>
      </w:pPr>
      <w:r w:rsidRPr="00205C60">
        <w:rPr>
          <w:rFonts w:ascii="Verdana" w:eastAsiaTheme="minorHAnsi" w:hAnsi="Verdana" w:cs="Arial"/>
          <w:color w:val="000000"/>
          <w:sz w:val="22"/>
          <w:szCs w:val="22"/>
          <w:lang w:val="es-CR" w:eastAsia="en-US"/>
        </w:rPr>
        <w:t>Finalmente, debemos informar que la Compañía, no visualiza modificaciones en la regulación que puedan impactar sus operaciones.</w:t>
      </w:r>
    </w:p>
    <w:p w14:paraId="3CA7E836" w14:textId="7852E929" w:rsidR="00496CDC" w:rsidRPr="00205C60" w:rsidRDefault="00496CDC" w:rsidP="0049547C">
      <w:pPr>
        <w:ind w:left="360"/>
        <w:jc w:val="both"/>
        <w:rPr>
          <w:rFonts w:ascii="Verdana" w:hAnsi="Verdana" w:cs="Arial"/>
          <w:sz w:val="22"/>
          <w:szCs w:val="22"/>
          <w:lang w:val="es-CR"/>
        </w:rPr>
      </w:pPr>
    </w:p>
    <w:p w14:paraId="1FC7D497" w14:textId="503360B9" w:rsidR="005F7490" w:rsidRPr="00205C60" w:rsidRDefault="005F7490" w:rsidP="0049547C">
      <w:pPr>
        <w:ind w:left="360"/>
        <w:jc w:val="both"/>
        <w:rPr>
          <w:rFonts w:ascii="Verdana" w:hAnsi="Verdana" w:cs="Arial"/>
          <w:sz w:val="22"/>
          <w:szCs w:val="22"/>
          <w:lang w:val="es-CR"/>
        </w:rPr>
      </w:pPr>
    </w:p>
    <w:p w14:paraId="5E127811" w14:textId="0594FC5F" w:rsidR="005F7490" w:rsidRPr="00205C60" w:rsidRDefault="005F7490" w:rsidP="0049547C">
      <w:pPr>
        <w:ind w:left="360"/>
        <w:jc w:val="both"/>
        <w:rPr>
          <w:rFonts w:ascii="Verdana" w:hAnsi="Verdana" w:cs="Arial"/>
          <w:sz w:val="22"/>
          <w:szCs w:val="22"/>
          <w:lang w:val="es-CR"/>
        </w:rPr>
      </w:pPr>
    </w:p>
    <w:p w14:paraId="3FA273F8" w14:textId="5647D86B" w:rsidR="005F7490" w:rsidRPr="00205C60" w:rsidRDefault="005F7490" w:rsidP="0049547C">
      <w:pPr>
        <w:ind w:left="360"/>
        <w:jc w:val="both"/>
        <w:rPr>
          <w:rFonts w:ascii="Verdana" w:hAnsi="Verdana" w:cs="Arial"/>
          <w:sz w:val="22"/>
          <w:szCs w:val="22"/>
          <w:lang w:val="es-CR"/>
        </w:rPr>
      </w:pPr>
    </w:p>
    <w:p w14:paraId="1D466D38" w14:textId="31D8C9D9" w:rsidR="005F7490" w:rsidRPr="00205C60" w:rsidRDefault="005F7490" w:rsidP="0049547C">
      <w:pPr>
        <w:ind w:left="360"/>
        <w:jc w:val="both"/>
        <w:rPr>
          <w:rFonts w:ascii="Verdana" w:hAnsi="Verdana" w:cs="Arial"/>
          <w:sz w:val="22"/>
          <w:szCs w:val="22"/>
          <w:lang w:val="es-CR"/>
        </w:rPr>
      </w:pPr>
    </w:p>
    <w:p w14:paraId="64C44EC4" w14:textId="1CBE1EF0" w:rsidR="005F7490" w:rsidRPr="00205C60" w:rsidRDefault="005F7490" w:rsidP="0049547C">
      <w:pPr>
        <w:ind w:left="360"/>
        <w:jc w:val="both"/>
        <w:rPr>
          <w:rFonts w:ascii="Verdana" w:hAnsi="Verdana" w:cs="Arial"/>
          <w:sz w:val="22"/>
          <w:szCs w:val="22"/>
          <w:lang w:val="es-CR"/>
        </w:rPr>
      </w:pPr>
    </w:p>
    <w:p w14:paraId="44B59562" w14:textId="0530B349" w:rsidR="002D4992" w:rsidRPr="00205C60" w:rsidRDefault="002D4992" w:rsidP="0049547C">
      <w:pPr>
        <w:ind w:left="360"/>
        <w:jc w:val="both"/>
        <w:rPr>
          <w:rFonts w:ascii="Verdana" w:hAnsi="Verdana" w:cs="Arial"/>
          <w:sz w:val="22"/>
          <w:szCs w:val="22"/>
          <w:lang w:val="es-CR"/>
        </w:rPr>
      </w:pPr>
    </w:p>
    <w:p w14:paraId="3CA7E837" w14:textId="77777777" w:rsidR="00496CDC" w:rsidRPr="00205C60" w:rsidRDefault="00496CDC" w:rsidP="0049547C">
      <w:pPr>
        <w:ind w:left="360"/>
        <w:jc w:val="both"/>
        <w:rPr>
          <w:rFonts w:ascii="Verdana" w:hAnsi="Verdana" w:cs="Arial"/>
          <w:sz w:val="22"/>
          <w:szCs w:val="22"/>
          <w:lang w:val="es-CR"/>
        </w:rPr>
      </w:pPr>
    </w:p>
    <w:p w14:paraId="3CA7E838" w14:textId="77777777" w:rsidR="00005AAE" w:rsidRPr="00205C60" w:rsidRDefault="00005AAE" w:rsidP="00882F32">
      <w:pPr>
        <w:pStyle w:val="Ttulo2"/>
        <w:numPr>
          <w:ilvl w:val="2"/>
          <w:numId w:val="21"/>
        </w:numPr>
        <w:tabs>
          <w:tab w:val="clear" w:pos="1241"/>
          <w:tab w:val="clear" w:pos="2268"/>
          <w:tab w:val="clear" w:pos="2480"/>
          <w:tab w:val="left" w:pos="708"/>
          <w:tab w:val="left" w:pos="993"/>
          <w:tab w:val="left" w:pos="1843"/>
        </w:tabs>
        <w:spacing w:line="120" w:lineRule="atLeast"/>
        <w:ind w:right="142"/>
        <w:rPr>
          <w:rFonts w:ascii="Verdana" w:hAnsi="Verdana" w:cs="Arial"/>
          <w:sz w:val="22"/>
          <w:szCs w:val="22"/>
        </w:rPr>
      </w:pPr>
      <w:bookmarkStart w:id="96" w:name="_Toc104529456"/>
      <w:r w:rsidRPr="00205C60">
        <w:rPr>
          <w:rFonts w:ascii="Verdana" w:hAnsi="Verdana" w:cs="Arial"/>
          <w:sz w:val="22"/>
          <w:szCs w:val="22"/>
        </w:rPr>
        <w:t>Riesgos del entorno:</w:t>
      </w:r>
      <w:bookmarkEnd w:id="96"/>
      <w:r w:rsidRPr="00205C60">
        <w:rPr>
          <w:rFonts w:ascii="Verdana" w:hAnsi="Verdana" w:cs="Arial"/>
          <w:sz w:val="22"/>
          <w:szCs w:val="22"/>
        </w:rPr>
        <w:t xml:space="preserve"> </w:t>
      </w:r>
    </w:p>
    <w:p w14:paraId="3CA7E83A" w14:textId="77777777" w:rsidR="002470E3" w:rsidRPr="00205C60" w:rsidRDefault="002470E3" w:rsidP="00005AAE">
      <w:pPr>
        <w:rPr>
          <w:rFonts w:ascii="Verdana" w:hAnsi="Verdana"/>
          <w:sz w:val="22"/>
          <w:szCs w:val="22"/>
        </w:rPr>
      </w:pPr>
    </w:p>
    <w:p w14:paraId="3CA7E83B" w14:textId="71A915B6" w:rsidR="00CD768C" w:rsidRPr="00205C60" w:rsidRDefault="00661A30" w:rsidP="00B74B93">
      <w:pPr>
        <w:rPr>
          <w:rFonts w:ascii="Verdana" w:hAnsi="Verdana" w:cs="Arial"/>
          <w:b/>
          <w:sz w:val="22"/>
          <w:szCs w:val="22"/>
        </w:rPr>
      </w:pPr>
      <w:r w:rsidRPr="00205C60">
        <w:rPr>
          <w:rFonts w:ascii="Verdana" w:hAnsi="Verdana" w:cs="Arial"/>
          <w:b/>
          <w:sz w:val="22"/>
          <w:szCs w:val="22"/>
        </w:rPr>
        <w:t>Riesgo económico</w:t>
      </w:r>
    </w:p>
    <w:p w14:paraId="3CA7E83C" w14:textId="77777777" w:rsidR="00B21EE6" w:rsidRPr="00205C60" w:rsidRDefault="00B21EE6" w:rsidP="00B74B93">
      <w:pPr>
        <w:rPr>
          <w:rFonts w:ascii="Verdana" w:hAnsi="Verdana" w:cs="Arial"/>
          <w:b/>
          <w:sz w:val="22"/>
          <w:szCs w:val="22"/>
        </w:rPr>
      </w:pPr>
    </w:p>
    <w:p w14:paraId="3CA7E83D" w14:textId="77777777" w:rsidR="00CD768C" w:rsidRPr="00205C60" w:rsidRDefault="00CD768C" w:rsidP="008E5B36">
      <w:pPr>
        <w:jc w:val="both"/>
        <w:rPr>
          <w:rFonts w:ascii="Verdana" w:hAnsi="Verdana" w:cs="Arial"/>
          <w:sz w:val="22"/>
          <w:szCs w:val="22"/>
          <w:lang w:val="es-CR"/>
        </w:rPr>
      </w:pPr>
      <w:r w:rsidRPr="00205C60">
        <w:rPr>
          <w:rFonts w:ascii="Verdana" w:hAnsi="Verdana" w:cs="Arial"/>
          <w:sz w:val="22"/>
          <w:szCs w:val="22"/>
          <w:lang w:val="es-CR"/>
        </w:rPr>
        <w:t>Es la posibilidad de que los resultados de la inversión se vean afectados por el desempeño de la economía nacional como un todo. Ante un deterioro económico, como lo es una recesión, la demanda interna se reduce, las inversiones se postergan, los márgenes sufren, el manejo del endeudamiento se hace más difícil, se dan reducciones en las utilidades, y el largo plazo se hace más incierto. Por otra parte, el crecimiento económico trae consigo un aumento en la actividad empresarial, resultando en mayores utilidades, más solvencia, expansión y empleo. El riesgo económico afecta todo tipo de inversión, para perjuicio o beneficio del inversionista.</w:t>
      </w:r>
    </w:p>
    <w:p w14:paraId="15878C78" w14:textId="77777777" w:rsidR="004B0A8F" w:rsidRPr="00205C60" w:rsidRDefault="004B0A8F" w:rsidP="008E5B36">
      <w:pPr>
        <w:jc w:val="both"/>
        <w:rPr>
          <w:rFonts w:ascii="Verdana" w:hAnsi="Verdana" w:cs="Arial"/>
          <w:sz w:val="22"/>
          <w:szCs w:val="22"/>
        </w:rPr>
      </w:pPr>
    </w:p>
    <w:p w14:paraId="3CA7E83E" w14:textId="0C46EF60" w:rsidR="00343460" w:rsidRPr="00205C60" w:rsidRDefault="008B5187" w:rsidP="008E5B36">
      <w:pPr>
        <w:jc w:val="both"/>
        <w:rPr>
          <w:rFonts w:ascii="Verdana" w:hAnsi="Verdana" w:cs="Arial"/>
          <w:sz w:val="22"/>
          <w:szCs w:val="22"/>
        </w:rPr>
      </w:pPr>
      <w:r w:rsidRPr="00205C60">
        <w:rPr>
          <w:rFonts w:ascii="Verdana" w:hAnsi="Verdana" w:cs="Arial"/>
          <w:sz w:val="22"/>
          <w:szCs w:val="22"/>
        </w:rPr>
        <w:t>L</w:t>
      </w:r>
      <w:r w:rsidR="00CD768C" w:rsidRPr="00205C60">
        <w:rPr>
          <w:rFonts w:ascii="Verdana" w:hAnsi="Verdana" w:cs="Arial"/>
          <w:sz w:val="22"/>
          <w:szCs w:val="22"/>
        </w:rPr>
        <w:t>as tasas de inflación incrementa</w:t>
      </w:r>
      <w:r w:rsidRPr="00205C60">
        <w:rPr>
          <w:rFonts w:ascii="Verdana" w:hAnsi="Verdana" w:cs="Arial"/>
          <w:sz w:val="22"/>
          <w:szCs w:val="22"/>
        </w:rPr>
        <w:t xml:space="preserve">n </w:t>
      </w:r>
      <w:r w:rsidR="00CD768C" w:rsidRPr="00205C60">
        <w:rPr>
          <w:rFonts w:ascii="Verdana" w:hAnsi="Verdana" w:cs="Arial"/>
          <w:sz w:val="22"/>
          <w:szCs w:val="22"/>
        </w:rPr>
        <w:t xml:space="preserve">los costos </w:t>
      </w:r>
      <w:r w:rsidR="00B92C0D" w:rsidRPr="00205C60">
        <w:rPr>
          <w:rFonts w:ascii="Verdana" w:hAnsi="Verdana" w:cs="Arial"/>
          <w:sz w:val="22"/>
          <w:szCs w:val="22"/>
        </w:rPr>
        <w:t xml:space="preserve">de operación y mantenimiento </w:t>
      </w:r>
      <w:r w:rsidRPr="00205C60">
        <w:rPr>
          <w:rFonts w:ascii="Verdana" w:hAnsi="Verdana" w:cs="Arial"/>
          <w:sz w:val="22"/>
          <w:szCs w:val="22"/>
        </w:rPr>
        <w:t>l</w:t>
      </w:r>
      <w:r w:rsidR="00CD768C" w:rsidRPr="00205C60">
        <w:rPr>
          <w:rFonts w:ascii="Verdana" w:hAnsi="Verdana" w:cs="Arial"/>
          <w:sz w:val="22"/>
          <w:szCs w:val="22"/>
        </w:rPr>
        <w:t xml:space="preserve">ocales </w:t>
      </w:r>
      <w:r w:rsidRPr="00205C60">
        <w:rPr>
          <w:rFonts w:ascii="Verdana" w:hAnsi="Verdana" w:cs="Arial"/>
          <w:sz w:val="22"/>
          <w:szCs w:val="22"/>
        </w:rPr>
        <w:t xml:space="preserve">de las actividades normales de la Compañía, lo </w:t>
      </w:r>
      <w:r w:rsidR="00FD5CA0" w:rsidRPr="00205C60">
        <w:rPr>
          <w:rFonts w:ascii="Verdana" w:hAnsi="Verdana" w:cs="Arial"/>
          <w:sz w:val="22"/>
          <w:szCs w:val="22"/>
        </w:rPr>
        <w:t>que,</w:t>
      </w:r>
      <w:r w:rsidRPr="00205C60">
        <w:rPr>
          <w:rFonts w:ascii="Verdana" w:hAnsi="Verdana" w:cs="Arial"/>
          <w:sz w:val="22"/>
          <w:szCs w:val="22"/>
        </w:rPr>
        <w:t xml:space="preserve"> sumado un poco </w:t>
      </w:r>
      <w:r w:rsidR="00FB6CA7" w:rsidRPr="00205C60">
        <w:rPr>
          <w:rFonts w:ascii="Verdana" w:hAnsi="Verdana" w:cs="Arial"/>
          <w:sz w:val="22"/>
          <w:szCs w:val="22"/>
        </w:rPr>
        <w:t xml:space="preserve">al efecto </w:t>
      </w:r>
      <w:r w:rsidRPr="00205C60">
        <w:rPr>
          <w:rFonts w:ascii="Verdana" w:hAnsi="Verdana" w:cs="Arial"/>
          <w:sz w:val="22"/>
          <w:szCs w:val="22"/>
        </w:rPr>
        <w:t>compensatorio en las tar</w:t>
      </w:r>
      <w:r w:rsidR="00CD768C" w:rsidRPr="00205C60">
        <w:rPr>
          <w:rFonts w:ascii="Verdana" w:hAnsi="Verdana" w:cs="Arial"/>
          <w:sz w:val="22"/>
          <w:szCs w:val="22"/>
        </w:rPr>
        <w:t>ifas eléctricas</w:t>
      </w:r>
      <w:r w:rsidRPr="00205C60">
        <w:rPr>
          <w:rFonts w:ascii="Verdana" w:hAnsi="Verdana" w:cs="Arial"/>
          <w:sz w:val="22"/>
          <w:szCs w:val="22"/>
        </w:rPr>
        <w:t>,</w:t>
      </w:r>
      <w:r w:rsidR="00CD768C" w:rsidRPr="00205C60">
        <w:rPr>
          <w:rFonts w:ascii="Verdana" w:hAnsi="Verdana" w:cs="Arial"/>
          <w:sz w:val="22"/>
          <w:szCs w:val="22"/>
        </w:rPr>
        <w:t xml:space="preserve"> </w:t>
      </w:r>
      <w:r w:rsidR="00F24F09" w:rsidRPr="00205C60">
        <w:rPr>
          <w:rFonts w:ascii="Verdana" w:hAnsi="Verdana" w:cs="Arial"/>
          <w:sz w:val="22"/>
          <w:szCs w:val="22"/>
        </w:rPr>
        <w:t xml:space="preserve">afectaría </w:t>
      </w:r>
      <w:r w:rsidR="00C9363C" w:rsidRPr="00205C60">
        <w:rPr>
          <w:rFonts w:ascii="Verdana" w:hAnsi="Verdana" w:cs="Arial"/>
          <w:sz w:val="22"/>
          <w:szCs w:val="22"/>
        </w:rPr>
        <w:t>sus resultados económicos.</w:t>
      </w:r>
      <w:r w:rsidR="00B064D6" w:rsidRPr="00205C60">
        <w:rPr>
          <w:rFonts w:ascii="Verdana" w:hAnsi="Verdana" w:cs="Arial"/>
          <w:sz w:val="22"/>
          <w:szCs w:val="22"/>
        </w:rPr>
        <w:t xml:space="preserve"> </w:t>
      </w:r>
    </w:p>
    <w:p w14:paraId="3CA7E83F" w14:textId="77777777" w:rsidR="00343460" w:rsidRPr="00205C60" w:rsidRDefault="00343460" w:rsidP="00CD768C">
      <w:pPr>
        <w:ind w:left="360"/>
        <w:jc w:val="both"/>
        <w:rPr>
          <w:rFonts w:ascii="Verdana" w:hAnsi="Verdana" w:cs="Arial"/>
          <w:sz w:val="22"/>
          <w:szCs w:val="22"/>
        </w:rPr>
      </w:pPr>
    </w:p>
    <w:p w14:paraId="3CA7E840" w14:textId="61AB7AB1" w:rsidR="008A2235" w:rsidRPr="00205C60" w:rsidRDefault="00F24F09" w:rsidP="008E5B36">
      <w:pPr>
        <w:jc w:val="both"/>
        <w:rPr>
          <w:rFonts w:ascii="Verdana" w:hAnsi="Verdana" w:cs="Arial"/>
          <w:sz w:val="22"/>
          <w:szCs w:val="22"/>
        </w:rPr>
      </w:pPr>
      <w:r w:rsidRPr="00205C60">
        <w:rPr>
          <w:rFonts w:ascii="Verdana" w:hAnsi="Verdana" w:cs="Arial"/>
          <w:sz w:val="22"/>
          <w:szCs w:val="22"/>
        </w:rPr>
        <w:t>L</w:t>
      </w:r>
      <w:r w:rsidR="00CD768C" w:rsidRPr="00205C60">
        <w:rPr>
          <w:rFonts w:ascii="Verdana" w:hAnsi="Verdana" w:cs="Arial"/>
          <w:sz w:val="22"/>
          <w:szCs w:val="22"/>
        </w:rPr>
        <w:t xml:space="preserve">a política </w:t>
      </w:r>
      <w:r w:rsidR="003143E4" w:rsidRPr="00205C60">
        <w:rPr>
          <w:rFonts w:ascii="Verdana" w:hAnsi="Verdana" w:cs="Arial"/>
          <w:sz w:val="22"/>
          <w:szCs w:val="22"/>
        </w:rPr>
        <w:t xml:space="preserve">cambiaria más flexible para dedicarse a controlar la inflación mediante un esquema de </w:t>
      </w:r>
      <w:r w:rsidR="0099261B" w:rsidRPr="00205C60">
        <w:rPr>
          <w:rFonts w:ascii="Verdana" w:hAnsi="Verdana" w:cs="Arial"/>
          <w:sz w:val="22"/>
          <w:szCs w:val="22"/>
        </w:rPr>
        <w:t xml:space="preserve">flotación </w:t>
      </w:r>
      <w:r w:rsidR="00E81B6E" w:rsidRPr="00205C60">
        <w:rPr>
          <w:rFonts w:ascii="Verdana" w:hAnsi="Verdana" w:cs="Arial"/>
          <w:sz w:val="22"/>
          <w:szCs w:val="22"/>
        </w:rPr>
        <w:t>administrada</w:t>
      </w:r>
      <w:r w:rsidR="00A02581" w:rsidRPr="00205C60">
        <w:rPr>
          <w:rFonts w:ascii="Verdana" w:hAnsi="Verdana" w:cs="Arial"/>
          <w:sz w:val="22"/>
          <w:szCs w:val="22"/>
        </w:rPr>
        <w:t xml:space="preserve"> </w:t>
      </w:r>
      <w:r w:rsidRPr="00205C60">
        <w:rPr>
          <w:rFonts w:ascii="Verdana" w:hAnsi="Verdana" w:cs="Arial"/>
          <w:sz w:val="22"/>
          <w:szCs w:val="22"/>
        </w:rPr>
        <w:t xml:space="preserve">incide directamente sobre la carga financiera </w:t>
      </w:r>
      <w:r w:rsidR="008B5187" w:rsidRPr="00205C60">
        <w:rPr>
          <w:rFonts w:ascii="Verdana" w:hAnsi="Verdana" w:cs="Arial"/>
          <w:sz w:val="22"/>
          <w:szCs w:val="22"/>
        </w:rPr>
        <w:t xml:space="preserve">de la Compañía, por </w:t>
      </w:r>
      <w:r w:rsidR="008A2235" w:rsidRPr="00205C60">
        <w:rPr>
          <w:rFonts w:ascii="Verdana" w:hAnsi="Verdana" w:cs="Arial"/>
          <w:sz w:val="22"/>
          <w:szCs w:val="22"/>
        </w:rPr>
        <w:t xml:space="preserve">tener </w:t>
      </w:r>
      <w:r w:rsidRPr="00205C60">
        <w:rPr>
          <w:rFonts w:ascii="Verdana" w:hAnsi="Verdana" w:cs="Arial"/>
          <w:sz w:val="22"/>
          <w:szCs w:val="22"/>
        </w:rPr>
        <w:t xml:space="preserve">pasivos contraídos en </w:t>
      </w:r>
      <w:r w:rsidR="00CD768C" w:rsidRPr="00205C60">
        <w:rPr>
          <w:rFonts w:ascii="Verdana" w:hAnsi="Verdana" w:cs="Arial"/>
          <w:sz w:val="22"/>
          <w:szCs w:val="22"/>
        </w:rPr>
        <w:t>moneda extranjera</w:t>
      </w:r>
      <w:r w:rsidR="008D0761" w:rsidRPr="00205C60">
        <w:rPr>
          <w:rFonts w:ascii="Verdana" w:hAnsi="Verdana" w:cs="Arial"/>
          <w:sz w:val="22"/>
          <w:szCs w:val="22"/>
        </w:rPr>
        <w:t>.</w:t>
      </w:r>
    </w:p>
    <w:p w14:paraId="3CA7E841" w14:textId="77777777" w:rsidR="006A0979" w:rsidRPr="00205C60" w:rsidRDefault="006A0979" w:rsidP="008E5B36">
      <w:pPr>
        <w:jc w:val="both"/>
        <w:rPr>
          <w:rFonts w:ascii="Verdana" w:hAnsi="Verdana" w:cs="Arial"/>
          <w:sz w:val="22"/>
          <w:szCs w:val="22"/>
        </w:rPr>
      </w:pPr>
    </w:p>
    <w:p w14:paraId="3CA7E842" w14:textId="4F57C438" w:rsidR="008D0761" w:rsidRPr="00205C60" w:rsidRDefault="008D0761" w:rsidP="008D0761">
      <w:pPr>
        <w:jc w:val="both"/>
        <w:rPr>
          <w:rFonts w:ascii="Verdana" w:hAnsi="Verdana" w:cs="TimesNewRomanPSMT"/>
          <w:sz w:val="22"/>
          <w:szCs w:val="22"/>
          <w:lang w:val="es-CR" w:eastAsia="es-CR"/>
        </w:rPr>
      </w:pPr>
      <w:r w:rsidRPr="00205C60">
        <w:rPr>
          <w:rFonts w:ascii="Verdana" w:hAnsi="Verdana" w:cs="TimesNewRomanPSMT"/>
          <w:sz w:val="22"/>
          <w:szCs w:val="22"/>
          <w:lang w:val="es-CR" w:eastAsia="es-CR"/>
        </w:rPr>
        <w:t xml:space="preserve">La Compañía está expuesta a riesgos de tipo de cambio por el </w:t>
      </w:r>
      <w:r w:rsidR="00FD5CA0" w:rsidRPr="00205C60">
        <w:rPr>
          <w:rFonts w:ascii="Verdana" w:hAnsi="Verdana" w:cs="TimesNewRomanPSMT"/>
          <w:sz w:val="22"/>
          <w:szCs w:val="22"/>
          <w:lang w:val="es-CR" w:eastAsia="es-CR"/>
        </w:rPr>
        <w:t>efectivo, equivalentes</w:t>
      </w:r>
      <w:r w:rsidRPr="00205C60">
        <w:rPr>
          <w:rFonts w:ascii="Verdana" w:hAnsi="Verdana" w:cs="TimesNewRomanPSMT"/>
          <w:sz w:val="22"/>
          <w:szCs w:val="22"/>
          <w:lang w:val="es-CR" w:eastAsia="es-CR"/>
        </w:rPr>
        <w:t xml:space="preserve"> de efectivo, cuentas por cobrar y por pagar comerciales y a compañías relacionadas. </w:t>
      </w:r>
    </w:p>
    <w:p w14:paraId="3CA7E843" w14:textId="77777777" w:rsidR="008D0761" w:rsidRPr="00205C60" w:rsidRDefault="008D0761" w:rsidP="008D0761">
      <w:pPr>
        <w:jc w:val="both"/>
        <w:rPr>
          <w:rFonts w:ascii="Verdana" w:hAnsi="Verdana" w:cs="TimesNewRomanPSMT"/>
          <w:sz w:val="22"/>
          <w:szCs w:val="22"/>
          <w:lang w:val="es-CR" w:eastAsia="es-CR"/>
        </w:rPr>
      </w:pPr>
    </w:p>
    <w:p w14:paraId="3CA7E844" w14:textId="738331FF" w:rsidR="008D0761" w:rsidRPr="00205C60" w:rsidRDefault="008D0761" w:rsidP="006A0979">
      <w:pPr>
        <w:jc w:val="both"/>
        <w:rPr>
          <w:rFonts w:ascii="Verdana" w:hAnsi="Verdana" w:cs="TimesNewRomanPSMT"/>
          <w:sz w:val="22"/>
          <w:szCs w:val="22"/>
          <w:lang w:val="es-CR" w:eastAsia="es-CR"/>
        </w:rPr>
      </w:pPr>
      <w:r w:rsidRPr="00205C60">
        <w:rPr>
          <w:rFonts w:ascii="Verdana" w:hAnsi="Verdana" w:cs="TimesNewRomanPSMT"/>
          <w:sz w:val="22"/>
          <w:szCs w:val="22"/>
          <w:lang w:val="es-CR" w:eastAsia="es-CR"/>
        </w:rPr>
        <w:t>Para ello la Compañía busca continuamente asegurarse que su exposición neta se mantenga a un nivel aceptable, manteniendo un control sobre las expectativas de variaciones de tipo de cambio, ya que no utiliza ningún tipo de instrumento de cobertura</w:t>
      </w:r>
      <w:r w:rsidR="006A0979" w:rsidRPr="00205C60">
        <w:rPr>
          <w:rFonts w:ascii="Verdana" w:hAnsi="Verdana" w:cs="TimesNewRomanPSMT"/>
          <w:sz w:val="22"/>
          <w:szCs w:val="22"/>
          <w:lang w:val="es-CR" w:eastAsia="es-CR"/>
        </w:rPr>
        <w:t>, sin embargo la composición de moneda de la deuda al 31 de diciembre del 20</w:t>
      </w:r>
      <w:r w:rsidR="00036EC9" w:rsidRPr="00205C60">
        <w:rPr>
          <w:rFonts w:ascii="Verdana" w:hAnsi="Verdana" w:cs="TimesNewRomanPSMT"/>
          <w:sz w:val="22"/>
          <w:szCs w:val="22"/>
          <w:lang w:val="es-CR" w:eastAsia="es-CR"/>
        </w:rPr>
        <w:t>2</w:t>
      </w:r>
      <w:r w:rsidR="00236DA7" w:rsidRPr="00205C60">
        <w:rPr>
          <w:rFonts w:ascii="Verdana" w:hAnsi="Verdana" w:cs="TimesNewRomanPSMT"/>
          <w:sz w:val="22"/>
          <w:szCs w:val="22"/>
          <w:lang w:val="es-CR" w:eastAsia="es-CR"/>
        </w:rPr>
        <w:t>2</w:t>
      </w:r>
      <w:r w:rsidR="006A0979" w:rsidRPr="00205C60">
        <w:rPr>
          <w:rFonts w:ascii="Verdana" w:hAnsi="Verdana" w:cs="TimesNewRomanPSMT"/>
          <w:sz w:val="22"/>
          <w:szCs w:val="22"/>
          <w:lang w:val="es-CR" w:eastAsia="es-CR"/>
        </w:rPr>
        <w:t xml:space="preserve"> es de </w:t>
      </w:r>
      <w:r w:rsidR="004833EC" w:rsidRPr="00205C60">
        <w:rPr>
          <w:rFonts w:ascii="Verdana" w:hAnsi="Verdana" w:cs="TimesNewRomanPSMT"/>
          <w:sz w:val="22"/>
          <w:szCs w:val="22"/>
          <w:lang w:val="es-CR" w:eastAsia="es-CR"/>
        </w:rPr>
        <w:t>5</w:t>
      </w:r>
      <w:r w:rsidR="006A0979" w:rsidRPr="00205C60">
        <w:rPr>
          <w:rFonts w:ascii="Verdana" w:hAnsi="Verdana" w:cs="TimesNewRomanPSMT"/>
          <w:sz w:val="22"/>
          <w:szCs w:val="22"/>
          <w:lang w:val="es-CR" w:eastAsia="es-CR"/>
        </w:rPr>
        <w:t xml:space="preserve">% de dólares y </w:t>
      </w:r>
      <w:r w:rsidR="004833EC" w:rsidRPr="00205C60">
        <w:rPr>
          <w:rFonts w:ascii="Verdana" w:hAnsi="Verdana" w:cs="TimesNewRomanPSMT"/>
          <w:sz w:val="22"/>
          <w:szCs w:val="22"/>
          <w:lang w:val="es-CR" w:eastAsia="es-CR"/>
        </w:rPr>
        <w:t>95</w:t>
      </w:r>
      <w:r w:rsidR="006A0979" w:rsidRPr="00205C60">
        <w:rPr>
          <w:rFonts w:ascii="Verdana" w:hAnsi="Verdana" w:cs="TimesNewRomanPSMT"/>
          <w:sz w:val="22"/>
          <w:szCs w:val="22"/>
          <w:lang w:val="es-CR" w:eastAsia="es-CR"/>
        </w:rPr>
        <w:t>% colones, lo que equivale a una cobertura de tipo de cambio natural</w:t>
      </w:r>
      <w:r w:rsidR="009B5608" w:rsidRPr="00205C60">
        <w:rPr>
          <w:rFonts w:ascii="Verdana" w:hAnsi="Verdana" w:cs="TimesNewRomanPSMT"/>
          <w:sz w:val="22"/>
          <w:szCs w:val="22"/>
          <w:lang w:val="es-CR" w:eastAsia="es-CR"/>
        </w:rPr>
        <w:t xml:space="preserve">, ya que </w:t>
      </w:r>
      <w:r w:rsidR="00A34291" w:rsidRPr="00205C60">
        <w:rPr>
          <w:rFonts w:ascii="Verdana" w:hAnsi="Verdana" w:cs="TimesNewRomanPSMT"/>
          <w:sz w:val="22"/>
          <w:szCs w:val="22"/>
          <w:lang w:val="es-CR" w:eastAsia="es-CR"/>
        </w:rPr>
        <w:t>los</w:t>
      </w:r>
      <w:r w:rsidR="009B5608" w:rsidRPr="00205C60">
        <w:rPr>
          <w:rFonts w:ascii="Verdana" w:hAnsi="Verdana" w:cs="TimesNewRomanPSMT"/>
          <w:sz w:val="22"/>
          <w:szCs w:val="22"/>
          <w:lang w:val="es-CR" w:eastAsia="es-CR"/>
        </w:rPr>
        <w:t xml:space="preserve"> ingresos </w:t>
      </w:r>
      <w:r w:rsidR="00A34291" w:rsidRPr="00205C60">
        <w:rPr>
          <w:rFonts w:ascii="Verdana" w:hAnsi="Verdana" w:cs="TimesNewRomanPSMT"/>
          <w:sz w:val="22"/>
          <w:szCs w:val="22"/>
          <w:lang w:val="es-CR" w:eastAsia="es-CR"/>
        </w:rPr>
        <w:t xml:space="preserve">de la Compañía </w:t>
      </w:r>
      <w:r w:rsidR="009B5608" w:rsidRPr="00205C60">
        <w:rPr>
          <w:rFonts w:ascii="Verdana" w:hAnsi="Verdana" w:cs="TimesNewRomanPSMT"/>
          <w:sz w:val="22"/>
          <w:szCs w:val="22"/>
          <w:lang w:val="es-CR" w:eastAsia="es-CR"/>
        </w:rPr>
        <w:t>son en colones y tal proporción reduce la exposición al riesgo cambiario</w:t>
      </w:r>
      <w:r w:rsidR="00510EBF" w:rsidRPr="00205C60">
        <w:rPr>
          <w:rFonts w:ascii="Verdana" w:hAnsi="Verdana" w:cs="TimesNewRomanPSMT"/>
          <w:sz w:val="22"/>
          <w:szCs w:val="22"/>
          <w:lang w:val="es-CR" w:eastAsia="es-CR"/>
        </w:rPr>
        <w:t>, debido a que la mayor cantidad de deuda está contratada en colones</w:t>
      </w:r>
      <w:r w:rsidR="009B5608" w:rsidRPr="00205C60">
        <w:rPr>
          <w:rFonts w:ascii="Verdana" w:hAnsi="Verdana" w:cs="TimesNewRomanPSMT"/>
          <w:sz w:val="22"/>
          <w:szCs w:val="22"/>
          <w:lang w:val="es-CR" w:eastAsia="es-CR"/>
        </w:rPr>
        <w:t>.</w:t>
      </w:r>
    </w:p>
    <w:p w14:paraId="3CA7E845" w14:textId="77777777" w:rsidR="006A0979" w:rsidRPr="00205C60" w:rsidRDefault="006A0979" w:rsidP="006A0979">
      <w:pPr>
        <w:jc w:val="both"/>
        <w:rPr>
          <w:rFonts w:ascii="Verdana" w:hAnsi="Verdana" w:cs="Arial"/>
          <w:sz w:val="22"/>
          <w:szCs w:val="22"/>
          <w:lang w:val="es-CR"/>
        </w:rPr>
      </w:pPr>
    </w:p>
    <w:p w14:paraId="3CA7E846" w14:textId="77777777" w:rsidR="00F24F09" w:rsidRPr="00205C60" w:rsidRDefault="00F24F09" w:rsidP="008E5B36">
      <w:pPr>
        <w:jc w:val="both"/>
        <w:rPr>
          <w:rFonts w:ascii="Verdana" w:hAnsi="Verdana" w:cs="Arial"/>
          <w:sz w:val="22"/>
          <w:szCs w:val="22"/>
        </w:rPr>
      </w:pPr>
      <w:r w:rsidRPr="00205C60">
        <w:rPr>
          <w:rFonts w:ascii="Verdana" w:hAnsi="Verdana" w:cs="Arial"/>
          <w:sz w:val="22"/>
          <w:szCs w:val="22"/>
        </w:rPr>
        <w:t>Políticas</w:t>
      </w:r>
      <w:r w:rsidR="00BD6E58" w:rsidRPr="00205C60">
        <w:rPr>
          <w:rFonts w:ascii="Verdana" w:hAnsi="Verdana" w:cs="Arial"/>
          <w:sz w:val="22"/>
          <w:szCs w:val="22"/>
        </w:rPr>
        <w:t xml:space="preserve"> monetarias al alza en las tasas de interés, también afectarían el costo del servicio de la deuda, debido a que </w:t>
      </w:r>
      <w:r w:rsidR="00B74ED9" w:rsidRPr="00205C60">
        <w:rPr>
          <w:rFonts w:ascii="Verdana" w:hAnsi="Verdana" w:cs="Arial"/>
          <w:sz w:val="22"/>
          <w:szCs w:val="22"/>
        </w:rPr>
        <w:t xml:space="preserve">algunas de </w:t>
      </w:r>
      <w:r w:rsidR="0044758A" w:rsidRPr="00205C60">
        <w:rPr>
          <w:rFonts w:ascii="Verdana" w:hAnsi="Verdana" w:cs="Arial"/>
          <w:sz w:val="22"/>
          <w:szCs w:val="22"/>
        </w:rPr>
        <w:t xml:space="preserve">las obligaciones </w:t>
      </w:r>
      <w:r w:rsidR="00BD6E58" w:rsidRPr="00205C60">
        <w:rPr>
          <w:rFonts w:ascii="Verdana" w:hAnsi="Verdana" w:cs="Arial"/>
          <w:sz w:val="22"/>
          <w:szCs w:val="22"/>
        </w:rPr>
        <w:t xml:space="preserve">están </w:t>
      </w:r>
      <w:r w:rsidR="00B74ED9" w:rsidRPr="00205C60">
        <w:rPr>
          <w:rFonts w:ascii="Verdana" w:hAnsi="Verdana" w:cs="Arial"/>
          <w:sz w:val="22"/>
          <w:szCs w:val="22"/>
        </w:rPr>
        <w:t xml:space="preserve">pactadas </w:t>
      </w:r>
      <w:r w:rsidR="00BD6E58" w:rsidRPr="00205C60">
        <w:rPr>
          <w:rFonts w:ascii="Verdana" w:hAnsi="Verdana" w:cs="Arial"/>
          <w:sz w:val="22"/>
          <w:szCs w:val="22"/>
        </w:rPr>
        <w:t>en tasas variables, con el consecuente impacto en los resultados financieros de la empresa.</w:t>
      </w:r>
      <w:r w:rsidRPr="00205C60">
        <w:rPr>
          <w:rFonts w:ascii="Verdana" w:hAnsi="Verdana" w:cs="Arial"/>
          <w:sz w:val="22"/>
          <w:szCs w:val="22"/>
        </w:rPr>
        <w:t xml:space="preserve"> </w:t>
      </w:r>
    </w:p>
    <w:p w14:paraId="3CA7E847" w14:textId="77777777" w:rsidR="00F24F09" w:rsidRPr="00205C60" w:rsidRDefault="00F24F09" w:rsidP="00CD768C">
      <w:pPr>
        <w:ind w:left="360"/>
        <w:jc w:val="both"/>
        <w:rPr>
          <w:rFonts w:ascii="Verdana" w:hAnsi="Verdana" w:cs="Arial"/>
          <w:sz w:val="22"/>
          <w:szCs w:val="22"/>
        </w:rPr>
      </w:pPr>
    </w:p>
    <w:p w14:paraId="3CA7E848" w14:textId="5943859D" w:rsidR="008B5187" w:rsidRPr="00205C60" w:rsidRDefault="00B92C0D" w:rsidP="008E5B36">
      <w:pPr>
        <w:jc w:val="both"/>
        <w:rPr>
          <w:rFonts w:ascii="Verdana" w:hAnsi="Verdana" w:cs="Arial"/>
          <w:sz w:val="22"/>
          <w:szCs w:val="22"/>
        </w:rPr>
      </w:pPr>
      <w:r w:rsidRPr="00205C60">
        <w:rPr>
          <w:rFonts w:ascii="Verdana" w:hAnsi="Verdana" w:cs="Arial"/>
          <w:sz w:val="22"/>
          <w:szCs w:val="22"/>
        </w:rPr>
        <w:t>L</w:t>
      </w:r>
      <w:r w:rsidR="008B5187" w:rsidRPr="00205C60">
        <w:rPr>
          <w:rFonts w:ascii="Verdana" w:hAnsi="Verdana" w:cs="Arial"/>
          <w:sz w:val="22"/>
          <w:szCs w:val="22"/>
        </w:rPr>
        <w:t xml:space="preserve">a </w:t>
      </w:r>
      <w:r w:rsidR="004B0A8F" w:rsidRPr="00205C60">
        <w:rPr>
          <w:rFonts w:ascii="Verdana" w:hAnsi="Verdana" w:cs="Arial"/>
          <w:sz w:val="22"/>
          <w:szCs w:val="22"/>
        </w:rPr>
        <w:t>depreciación,</w:t>
      </w:r>
      <w:r w:rsidRPr="00205C60">
        <w:rPr>
          <w:rFonts w:ascii="Verdana" w:hAnsi="Verdana" w:cs="Arial"/>
          <w:sz w:val="22"/>
          <w:szCs w:val="22"/>
        </w:rPr>
        <w:t xml:space="preserve"> además</w:t>
      </w:r>
      <w:r w:rsidR="008B5187" w:rsidRPr="00205C60">
        <w:rPr>
          <w:rFonts w:ascii="Verdana" w:hAnsi="Verdana" w:cs="Arial"/>
          <w:sz w:val="22"/>
          <w:szCs w:val="22"/>
        </w:rPr>
        <w:t xml:space="preserve">, eleva </w:t>
      </w:r>
      <w:r w:rsidRPr="00205C60">
        <w:rPr>
          <w:rFonts w:ascii="Verdana" w:hAnsi="Verdana" w:cs="Arial"/>
          <w:sz w:val="22"/>
          <w:szCs w:val="22"/>
        </w:rPr>
        <w:t xml:space="preserve">el costo de los materiales que se importan, </w:t>
      </w:r>
      <w:r w:rsidR="008B5187" w:rsidRPr="00205C60">
        <w:rPr>
          <w:rFonts w:ascii="Verdana" w:hAnsi="Verdana" w:cs="Arial"/>
          <w:sz w:val="22"/>
          <w:szCs w:val="22"/>
        </w:rPr>
        <w:t>tales como cables, transformadores, equipos de subestaciones y maquinaria</w:t>
      </w:r>
      <w:r w:rsidRPr="00205C60">
        <w:rPr>
          <w:rFonts w:ascii="Verdana" w:hAnsi="Verdana" w:cs="Arial"/>
          <w:sz w:val="22"/>
          <w:szCs w:val="22"/>
        </w:rPr>
        <w:t xml:space="preserve"> de las plantas de generación con el consecuente impacto en las finanzas de la empresa.</w:t>
      </w:r>
    </w:p>
    <w:p w14:paraId="3CA7E849" w14:textId="77777777" w:rsidR="008B5187" w:rsidRPr="00205C60" w:rsidRDefault="008B5187" w:rsidP="00CD768C">
      <w:pPr>
        <w:ind w:left="360"/>
        <w:jc w:val="both"/>
        <w:rPr>
          <w:rFonts w:ascii="Verdana" w:hAnsi="Verdana" w:cs="Arial"/>
          <w:sz w:val="22"/>
          <w:szCs w:val="22"/>
        </w:rPr>
      </w:pPr>
    </w:p>
    <w:p w14:paraId="3CA7E84A" w14:textId="5B92DF25" w:rsidR="00343460" w:rsidRPr="00205C60" w:rsidRDefault="003143E4" w:rsidP="008E5B36">
      <w:pPr>
        <w:jc w:val="both"/>
        <w:rPr>
          <w:rFonts w:ascii="Verdana" w:hAnsi="Verdana" w:cs="Arial"/>
          <w:sz w:val="22"/>
          <w:szCs w:val="22"/>
        </w:rPr>
      </w:pPr>
      <w:r w:rsidRPr="00205C60">
        <w:rPr>
          <w:rFonts w:ascii="Verdana" w:hAnsi="Verdana" w:cs="Arial"/>
          <w:sz w:val="22"/>
          <w:szCs w:val="22"/>
        </w:rPr>
        <w:t>El</w:t>
      </w:r>
      <w:r w:rsidR="00DF31AA" w:rsidRPr="00205C60">
        <w:rPr>
          <w:rFonts w:ascii="Verdana" w:hAnsi="Verdana" w:cs="Arial"/>
          <w:sz w:val="22"/>
          <w:szCs w:val="22"/>
        </w:rPr>
        <w:t xml:space="preserve"> esquema de </w:t>
      </w:r>
      <w:r w:rsidR="0099261B" w:rsidRPr="00205C60">
        <w:rPr>
          <w:rFonts w:ascii="Verdana" w:hAnsi="Verdana" w:cs="Arial"/>
          <w:sz w:val="22"/>
          <w:szCs w:val="22"/>
        </w:rPr>
        <w:t xml:space="preserve">flotación </w:t>
      </w:r>
      <w:r w:rsidR="00AD3006" w:rsidRPr="00205C60">
        <w:rPr>
          <w:rFonts w:ascii="Verdana" w:hAnsi="Verdana" w:cs="Arial"/>
          <w:sz w:val="22"/>
          <w:szCs w:val="22"/>
        </w:rPr>
        <w:t>administrada</w:t>
      </w:r>
      <w:r w:rsidR="00DF31AA" w:rsidRPr="00205C60">
        <w:rPr>
          <w:rFonts w:ascii="Verdana" w:hAnsi="Verdana" w:cs="Arial"/>
          <w:sz w:val="22"/>
          <w:szCs w:val="22"/>
        </w:rPr>
        <w:t xml:space="preserve"> </w:t>
      </w:r>
      <w:r w:rsidR="00BD6E58" w:rsidRPr="00205C60">
        <w:rPr>
          <w:rFonts w:ascii="Verdana" w:hAnsi="Verdana" w:cs="Arial"/>
          <w:sz w:val="22"/>
          <w:szCs w:val="22"/>
        </w:rPr>
        <w:t xml:space="preserve">podría provocar incertidumbre y aumento del tipo de cambio inesperados y poco previsibles, </w:t>
      </w:r>
      <w:r w:rsidR="00364789" w:rsidRPr="00205C60">
        <w:rPr>
          <w:rFonts w:ascii="Verdana" w:hAnsi="Verdana" w:cs="Arial"/>
          <w:sz w:val="22"/>
          <w:szCs w:val="22"/>
        </w:rPr>
        <w:t xml:space="preserve">que haría que la tasa de </w:t>
      </w:r>
      <w:r w:rsidR="00364789" w:rsidRPr="00205C60">
        <w:rPr>
          <w:rFonts w:ascii="Verdana" w:hAnsi="Verdana" w:cs="Arial"/>
          <w:sz w:val="22"/>
          <w:szCs w:val="22"/>
        </w:rPr>
        <w:lastRenderedPageBreak/>
        <w:t>de</w:t>
      </w:r>
      <w:r w:rsidR="00D84B13" w:rsidRPr="00205C60">
        <w:rPr>
          <w:rFonts w:ascii="Verdana" w:hAnsi="Verdana" w:cs="Arial"/>
          <w:sz w:val="22"/>
          <w:szCs w:val="22"/>
        </w:rPr>
        <w:t>preciación</w:t>
      </w:r>
      <w:r w:rsidR="00364789" w:rsidRPr="00205C60">
        <w:rPr>
          <w:rFonts w:ascii="Verdana" w:hAnsi="Verdana" w:cs="Arial"/>
          <w:sz w:val="22"/>
          <w:szCs w:val="22"/>
        </w:rPr>
        <w:t xml:space="preserve"> se ubique por encima de las tasas que históricamente se han registrado, lo que afectaría los ingresos de la Compañía en relación con sus obligaciones en dólares y </w:t>
      </w:r>
      <w:r w:rsidR="00B40A22" w:rsidRPr="00205C60">
        <w:rPr>
          <w:rFonts w:ascii="Verdana" w:hAnsi="Verdana" w:cs="Arial"/>
          <w:sz w:val="22"/>
          <w:szCs w:val="22"/>
        </w:rPr>
        <w:t xml:space="preserve">podría </w:t>
      </w:r>
      <w:r w:rsidR="00364789" w:rsidRPr="00205C60">
        <w:rPr>
          <w:rFonts w:ascii="Verdana" w:hAnsi="Verdana" w:cs="Arial"/>
          <w:sz w:val="22"/>
          <w:szCs w:val="22"/>
        </w:rPr>
        <w:t>provocarle pérdidas cambiarias, afectando su situación financiera para hacer frente a sus obligaciones.</w:t>
      </w:r>
      <w:r w:rsidR="001D4735" w:rsidRPr="00205C60">
        <w:rPr>
          <w:rFonts w:ascii="Verdana" w:hAnsi="Verdana" w:cs="Arial"/>
          <w:sz w:val="22"/>
          <w:szCs w:val="22"/>
        </w:rPr>
        <w:t xml:space="preserve"> </w:t>
      </w:r>
    </w:p>
    <w:p w14:paraId="3CA7E84B" w14:textId="77777777" w:rsidR="00343460" w:rsidRPr="00205C60" w:rsidRDefault="00343460" w:rsidP="00CD768C">
      <w:pPr>
        <w:ind w:left="360"/>
        <w:jc w:val="both"/>
        <w:rPr>
          <w:rFonts w:ascii="Verdana" w:hAnsi="Verdana" w:cs="Arial"/>
          <w:sz w:val="22"/>
          <w:szCs w:val="22"/>
        </w:rPr>
      </w:pPr>
    </w:p>
    <w:p w14:paraId="3CA7E84C" w14:textId="7934A785" w:rsidR="00AD644B" w:rsidRPr="00205C60" w:rsidRDefault="00B92C0D" w:rsidP="00AD644B">
      <w:pPr>
        <w:jc w:val="both"/>
        <w:rPr>
          <w:rFonts w:ascii="Verdana" w:hAnsi="Verdana" w:cs="Arial"/>
          <w:sz w:val="22"/>
          <w:szCs w:val="22"/>
        </w:rPr>
      </w:pPr>
      <w:r w:rsidRPr="00205C60">
        <w:rPr>
          <w:rFonts w:ascii="Verdana" w:hAnsi="Verdana" w:cs="Arial"/>
          <w:sz w:val="22"/>
          <w:szCs w:val="22"/>
        </w:rPr>
        <w:t>Es importante mencionar, que t</w:t>
      </w:r>
      <w:r w:rsidR="003057C1" w:rsidRPr="00205C60">
        <w:rPr>
          <w:rFonts w:ascii="Verdana" w:hAnsi="Verdana" w:cs="Arial"/>
          <w:sz w:val="22"/>
          <w:szCs w:val="22"/>
        </w:rPr>
        <w:t xml:space="preserve">anto la inflación como la </w:t>
      </w:r>
      <w:r w:rsidR="00CD768C" w:rsidRPr="00205C60">
        <w:rPr>
          <w:rFonts w:ascii="Verdana" w:hAnsi="Verdana" w:cs="Arial"/>
          <w:sz w:val="22"/>
          <w:szCs w:val="22"/>
        </w:rPr>
        <w:t>depreciaci</w:t>
      </w:r>
      <w:r w:rsidR="003057C1" w:rsidRPr="00205C60">
        <w:rPr>
          <w:rFonts w:ascii="Verdana" w:hAnsi="Verdana" w:cs="Arial"/>
          <w:sz w:val="22"/>
          <w:szCs w:val="22"/>
        </w:rPr>
        <w:t>ón</w:t>
      </w:r>
      <w:r w:rsidR="00CD768C" w:rsidRPr="00205C60">
        <w:rPr>
          <w:rFonts w:ascii="Verdana" w:hAnsi="Verdana" w:cs="Arial"/>
          <w:sz w:val="22"/>
          <w:szCs w:val="22"/>
        </w:rPr>
        <w:t xml:space="preserve"> del colón</w:t>
      </w:r>
      <w:r w:rsidR="003057C1" w:rsidRPr="00205C60">
        <w:rPr>
          <w:rFonts w:ascii="Verdana" w:hAnsi="Verdana" w:cs="Arial"/>
          <w:sz w:val="22"/>
          <w:szCs w:val="22"/>
        </w:rPr>
        <w:t>,</w:t>
      </w:r>
      <w:r w:rsidR="00CD768C" w:rsidRPr="00205C60">
        <w:rPr>
          <w:rFonts w:ascii="Verdana" w:hAnsi="Verdana" w:cs="Arial"/>
          <w:sz w:val="22"/>
          <w:szCs w:val="22"/>
        </w:rPr>
        <w:t xml:space="preserve"> </w:t>
      </w:r>
      <w:r w:rsidR="003057C1" w:rsidRPr="00205C60">
        <w:rPr>
          <w:rFonts w:ascii="Verdana" w:hAnsi="Verdana" w:cs="Arial"/>
          <w:sz w:val="22"/>
          <w:szCs w:val="22"/>
        </w:rPr>
        <w:t>a</w:t>
      </w:r>
      <w:r w:rsidR="00CD768C" w:rsidRPr="00205C60">
        <w:rPr>
          <w:rFonts w:ascii="Verdana" w:hAnsi="Verdana" w:cs="Arial"/>
          <w:sz w:val="22"/>
          <w:szCs w:val="22"/>
        </w:rPr>
        <w:t>fecta</w:t>
      </w:r>
      <w:r w:rsidR="003057C1" w:rsidRPr="00205C60">
        <w:rPr>
          <w:rFonts w:ascii="Verdana" w:hAnsi="Verdana" w:cs="Arial"/>
          <w:sz w:val="22"/>
          <w:szCs w:val="22"/>
        </w:rPr>
        <w:t>n</w:t>
      </w:r>
      <w:r w:rsidR="00CD768C" w:rsidRPr="00205C60">
        <w:rPr>
          <w:rFonts w:ascii="Verdana" w:hAnsi="Verdana" w:cs="Arial"/>
          <w:sz w:val="22"/>
          <w:szCs w:val="22"/>
        </w:rPr>
        <w:t xml:space="preserve"> el poder de compra de los flujos de </w:t>
      </w:r>
      <w:r w:rsidR="008B723D" w:rsidRPr="00205C60">
        <w:rPr>
          <w:rFonts w:ascii="Verdana" w:hAnsi="Verdana" w:cs="Arial"/>
          <w:sz w:val="22"/>
          <w:szCs w:val="22"/>
        </w:rPr>
        <w:t>ingresos provenientes</w:t>
      </w:r>
      <w:r w:rsidR="00CD768C" w:rsidRPr="00205C60">
        <w:rPr>
          <w:rFonts w:ascii="Verdana" w:hAnsi="Verdana" w:cs="Arial"/>
          <w:sz w:val="22"/>
          <w:szCs w:val="22"/>
        </w:rPr>
        <w:t xml:space="preserve"> de la inversión en un bono de la empresa, por cuanto este se encuentra denominado en colones.  </w:t>
      </w:r>
      <w:bookmarkStart w:id="97" w:name="_Toc102455536"/>
    </w:p>
    <w:p w14:paraId="3CA7E84D" w14:textId="62FFC215" w:rsidR="00AD644B" w:rsidRPr="00205C60" w:rsidRDefault="00AD644B" w:rsidP="00AD644B">
      <w:pPr>
        <w:jc w:val="both"/>
        <w:rPr>
          <w:rFonts w:ascii="Verdana" w:hAnsi="Verdana" w:cs="Arial"/>
          <w:sz w:val="22"/>
          <w:szCs w:val="22"/>
        </w:rPr>
      </w:pPr>
    </w:p>
    <w:p w14:paraId="09B58A18" w14:textId="77777777" w:rsidR="00756EC2" w:rsidRPr="00205C60" w:rsidRDefault="00756EC2" w:rsidP="00AD644B">
      <w:pPr>
        <w:jc w:val="both"/>
        <w:rPr>
          <w:rFonts w:ascii="Verdana" w:hAnsi="Verdana" w:cs="Arial"/>
          <w:sz w:val="22"/>
          <w:szCs w:val="22"/>
        </w:rPr>
      </w:pPr>
    </w:p>
    <w:p w14:paraId="3CA7E84E" w14:textId="77777777" w:rsidR="00AD644B" w:rsidRPr="00205C60" w:rsidRDefault="00AD644B" w:rsidP="00AD644B">
      <w:pPr>
        <w:jc w:val="both"/>
        <w:rPr>
          <w:rFonts w:ascii="Verdana" w:hAnsi="Verdana" w:cs="Arial"/>
          <w:b/>
          <w:sz w:val="22"/>
          <w:szCs w:val="22"/>
        </w:rPr>
      </w:pPr>
      <w:r w:rsidRPr="00205C60">
        <w:rPr>
          <w:rFonts w:ascii="Verdana" w:hAnsi="Verdana" w:cs="Arial"/>
          <w:b/>
          <w:sz w:val="22"/>
          <w:szCs w:val="22"/>
        </w:rPr>
        <w:t>Riesgo por cambios en la metodología de cálculo de la tasa de interés de referencia</w:t>
      </w:r>
    </w:p>
    <w:p w14:paraId="3CA7E84F" w14:textId="77777777" w:rsidR="00AD644B" w:rsidRPr="00205C60" w:rsidRDefault="00AD644B" w:rsidP="00AD644B">
      <w:pPr>
        <w:jc w:val="both"/>
        <w:rPr>
          <w:rFonts w:ascii="Verdana" w:hAnsi="Verdana"/>
          <w:sz w:val="22"/>
          <w:szCs w:val="22"/>
          <w:lang w:val="es-CR"/>
        </w:rPr>
      </w:pPr>
    </w:p>
    <w:p w14:paraId="3CA7E850" w14:textId="69AA8C76" w:rsidR="00AD644B" w:rsidRPr="00205C60" w:rsidRDefault="00AD644B" w:rsidP="00AD644B">
      <w:pPr>
        <w:jc w:val="both"/>
        <w:rPr>
          <w:rFonts w:ascii="Verdana" w:hAnsi="Verdana" w:cs="Arial"/>
          <w:sz w:val="22"/>
          <w:szCs w:val="22"/>
        </w:rPr>
      </w:pPr>
      <w:r w:rsidRPr="00205C60">
        <w:rPr>
          <w:rFonts w:ascii="Verdana" w:hAnsi="Verdana" w:cs="Arial"/>
          <w:sz w:val="22"/>
          <w:szCs w:val="22"/>
        </w:rPr>
        <w:t xml:space="preserve">Es el riesgo asociado a las emisiones con tasas de interés ajustables, según el cual, </w:t>
      </w:r>
      <w:r w:rsidR="008B723D" w:rsidRPr="00205C60">
        <w:rPr>
          <w:rFonts w:ascii="Verdana" w:hAnsi="Verdana" w:cs="Arial"/>
          <w:sz w:val="22"/>
          <w:szCs w:val="22"/>
        </w:rPr>
        <w:t>el inversionista</w:t>
      </w:r>
      <w:r w:rsidRPr="00205C60">
        <w:rPr>
          <w:rFonts w:ascii="Verdana" w:hAnsi="Verdana" w:cs="Arial"/>
          <w:sz w:val="22"/>
          <w:szCs w:val="22"/>
        </w:rPr>
        <w:t xml:space="preserve"> podría enfrentar una afectación asociada a la determinación de la tasa de interés, en caso de: </w:t>
      </w:r>
    </w:p>
    <w:p w14:paraId="3CA7E851" w14:textId="77777777" w:rsidR="00AD644B" w:rsidRPr="00205C60" w:rsidRDefault="00AD644B" w:rsidP="00AD644B">
      <w:pPr>
        <w:jc w:val="both"/>
        <w:rPr>
          <w:rFonts w:ascii="Verdana" w:hAnsi="Verdana"/>
          <w:sz w:val="22"/>
          <w:szCs w:val="22"/>
        </w:rPr>
      </w:pPr>
    </w:p>
    <w:p w14:paraId="3CA7E852" w14:textId="77777777" w:rsidR="00AD644B" w:rsidRPr="00205C60" w:rsidRDefault="00AD644B" w:rsidP="00AD644B">
      <w:pPr>
        <w:jc w:val="both"/>
        <w:rPr>
          <w:rFonts w:ascii="Verdana" w:hAnsi="Verdana" w:cs="Arial"/>
          <w:sz w:val="22"/>
          <w:szCs w:val="22"/>
        </w:rPr>
      </w:pPr>
      <w:r w:rsidRPr="00205C60">
        <w:rPr>
          <w:rFonts w:ascii="Verdana" w:hAnsi="Verdana" w:cs="Arial"/>
          <w:sz w:val="22"/>
          <w:szCs w:val="22"/>
        </w:rPr>
        <w:t xml:space="preserve">i. cambios en la entidad encargada del cálculo de la tasa de referencia, </w:t>
      </w:r>
    </w:p>
    <w:p w14:paraId="3CA7E853" w14:textId="77777777" w:rsidR="00AD644B" w:rsidRPr="00205C60" w:rsidRDefault="00AD644B" w:rsidP="00AD644B">
      <w:pPr>
        <w:jc w:val="both"/>
        <w:rPr>
          <w:rFonts w:ascii="Verdana" w:hAnsi="Verdana" w:cs="Arial"/>
          <w:sz w:val="22"/>
          <w:szCs w:val="22"/>
        </w:rPr>
      </w:pPr>
      <w:r w:rsidRPr="00205C60">
        <w:rPr>
          <w:rFonts w:ascii="Verdana" w:hAnsi="Verdana" w:cs="Arial"/>
          <w:sz w:val="22"/>
          <w:szCs w:val="22"/>
        </w:rPr>
        <w:t xml:space="preserve">ii. imposibilidad de acceder a la información referente a la tasa de referencia (suspensión temporal), </w:t>
      </w:r>
    </w:p>
    <w:p w14:paraId="3CA7E854" w14:textId="77777777" w:rsidR="00AD644B" w:rsidRPr="00205C60" w:rsidRDefault="00AD644B" w:rsidP="00AD644B">
      <w:pPr>
        <w:jc w:val="both"/>
        <w:rPr>
          <w:rFonts w:ascii="Verdana" w:hAnsi="Verdana" w:cs="Arial"/>
          <w:sz w:val="22"/>
          <w:szCs w:val="22"/>
        </w:rPr>
      </w:pPr>
      <w:r w:rsidRPr="00205C60">
        <w:rPr>
          <w:rFonts w:ascii="Verdana" w:hAnsi="Verdana" w:cs="Arial"/>
          <w:sz w:val="22"/>
          <w:szCs w:val="22"/>
        </w:rPr>
        <w:t xml:space="preserve">iii. cese del cálculo de la tasa de referencia (suspensión definitiva), </w:t>
      </w:r>
    </w:p>
    <w:p w14:paraId="3CA7E855" w14:textId="77777777" w:rsidR="00AD644B" w:rsidRPr="00205C60" w:rsidRDefault="00AD644B" w:rsidP="00AD644B">
      <w:pPr>
        <w:jc w:val="both"/>
        <w:rPr>
          <w:rFonts w:ascii="Verdana" w:hAnsi="Verdana" w:cs="Arial"/>
          <w:sz w:val="22"/>
          <w:szCs w:val="22"/>
        </w:rPr>
      </w:pPr>
      <w:proofErr w:type="spellStart"/>
      <w:r w:rsidRPr="00205C60">
        <w:rPr>
          <w:rFonts w:ascii="Verdana" w:hAnsi="Verdana" w:cs="Arial"/>
          <w:sz w:val="22"/>
          <w:szCs w:val="22"/>
        </w:rPr>
        <w:t>iv</w:t>
      </w:r>
      <w:proofErr w:type="spellEnd"/>
      <w:r w:rsidRPr="00205C60">
        <w:rPr>
          <w:rFonts w:ascii="Verdana" w:hAnsi="Verdana" w:cs="Arial"/>
          <w:sz w:val="22"/>
          <w:szCs w:val="22"/>
        </w:rPr>
        <w:t xml:space="preserve">. ausencia de datos para calcular la tasa de referencia.  </w:t>
      </w:r>
    </w:p>
    <w:p w14:paraId="3CA7E856" w14:textId="77777777" w:rsidR="00AD644B" w:rsidRPr="00205C60" w:rsidRDefault="00AD644B" w:rsidP="00AD644B">
      <w:pPr>
        <w:jc w:val="both"/>
        <w:rPr>
          <w:rFonts w:ascii="Verdana" w:hAnsi="Verdana" w:cs="Arial"/>
          <w:sz w:val="22"/>
          <w:szCs w:val="22"/>
        </w:rPr>
      </w:pPr>
    </w:p>
    <w:p w14:paraId="3CA7E857" w14:textId="77777777" w:rsidR="00AD644B" w:rsidRPr="00205C60" w:rsidRDefault="00AD644B" w:rsidP="00AD644B">
      <w:pPr>
        <w:jc w:val="both"/>
        <w:rPr>
          <w:rFonts w:ascii="Verdana" w:hAnsi="Verdana" w:cs="Arial"/>
          <w:sz w:val="22"/>
          <w:szCs w:val="22"/>
        </w:rPr>
      </w:pPr>
      <w:r w:rsidRPr="00205C60">
        <w:rPr>
          <w:rFonts w:ascii="Verdana" w:hAnsi="Verdana" w:cs="Arial"/>
          <w:sz w:val="22"/>
          <w:szCs w:val="22"/>
        </w:rPr>
        <w:t>El potencial daño se materializaría en caso de que la determinación de la tasa sea tal que perjudique los intereses de los inversionistas; por ejemplo, a través de una tasa menor a la que hubiese sido determinada en ausencia de alguno de los inconvenientes antes mencionados.</w:t>
      </w:r>
    </w:p>
    <w:p w14:paraId="3CA7E858" w14:textId="77777777" w:rsidR="00AD644B" w:rsidRPr="00205C60" w:rsidRDefault="00AD644B" w:rsidP="00AD644B">
      <w:pPr>
        <w:jc w:val="both"/>
        <w:rPr>
          <w:rFonts w:ascii="Verdana" w:hAnsi="Verdana" w:cs="Arial"/>
          <w:sz w:val="22"/>
          <w:szCs w:val="22"/>
        </w:rPr>
      </w:pPr>
    </w:p>
    <w:p w14:paraId="3CA7E859" w14:textId="77777777" w:rsidR="00B44125" w:rsidRPr="00205C60" w:rsidRDefault="0050477A" w:rsidP="00AD644B">
      <w:pPr>
        <w:jc w:val="both"/>
        <w:rPr>
          <w:rFonts w:ascii="Verdana" w:hAnsi="Verdana" w:cs="Arial"/>
          <w:sz w:val="22"/>
          <w:szCs w:val="22"/>
        </w:rPr>
      </w:pPr>
      <w:r w:rsidRPr="00205C60">
        <w:rPr>
          <w:rFonts w:ascii="Verdana" w:hAnsi="Verdana" w:cs="Arial"/>
          <w:b/>
          <w:sz w:val="22"/>
          <w:szCs w:val="22"/>
        </w:rPr>
        <w:t>R</w:t>
      </w:r>
      <w:r w:rsidR="00B44125" w:rsidRPr="00205C60">
        <w:rPr>
          <w:rFonts w:ascii="Verdana" w:hAnsi="Verdana" w:cs="Arial"/>
          <w:b/>
          <w:sz w:val="22"/>
          <w:szCs w:val="22"/>
        </w:rPr>
        <w:t>iesgo legal</w:t>
      </w:r>
      <w:bookmarkEnd w:id="97"/>
    </w:p>
    <w:p w14:paraId="3CA7E85A" w14:textId="77777777" w:rsidR="00B21EE6" w:rsidRPr="00205C60" w:rsidRDefault="00B21EE6" w:rsidP="00B74B93">
      <w:pPr>
        <w:rPr>
          <w:rFonts w:ascii="Verdana" w:hAnsi="Verdana" w:cs="Arial"/>
          <w:b/>
          <w:sz w:val="22"/>
          <w:szCs w:val="22"/>
        </w:rPr>
      </w:pPr>
    </w:p>
    <w:p w14:paraId="3CA7E85B" w14:textId="77777777" w:rsidR="005E2BB3" w:rsidRPr="00205C60" w:rsidRDefault="00CD768C" w:rsidP="008E5B36">
      <w:pPr>
        <w:jc w:val="both"/>
        <w:rPr>
          <w:rFonts w:ascii="Verdana" w:hAnsi="Verdana" w:cs="Arial"/>
          <w:sz w:val="22"/>
          <w:szCs w:val="22"/>
        </w:rPr>
      </w:pPr>
      <w:r w:rsidRPr="00205C60">
        <w:rPr>
          <w:rFonts w:ascii="Verdana" w:hAnsi="Verdana" w:cs="Arial"/>
          <w:sz w:val="22"/>
          <w:szCs w:val="22"/>
        </w:rPr>
        <w:t xml:space="preserve">Es el riesgo que se puede generar por cambios en las leyes y regulaciones que rigen el mercado, por lo que </w:t>
      </w:r>
      <w:r w:rsidR="00DF3AF0" w:rsidRPr="00205C60">
        <w:rPr>
          <w:rFonts w:ascii="Verdana" w:hAnsi="Verdana" w:cs="Arial"/>
          <w:sz w:val="22"/>
          <w:szCs w:val="22"/>
        </w:rPr>
        <w:t xml:space="preserve">se puede mencionar por ejemplo </w:t>
      </w:r>
      <w:r w:rsidR="005E2BB3" w:rsidRPr="00205C60">
        <w:rPr>
          <w:rFonts w:ascii="Verdana" w:hAnsi="Verdana" w:cs="Arial"/>
          <w:sz w:val="22"/>
          <w:szCs w:val="22"/>
        </w:rPr>
        <w:t xml:space="preserve">posibles </w:t>
      </w:r>
      <w:r w:rsidRPr="00205C60">
        <w:rPr>
          <w:rFonts w:ascii="Verdana" w:hAnsi="Verdana" w:cs="Arial"/>
          <w:sz w:val="22"/>
          <w:szCs w:val="22"/>
        </w:rPr>
        <w:t>cambios en el tratamiento tributario de las emisiones de deuda.</w:t>
      </w:r>
      <w:r w:rsidR="00343460" w:rsidRPr="00205C60">
        <w:rPr>
          <w:rFonts w:ascii="Verdana" w:hAnsi="Verdana" w:cs="Arial"/>
          <w:sz w:val="22"/>
          <w:szCs w:val="22"/>
        </w:rPr>
        <w:t xml:space="preserve"> C</w:t>
      </w:r>
      <w:r w:rsidRPr="00205C60">
        <w:rPr>
          <w:rFonts w:ascii="Verdana" w:hAnsi="Verdana" w:cs="Arial"/>
          <w:sz w:val="22"/>
          <w:szCs w:val="22"/>
        </w:rPr>
        <w:t>onsiste en lo</w:t>
      </w:r>
      <w:r w:rsidR="00507DE4" w:rsidRPr="00205C60">
        <w:rPr>
          <w:rFonts w:ascii="Verdana" w:hAnsi="Verdana" w:cs="Arial"/>
          <w:sz w:val="22"/>
          <w:szCs w:val="22"/>
        </w:rPr>
        <w:t>s</w:t>
      </w:r>
      <w:r w:rsidRPr="00205C60">
        <w:rPr>
          <w:rFonts w:ascii="Verdana" w:hAnsi="Verdana" w:cs="Arial"/>
          <w:sz w:val="22"/>
          <w:szCs w:val="22"/>
        </w:rPr>
        <w:t xml:space="preserve"> posibles perjuicios que podría enfrentar la Compañía como consecuencia de demandas que se deriven de contratos con proveedores, clientes o empresas con las que realiza actividades comerciales o bien por el incumplimiento de las normas jurídicas y administrativas aplicables, todo esto en función de la propia operación de la Compañía.</w:t>
      </w:r>
      <w:r w:rsidR="00241D29" w:rsidRPr="00205C60">
        <w:rPr>
          <w:rFonts w:ascii="Verdana" w:hAnsi="Verdana" w:cs="Arial"/>
          <w:sz w:val="22"/>
          <w:szCs w:val="22"/>
        </w:rPr>
        <w:t xml:space="preserve">  </w:t>
      </w:r>
    </w:p>
    <w:p w14:paraId="3CA7E85C" w14:textId="77777777" w:rsidR="005E2BB3" w:rsidRPr="00205C60" w:rsidRDefault="005E2BB3" w:rsidP="00241D29">
      <w:pPr>
        <w:ind w:left="360"/>
        <w:jc w:val="both"/>
        <w:rPr>
          <w:rFonts w:ascii="Verdana" w:hAnsi="Verdana" w:cs="Arial"/>
          <w:sz w:val="22"/>
          <w:szCs w:val="22"/>
        </w:rPr>
      </w:pPr>
    </w:p>
    <w:p w14:paraId="3CA7E85D" w14:textId="77777777" w:rsidR="005E2BB3" w:rsidRPr="00205C60" w:rsidRDefault="005E2BB3" w:rsidP="008E5B36">
      <w:pPr>
        <w:jc w:val="both"/>
        <w:rPr>
          <w:rFonts w:ascii="Verdana" w:hAnsi="Verdana" w:cs="Arial"/>
          <w:sz w:val="22"/>
          <w:szCs w:val="22"/>
        </w:rPr>
      </w:pPr>
      <w:r w:rsidRPr="00205C60">
        <w:rPr>
          <w:rFonts w:ascii="Verdana" w:hAnsi="Verdana" w:cs="Arial"/>
          <w:sz w:val="22"/>
          <w:szCs w:val="22"/>
        </w:rPr>
        <w:t xml:space="preserve">A manera de ejemplo podrían citarse demandas originadas por los daños causados a equipos de cómputo y luminarias por cambios de voltaje en los transformadores, daños ocasionados a viviendas por explosiones de transformadores de la red eléctrica, daños a artefactos eléctricos por </w:t>
      </w:r>
      <w:r w:rsidR="009B22DC" w:rsidRPr="00205C60">
        <w:rPr>
          <w:rFonts w:ascii="Verdana" w:hAnsi="Verdana" w:cs="Arial"/>
          <w:sz w:val="22"/>
          <w:szCs w:val="22"/>
        </w:rPr>
        <w:t>sobre voltaje</w:t>
      </w:r>
      <w:r w:rsidRPr="00205C60">
        <w:rPr>
          <w:rFonts w:ascii="Verdana" w:hAnsi="Verdana" w:cs="Arial"/>
          <w:sz w:val="22"/>
          <w:szCs w:val="22"/>
        </w:rPr>
        <w:t xml:space="preserve"> de electricidad, daños físicos por descargas eléctrica</w:t>
      </w:r>
      <w:r w:rsidR="00332438" w:rsidRPr="00205C60">
        <w:rPr>
          <w:rFonts w:ascii="Verdana" w:hAnsi="Verdana" w:cs="Arial"/>
          <w:sz w:val="22"/>
          <w:szCs w:val="22"/>
        </w:rPr>
        <w:t>s</w:t>
      </w:r>
      <w:r w:rsidRPr="00205C60">
        <w:rPr>
          <w:rFonts w:ascii="Verdana" w:hAnsi="Verdana" w:cs="Arial"/>
          <w:sz w:val="22"/>
          <w:szCs w:val="22"/>
        </w:rPr>
        <w:t>, perjuicios a la salud ocasionados por la exposición de transformadores eléctricos</w:t>
      </w:r>
      <w:r w:rsidR="004141A4" w:rsidRPr="00205C60">
        <w:rPr>
          <w:rFonts w:ascii="Verdana" w:hAnsi="Verdana" w:cs="Arial"/>
          <w:sz w:val="22"/>
          <w:szCs w:val="22"/>
        </w:rPr>
        <w:t xml:space="preserve"> con aislante tóxico PCB, </w:t>
      </w:r>
      <w:r w:rsidR="00332438" w:rsidRPr="00205C60">
        <w:rPr>
          <w:rFonts w:ascii="Verdana" w:hAnsi="Verdana" w:cs="Arial"/>
          <w:sz w:val="22"/>
          <w:szCs w:val="22"/>
        </w:rPr>
        <w:t xml:space="preserve">reclamos por contratos de obra, rechazo de entregas por trabajos realizados, anulación de actos de adjudicación, </w:t>
      </w:r>
      <w:r w:rsidR="004141A4" w:rsidRPr="00205C60">
        <w:rPr>
          <w:rFonts w:ascii="Verdana" w:hAnsi="Verdana" w:cs="Arial"/>
          <w:sz w:val="22"/>
          <w:szCs w:val="22"/>
        </w:rPr>
        <w:t>entre otros.</w:t>
      </w:r>
    </w:p>
    <w:p w14:paraId="3CA7E85E" w14:textId="77777777" w:rsidR="005E2BB3" w:rsidRPr="00205C60" w:rsidRDefault="005E2BB3" w:rsidP="00241D29">
      <w:pPr>
        <w:ind w:left="360"/>
        <w:jc w:val="both"/>
        <w:rPr>
          <w:rFonts w:ascii="Verdana" w:hAnsi="Verdana" w:cs="Arial"/>
          <w:sz w:val="22"/>
          <w:szCs w:val="22"/>
        </w:rPr>
      </w:pPr>
    </w:p>
    <w:p w14:paraId="3CA7E85F" w14:textId="77777777" w:rsidR="00B44125" w:rsidRPr="00205C60" w:rsidRDefault="00614315" w:rsidP="008E5B36">
      <w:pPr>
        <w:jc w:val="both"/>
        <w:rPr>
          <w:rFonts w:ascii="Verdana" w:hAnsi="Verdana" w:cs="Arial"/>
          <w:sz w:val="22"/>
          <w:szCs w:val="22"/>
        </w:rPr>
      </w:pPr>
      <w:r w:rsidRPr="00205C60">
        <w:rPr>
          <w:rFonts w:ascii="Verdana" w:hAnsi="Verdana" w:cs="Arial"/>
          <w:sz w:val="22"/>
          <w:szCs w:val="22"/>
        </w:rPr>
        <w:lastRenderedPageBreak/>
        <w:t xml:space="preserve">Acciones de ese tipo podrán tener algún impacto en la posición </w:t>
      </w:r>
      <w:r w:rsidR="00332438" w:rsidRPr="00205C60">
        <w:rPr>
          <w:rFonts w:ascii="Verdana" w:hAnsi="Verdana" w:cs="Arial"/>
          <w:sz w:val="22"/>
          <w:szCs w:val="22"/>
        </w:rPr>
        <w:t>financiera actual de la empresa por el pago de daños y perjuicios</w:t>
      </w:r>
      <w:r w:rsidR="005B4289" w:rsidRPr="00205C60">
        <w:rPr>
          <w:rFonts w:ascii="Verdana" w:hAnsi="Verdana" w:cs="Arial"/>
          <w:sz w:val="22"/>
          <w:szCs w:val="22"/>
        </w:rPr>
        <w:t xml:space="preserve"> y afectar la capacidad de pago de las deudas contraídas.</w:t>
      </w:r>
    </w:p>
    <w:p w14:paraId="575458D0" w14:textId="77777777" w:rsidR="00E84FC6" w:rsidRPr="00205C60" w:rsidRDefault="00E84FC6">
      <w:pPr>
        <w:ind w:left="360"/>
        <w:rPr>
          <w:rFonts w:ascii="Verdana" w:hAnsi="Verdana" w:cs="Arial"/>
          <w:sz w:val="22"/>
          <w:szCs w:val="22"/>
        </w:rPr>
      </w:pPr>
    </w:p>
    <w:p w14:paraId="3CA7E862" w14:textId="7B9BB10B" w:rsidR="00B44125" w:rsidRPr="00205C60" w:rsidRDefault="00B44125" w:rsidP="00882F32">
      <w:pPr>
        <w:pStyle w:val="Ttulo2"/>
        <w:numPr>
          <w:ilvl w:val="2"/>
          <w:numId w:val="21"/>
        </w:numPr>
        <w:tabs>
          <w:tab w:val="clear" w:pos="1241"/>
          <w:tab w:val="left" w:pos="708"/>
          <w:tab w:val="left" w:pos="993"/>
        </w:tabs>
        <w:spacing w:line="120" w:lineRule="atLeast"/>
        <w:ind w:right="142"/>
        <w:rPr>
          <w:rFonts w:ascii="Verdana" w:hAnsi="Verdana" w:cs="Arial"/>
          <w:sz w:val="22"/>
          <w:szCs w:val="22"/>
        </w:rPr>
      </w:pPr>
      <w:bookmarkStart w:id="98" w:name="_Toc64699220"/>
      <w:bookmarkStart w:id="99" w:name="_Toc104529457"/>
      <w:r w:rsidRPr="00205C60">
        <w:rPr>
          <w:rFonts w:ascii="Verdana" w:hAnsi="Verdana" w:cs="Arial"/>
          <w:sz w:val="22"/>
          <w:szCs w:val="22"/>
        </w:rPr>
        <w:t>Análisis de indicadores financieros</w:t>
      </w:r>
      <w:bookmarkEnd w:id="98"/>
      <w:bookmarkEnd w:id="99"/>
      <w:r w:rsidR="000C56A6" w:rsidRPr="00205C60">
        <w:rPr>
          <w:rFonts w:ascii="Verdana" w:hAnsi="Verdana" w:cs="Arial"/>
          <w:sz w:val="22"/>
          <w:szCs w:val="22"/>
        </w:rPr>
        <w:t xml:space="preserve"> </w:t>
      </w:r>
    </w:p>
    <w:p w14:paraId="3CA7E863" w14:textId="77777777" w:rsidR="0097061F" w:rsidRPr="00205C60" w:rsidRDefault="0097061F" w:rsidP="0097061F">
      <w:pPr>
        <w:pStyle w:val="Prrafodelista"/>
        <w:ind w:left="720"/>
        <w:rPr>
          <w:rFonts w:ascii="Verdana" w:hAnsi="Verdana"/>
          <w:sz w:val="22"/>
          <w:szCs w:val="22"/>
        </w:rPr>
      </w:pPr>
    </w:p>
    <w:p w14:paraId="3CA7E865" w14:textId="39839488" w:rsidR="00B75DEA" w:rsidRPr="00205C60" w:rsidRDefault="00421E7F" w:rsidP="000E208F">
      <w:pPr>
        <w:autoSpaceDE w:val="0"/>
        <w:autoSpaceDN w:val="0"/>
        <w:adjustRightInd w:val="0"/>
        <w:jc w:val="both"/>
        <w:rPr>
          <w:rFonts w:ascii="Verdana" w:hAnsi="Verdana" w:cs="Arial"/>
          <w:color w:val="C00000"/>
          <w:sz w:val="22"/>
          <w:szCs w:val="22"/>
        </w:rPr>
      </w:pPr>
      <w:r w:rsidRPr="00205C60">
        <w:rPr>
          <w:rFonts w:ascii="Verdana" w:hAnsi="Verdana" w:cs="Arial"/>
          <w:sz w:val="22"/>
          <w:szCs w:val="22"/>
        </w:rPr>
        <w:t xml:space="preserve">En opinión de </w:t>
      </w:r>
      <w:r w:rsidR="00EC17E7" w:rsidRPr="00205C60">
        <w:rPr>
          <w:rFonts w:ascii="Verdana" w:hAnsi="Verdana" w:cs="Arial"/>
          <w:sz w:val="22"/>
          <w:szCs w:val="22"/>
        </w:rPr>
        <w:t>KPMG S.A., firma de auditoría externa que efectuó la auditoría de los estados financieros de la Compañía para el año fiscal que terminó el 31 de diciembre del 20</w:t>
      </w:r>
      <w:r w:rsidR="00223D80" w:rsidRPr="00205C60">
        <w:rPr>
          <w:rFonts w:ascii="Verdana" w:hAnsi="Verdana" w:cs="Arial"/>
          <w:sz w:val="22"/>
          <w:szCs w:val="22"/>
        </w:rPr>
        <w:t>2</w:t>
      </w:r>
      <w:r w:rsidR="00D060BD" w:rsidRPr="00205C60">
        <w:rPr>
          <w:rFonts w:ascii="Verdana" w:hAnsi="Verdana" w:cs="Arial"/>
          <w:sz w:val="22"/>
          <w:szCs w:val="22"/>
        </w:rPr>
        <w:t>2</w:t>
      </w:r>
      <w:r w:rsidR="00EC17E7" w:rsidRPr="00205C60">
        <w:rPr>
          <w:rFonts w:ascii="Verdana" w:hAnsi="Verdana" w:cs="Arial"/>
          <w:sz w:val="22"/>
          <w:szCs w:val="22"/>
        </w:rPr>
        <w:t xml:space="preserve">, </w:t>
      </w:r>
      <w:r w:rsidR="003F001F" w:rsidRPr="00205C60">
        <w:rPr>
          <w:rFonts w:ascii="Verdana" w:hAnsi="Verdana" w:cs="Arial"/>
          <w:sz w:val="22"/>
          <w:szCs w:val="22"/>
        </w:rPr>
        <w:t xml:space="preserve">los estados financieros </w:t>
      </w:r>
      <w:r w:rsidR="003F001F" w:rsidRPr="00205C60">
        <w:rPr>
          <w:rFonts w:ascii="Verdana" w:hAnsi="Verdana" w:cs="Arial"/>
          <w:sz w:val="22"/>
          <w:szCs w:val="22"/>
          <w:lang w:val="es-CR" w:eastAsia="es-CR"/>
        </w:rPr>
        <w:t xml:space="preserve">presentan razonablemente en todos sus aspectos </w:t>
      </w:r>
      <w:r w:rsidR="00517F8F" w:rsidRPr="00205C60">
        <w:rPr>
          <w:rFonts w:ascii="Verdana" w:hAnsi="Verdana" w:cs="Arial"/>
          <w:sz w:val="22"/>
          <w:szCs w:val="22"/>
          <w:lang w:val="es-CR" w:eastAsia="es-CR"/>
        </w:rPr>
        <w:t>materiales</w:t>
      </w:r>
      <w:r w:rsidR="003F001F" w:rsidRPr="00205C60">
        <w:rPr>
          <w:rFonts w:ascii="Verdana" w:hAnsi="Verdana" w:cs="Arial"/>
          <w:sz w:val="22"/>
          <w:szCs w:val="22"/>
          <w:lang w:val="es-CR" w:eastAsia="es-CR"/>
        </w:rPr>
        <w:t>, la situación financiera de la Compañía Nacional de Fuerza y Luz, S.A.</w:t>
      </w:r>
      <w:r w:rsidR="00BC2283" w:rsidRPr="00205C60">
        <w:rPr>
          <w:rFonts w:ascii="Verdana" w:hAnsi="Verdana" w:cs="Arial"/>
          <w:sz w:val="22"/>
          <w:szCs w:val="22"/>
          <w:lang w:val="es-CR" w:eastAsia="es-CR"/>
        </w:rPr>
        <w:t>, su</w:t>
      </w:r>
      <w:r w:rsidR="003F001F" w:rsidRPr="00205C60">
        <w:rPr>
          <w:rFonts w:ascii="Verdana" w:hAnsi="Verdana" w:cs="Arial"/>
          <w:sz w:val="22"/>
          <w:szCs w:val="22"/>
          <w:lang w:val="es-CR" w:eastAsia="es-CR"/>
        </w:rPr>
        <w:t xml:space="preserve"> desempeño financiero y sus flujos de efectivo</w:t>
      </w:r>
      <w:r w:rsidR="00517F8F" w:rsidRPr="00205C60">
        <w:rPr>
          <w:rFonts w:ascii="Verdana" w:hAnsi="Verdana" w:cs="Arial"/>
          <w:sz w:val="22"/>
          <w:szCs w:val="22"/>
          <w:lang w:val="es-CR" w:eastAsia="es-CR"/>
        </w:rPr>
        <w:t xml:space="preserve"> por el año terminado</w:t>
      </w:r>
      <w:r w:rsidR="008C5820" w:rsidRPr="00205C60">
        <w:rPr>
          <w:rFonts w:ascii="Verdana" w:hAnsi="Verdana" w:cs="Arial"/>
          <w:sz w:val="22"/>
          <w:szCs w:val="22"/>
          <w:lang w:val="es-CR" w:eastAsia="es-CR"/>
        </w:rPr>
        <w:t xml:space="preserve"> en esa fecha</w:t>
      </w:r>
      <w:r w:rsidR="003F001F" w:rsidRPr="00205C60">
        <w:rPr>
          <w:rFonts w:ascii="Verdana" w:hAnsi="Verdana" w:cs="Arial"/>
          <w:sz w:val="22"/>
          <w:szCs w:val="22"/>
          <w:lang w:val="es-CR" w:eastAsia="es-CR"/>
        </w:rPr>
        <w:t>, de conformidad con las Normas Internacionales de Información Financiera</w:t>
      </w:r>
      <w:r w:rsidR="00AF4074" w:rsidRPr="00205C60">
        <w:rPr>
          <w:rFonts w:ascii="Verdana" w:hAnsi="Verdana" w:cs="Arial"/>
          <w:sz w:val="22"/>
          <w:szCs w:val="22"/>
          <w:lang w:val="es-CR" w:eastAsia="es-CR"/>
        </w:rPr>
        <w:t xml:space="preserve"> (NIIF)</w:t>
      </w:r>
      <w:r w:rsidR="00F95312" w:rsidRPr="00205C60">
        <w:rPr>
          <w:rFonts w:ascii="Verdana" w:hAnsi="Verdana" w:cs="Arial"/>
          <w:sz w:val="22"/>
          <w:szCs w:val="22"/>
          <w:lang w:val="es-CR" w:eastAsia="es-CR"/>
        </w:rPr>
        <w:t>.</w:t>
      </w:r>
    </w:p>
    <w:p w14:paraId="3CA7E866" w14:textId="77777777" w:rsidR="000E208F" w:rsidRPr="00205C60" w:rsidRDefault="000E208F" w:rsidP="000E208F">
      <w:pPr>
        <w:autoSpaceDE w:val="0"/>
        <w:autoSpaceDN w:val="0"/>
        <w:adjustRightInd w:val="0"/>
        <w:jc w:val="both"/>
        <w:rPr>
          <w:rFonts w:ascii="Verdana" w:hAnsi="Verdana" w:cs="Arial"/>
          <w:sz w:val="22"/>
          <w:szCs w:val="22"/>
        </w:rPr>
      </w:pPr>
    </w:p>
    <w:p w14:paraId="3CA7E867" w14:textId="43F508EF" w:rsidR="00AD30DE" w:rsidRPr="00205C60" w:rsidRDefault="00E55D4E" w:rsidP="004C74F5">
      <w:pPr>
        <w:autoSpaceDE w:val="0"/>
        <w:autoSpaceDN w:val="0"/>
        <w:adjustRightInd w:val="0"/>
        <w:jc w:val="both"/>
        <w:rPr>
          <w:rFonts w:ascii="Verdana" w:hAnsi="Verdana" w:cs="Arial"/>
          <w:sz w:val="22"/>
          <w:szCs w:val="22"/>
        </w:rPr>
      </w:pPr>
      <w:r w:rsidRPr="00205C60">
        <w:rPr>
          <w:rFonts w:ascii="Verdana" w:hAnsi="Verdana" w:cs="Arial"/>
          <w:color w:val="222222"/>
          <w:sz w:val="22"/>
          <w:szCs w:val="22"/>
          <w:shd w:val="clear" w:color="auto" w:fill="FFFFFF"/>
        </w:rPr>
        <w:t>La CNFL logró</w:t>
      </w:r>
      <w:r w:rsidR="00D02C28" w:rsidRPr="00205C60">
        <w:rPr>
          <w:rFonts w:ascii="Verdana" w:hAnsi="Verdana" w:cs="Arial"/>
          <w:color w:val="222222"/>
          <w:sz w:val="22"/>
          <w:szCs w:val="22"/>
          <w:shd w:val="clear" w:color="auto" w:fill="FFFFFF"/>
        </w:rPr>
        <w:t xml:space="preserve"> este año</w:t>
      </w:r>
      <w:r w:rsidRPr="00205C60">
        <w:rPr>
          <w:rFonts w:ascii="Verdana" w:hAnsi="Verdana" w:cs="Arial"/>
          <w:color w:val="222222"/>
          <w:sz w:val="22"/>
          <w:szCs w:val="22"/>
          <w:shd w:val="clear" w:color="auto" w:fill="FFFFFF"/>
        </w:rPr>
        <w:t xml:space="preserve">, obtener estados financieros auditados con la denominación </w:t>
      </w:r>
      <w:r w:rsidRPr="00205C60">
        <w:rPr>
          <w:rFonts w:ascii="Verdana" w:hAnsi="Verdana" w:cs="Arial"/>
          <w:b/>
          <w:bCs/>
          <w:color w:val="222222"/>
          <w:sz w:val="22"/>
          <w:szCs w:val="22"/>
          <w:shd w:val="clear" w:color="auto" w:fill="FFFFFF"/>
        </w:rPr>
        <w:t>“Opinión Limpia”</w:t>
      </w:r>
      <w:r w:rsidRPr="00205C60">
        <w:rPr>
          <w:rFonts w:ascii="Verdana" w:hAnsi="Verdana" w:cs="Arial"/>
          <w:color w:val="222222"/>
          <w:sz w:val="22"/>
          <w:szCs w:val="22"/>
          <w:shd w:val="clear" w:color="auto" w:fill="FFFFFF"/>
        </w:rPr>
        <w:t xml:space="preserve">, lo que quiere decir que la empresa auditora no tuvo observaciones con </w:t>
      </w:r>
      <w:r w:rsidR="00FB6CA7" w:rsidRPr="00205C60">
        <w:rPr>
          <w:rFonts w:ascii="Verdana" w:hAnsi="Verdana" w:cs="Arial"/>
          <w:color w:val="222222"/>
          <w:sz w:val="22"/>
          <w:szCs w:val="22"/>
          <w:shd w:val="clear" w:color="auto" w:fill="FFFFFF"/>
        </w:rPr>
        <w:t xml:space="preserve">respecto al cumplimiento de </w:t>
      </w:r>
      <w:r w:rsidRPr="00205C60">
        <w:rPr>
          <w:rFonts w:ascii="Verdana" w:hAnsi="Verdana" w:cs="Arial"/>
          <w:color w:val="222222"/>
          <w:sz w:val="22"/>
          <w:szCs w:val="22"/>
          <w:shd w:val="clear" w:color="auto" w:fill="FFFFFF"/>
        </w:rPr>
        <w:t>la normativa NIIF.</w:t>
      </w:r>
    </w:p>
    <w:p w14:paraId="3CA7E868" w14:textId="733F7A13" w:rsidR="004C74F5" w:rsidRPr="00205C60" w:rsidRDefault="004C74F5" w:rsidP="004C74F5">
      <w:pPr>
        <w:autoSpaceDE w:val="0"/>
        <w:autoSpaceDN w:val="0"/>
        <w:adjustRightInd w:val="0"/>
        <w:jc w:val="both"/>
        <w:rPr>
          <w:rFonts w:ascii="Verdana" w:hAnsi="Verdana" w:cs="Arial"/>
          <w:sz w:val="22"/>
          <w:szCs w:val="22"/>
        </w:rPr>
      </w:pPr>
    </w:p>
    <w:p w14:paraId="3CA7E869" w14:textId="77777777" w:rsidR="004C74F5" w:rsidRPr="00205C60" w:rsidRDefault="004C74F5" w:rsidP="004C74F5">
      <w:pPr>
        <w:autoSpaceDE w:val="0"/>
        <w:autoSpaceDN w:val="0"/>
        <w:adjustRightInd w:val="0"/>
        <w:jc w:val="both"/>
        <w:rPr>
          <w:rFonts w:ascii="Verdana" w:hAnsi="Verdana" w:cs="Arial"/>
          <w:sz w:val="22"/>
          <w:szCs w:val="22"/>
        </w:rPr>
      </w:pPr>
    </w:p>
    <w:p w14:paraId="3CA7E86A" w14:textId="77777777" w:rsidR="00B44125" w:rsidRPr="00205C60" w:rsidRDefault="005A0DB4" w:rsidP="00882F32">
      <w:pPr>
        <w:pStyle w:val="Ttulo2"/>
        <w:numPr>
          <w:ilvl w:val="3"/>
          <w:numId w:val="21"/>
        </w:numPr>
        <w:tabs>
          <w:tab w:val="clear" w:pos="1241"/>
          <w:tab w:val="left" w:pos="993"/>
        </w:tabs>
        <w:spacing w:line="120" w:lineRule="atLeast"/>
        <w:ind w:right="142"/>
        <w:rPr>
          <w:rFonts w:ascii="Verdana" w:hAnsi="Verdana" w:cs="Arial"/>
          <w:sz w:val="22"/>
          <w:szCs w:val="22"/>
        </w:rPr>
      </w:pPr>
      <w:bookmarkStart w:id="100" w:name="_Toc104529458"/>
      <w:r w:rsidRPr="00205C60">
        <w:rPr>
          <w:rFonts w:ascii="Verdana" w:hAnsi="Verdana" w:cs="Arial"/>
          <w:sz w:val="22"/>
          <w:szCs w:val="22"/>
        </w:rPr>
        <w:t>Índices</w:t>
      </w:r>
      <w:r w:rsidR="00B44125" w:rsidRPr="00205C60">
        <w:rPr>
          <w:rFonts w:ascii="Verdana" w:hAnsi="Verdana" w:cs="Arial"/>
          <w:sz w:val="22"/>
          <w:szCs w:val="22"/>
        </w:rPr>
        <w:t xml:space="preserve"> de liquidez</w:t>
      </w:r>
      <w:bookmarkEnd w:id="100"/>
    </w:p>
    <w:p w14:paraId="3CA7E86B" w14:textId="77777777" w:rsidR="0097061F" w:rsidRPr="00205C60" w:rsidRDefault="0097061F" w:rsidP="0097061F">
      <w:pPr>
        <w:rPr>
          <w:rFonts w:ascii="Verdana" w:hAnsi="Verdana"/>
          <w:sz w:val="22"/>
          <w:szCs w:val="22"/>
        </w:rPr>
      </w:pPr>
    </w:p>
    <w:p w14:paraId="3CA7E86D" w14:textId="77777777" w:rsidR="00B44125" w:rsidRPr="00205C60" w:rsidRDefault="00B44125">
      <w:pPr>
        <w:rPr>
          <w:rFonts w:ascii="Verdana" w:hAnsi="Verdana" w:cs="Arial"/>
          <w:sz w:val="22"/>
          <w:szCs w:val="22"/>
        </w:rPr>
      </w:pPr>
      <w:r w:rsidRPr="00205C60">
        <w:rPr>
          <w:rFonts w:ascii="Verdana" w:hAnsi="Verdana" w:cs="Arial"/>
          <w:sz w:val="22"/>
          <w:szCs w:val="22"/>
        </w:rPr>
        <w:t>Miden la capacidad de la Empresa para cumplir con sus obligaciones a corto plazo a medida que éstas vencen.</w:t>
      </w:r>
    </w:p>
    <w:p w14:paraId="3CA7E86E" w14:textId="77777777" w:rsidR="00966C4C" w:rsidRPr="00205C60" w:rsidRDefault="00966C4C">
      <w:pPr>
        <w:ind w:left="708"/>
        <w:rPr>
          <w:rFonts w:ascii="Verdana" w:hAnsi="Verdana" w:cs="Arial"/>
          <w:b/>
          <w:sz w:val="22"/>
          <w:szCs w:val="22"/>
        </w:rPr>
      </w:pPr>
    </w:p>
    <w:p w14:paraId="3CA7E870" w14:textId="42076A4D" w:rsidR="00B44125" w:rsidRPr="00205C60" w:rsidRDefault="005532B5" w:rsidP="00882F32">
      <w:pPr>
        <w:pStyle w:val="Prrafodelista"/>
        <w:numPr>
          <w:ilvl w:val="0"/>
          <w:numId w:val="25"/>
        </w:numPr>
        <w:rPr>
          <w:rFonts w:ascii="Verdana" w:hAnsi="Verdana" w:cs="Arial"/>
          <w:b/>
          <w:sz w:val="22"/>
          <w:szCs w:val="22"/>
        </w:rPr>
      </w:pPr>
      <w:r w:rsidRPr="00205C60">
        <w:rPr>
          <w:rFonts w:ascii="Verdana" w:hAnsi="Verdana" w:cs="Arial"/>
          <w:b/>
          <w:sz w:val="22"/>
          <w:szCs w:val="22"/>
        </w:rPr>
        <w:t>Activo Circulante a Pasivo Circulante</w:t>
      </w:r>
      <w:r w:rsidR="001B5DF4" w:rsidRPr="00205C60">
        <w:rPr>
          <w:rFonts w:ascii="Verdana" w:hAnsi="Verdana" w:cs="Arial"/>
          <w:b/>
          <w:sz w:val="22"/>
          <w:szCs w:val="22"/>
        </w:rPr>
        <w:t xml:space="preserve"> </w:t>
      </w:r>
    </w:p>
    <w:p w14:paraId="3CA7E871" w14:textId="77777777" w:rsidR="00966C4C" w:rsidRPr="00205C60" w:rsidRDefault="00966C4C" w:rsidP="00514EB8">
      <w:pPr>
        <w:rPr>
          <w:rFonts w:ascii="Verdana" w:hAnsi="Verdana" w:cs="Arial"/>
          <w:b/>
          <w:sz w:val="22"/>
          <w:szCs w:val="22"/>
        </w:rPr>
      </w:pPr>
    </w:p>
    <w:tbl>
      <w:tblPr>
        <w:tblW w:w="42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89"/>
        <w:gridCol w:w="1458"/>
        <w:gridCol w:w="1458"/>
        <w:gridCol w:w="1455"/>
      </w:tblGrid>
      <w:tr w:rsidR="005B6815" w:rsidRPr="00205C60" w14:paraId="3D810CBD" w14:textId="77777777" w:rsidTr="00F64FB2">
        <w:trPr>
          <w:trHeight w:val="255"/>
          <w:jc w:val="center"/>
        </w:trPr>
        <w:tc>
          <w:tcPr>
            <w:tcW w:w="2146" w:type="pct"/>
            <w:shd w:val="clear" w:color="auto" w:fill="auto"/>
            <w:noWrap/>
            <w:vAlign w:val="center"/>
          </w:tcPr>
          <w:p w14:paraId="6AE0C24D" w14:textId="77777777" w:rsidR="005B6815" w:rsidRPr="00205C60" w:rsidRDefault="005B6815" w:rsidP="005B6815">
            <w:pPr>
              <w:jc w:val="center"/>
              <w:rPr>
                <w:rFonts w:ascii="Verdana" w:hAnsi="Verdana" w:cs="Arial"/>
                <w:b/>
                <w:bCs/>
                <w:sz w:val="22"/>
                <w:szCs w:val="22"/>
              </w:rPr>
            </w:pPr>
            <w:r w:rsidRPr="00205C60">
              <w:rPr>
                <w:rFonts w:ascii="Verdana" w:hAnsi="Verdana" w:cs="Arial"/>
                <w:b/>
                <w:bCs/>
                <w:sz w:val="22"/>
                <w:szCs w:val="22"/>
              </w:rPr>
              <w:t>(En miles de colones)</w:t>
            </w:r>
          </w:p>
        </w:tc>
        <w:tc>
          <w:tcPr>
            <w:tcW w:w="952" w:type="pct"/>
          </w:tcPr>
          <w:p w14:paraId="4B8B05C0" w14:textId="28228918" w:rsidR="005B6815" w:rsidRPr="00205C60" w:rsidRDefault="005B6815" w:rsidP="005B6815">
            <w:pPr>
              <w:jc w:val="center"/>
              <w:rPr>
                <w:rFonts w:ascii="Verdana" w:hAnsi="Verdana" w:cs="Arial"/>
                <w:b/>
                <w:bCs/>
                <w:sz w:val="22"/>
                <w:szCs w:val="22"/>
              </w:rPr>
            </w:pPr>
            <w:r w:rsidRPr="00205C60">
              <w:rPr>
                <w:rFonts w:ascii="Verdana" w:hAnsi="Verdana" w:cs="Arial"/>
                <w:b/>
                <w:bCs/>
                <w:sz w:val="22"/>
                <w:szCs w:val="22"/>
              </w:rPr>
              <w:t>2020</w:t>
            </w:r>
          </w:p>
        </w:tc>
        <w:tc>
          <w:tcPr>
            <w:tcW w:w="952" w:type="pct"/>
          </w:tcPr>
          <w:p w14:paraId="2F68614E" w14:textId="15E36D52" w:rsidR="005B6815" w:rsidRPr="00205C60" w:rsidRDefault="005B6815" w:rsidP="005B6815">
            <w:pPr>
              <w:jc w:val="center"/>
              <w:rPr>
                <w:rFonts w:ascii="Verdana" w:hAnsi="Verdana" w:cs="Arial"/>
                <w:b/>
                <w:bCs/>
                <w:sz w:val="22"/>
                <w:szCs w:val="22"/>
              </w:rPr>
            </w:pPr>
            <w:r w:rsidRPr="00205C60">
              <w:rPr>
                <w:rFonts w:ascii="Verdana" w:hAnsi="Verdana" w:cs="Arial"/>
                <w:b/>
                <w:bCs/>
                <w:sz w:val="22"/>
                <w:szCs w:val="22"/>
              </w:rPr>
              <w:t>2021</w:t>
            </w:r>
          </w:p>
        </w:tc>
        <w:tc>
          <w:tcPr>
            <w:tcW w:w="951" w:type="pct"/>
          </w:tcPr>
          <w:p w14:paraId="5269BCE9" w14:textId="06DDDDEE" w:rsidR="005B6815" w:rsidRPr="00205C60" w:rsidRDefault="005B6815" w:rsidP="005B6815">
            <w:pPr>
              <w:jc w:val="center"/>
              <w:rPr>
                <w:rFonts w:ascii="Verdana" w:hAnsi="Verdana" w:cs="Arial"/>
                <w:b/>
                <w:bCs/>
                <w:sz w:val="22"/>
                <w:szCs w:val="22"/>
              </w:rPr>
            </w:pPr>
            <w:r w:rsidRPr="00205C60">
              <w:rPr>
                <w:rFonts w:ascii="Verdana" w:hAnsi="Verdana" w:cs="Arial"/>
                <w:b/>
                <w:bCs/>
                <w:sz w:val="22"/>
                <w:szCs w:val="22"/>
              </w:rPr>
              <w:t>2022</w:t>
            </w:r>
          </w:p>
        </w:tc>
      </w:tr>
      <w:tr w:rsidR="005B6815" w:rsidRPr="00205C60" w14:paraId="2242367B" w14:textId="77777777" w:rsidTr="00F64FB2">
        <w:trPr>
          <w:trHeight w:val="255"/>
          <w:jc w:val="center"/>
        </w:trPr>
        <w:tc>
          <w:tcPr>
            <w:tcW w:w="2146" w:type="pct"/>
            <w:shd w:val="clear" w:color="auto" w:fill="auto"/>
            <w:noWrap/>
            <w:vAlign w:val="center"/>
          </w:tcPr>
          <w:p w14:paraId="1AD27D30" w14:textId="77777777" w:rsidR="005B6815" w:rsidRPr="00205C60" w:rsidRDefault="005B6815" w:rsidP="005B6815">
            <w:pPr>
              <w:rPr>
                <w:rFonts w:ascii="Verdana" w:hAnsi="Verdana" w:cs="Arial"/>
                <w:bCs/>
                <w:sz w:val="22"/>
                <w:szCs w:val="22"/>
              </w:rPr>
            </w:pPr>
            <w:r w:rsidRPr="00205C60">
              <w:rPr>
                <w:rFonts w:ascii="Verdana" w:hAnsi="Verdana" w:cs="Arial"/>
                <w:bCs/>
                <w:sz w:val="22"/>
                <w:szCs w:val="22"/>
              </w:rPr>
              <w:t>Activo circulante</w:t>
            </w:r>
          </w:p>
        </w:tc>
        <w:tc>
          <w:tcPr>
            <w:tcW w:w="952" w:type="pct"/>
          </w:tcPr>
          <w:p w14:paraId="18195BB4" w14:textId="135239E9" w:rsidR="005B6815" w:rsidRPr="00205C60" w:rsidRDefault="005B6815" w:rsidP="005B6815">
            <w:pPr>
              <w:jc w:val="center"/>
              <w:rPr>
                <w:rFonts w:ascii="Verdana" w:hAnsi="Verdana" w:cs="Arial"/>
                <w:bCs/>
                <w:sz w:val="22"/>
                <w:szCs w:val="22"/>
              </w:rPr>
            </w:pPr>
            <w:r w:rsidRPr="00205C60">
              <w:rPr>
                <w:rFonts w:ascii="Verdana" w:hAnsi="Verdana" w:cs="Arial"/>
                <w:bCs/>
                <w:sz w:val="22"/>
                <w:szCs w:val="22"/>
              </w:rPr>
              <w:t>44.615.802</w:t>
            </w:r>
          </w:p>
        </w:tc>
        <w:tc>
          <w:tcPr>
            <w:tcW w:w="952" w:type="pct"/>
          </w:tcPr>
          <w:p w14:paraId="1FDFC3E3" w14:textId="7701F510" w:rsidR="005B6815" w:rsidRPr="00205C60" w:rsidRDefault="005B6815" w:rsidP="005B6815">
            <w:pPr>
              <w:jc w:val="center"/>
              <w:rPr>
                <w:rFonts w:ascii="Verdana" w:hAnsi="Verdana" w:cs="Arial"/>
                <w:bCs/>
                <w:sz w:val="22"/>
                <w:szCs w:val="22"/>
              </w:rPr>
            </w:pPr>
            <w:r w:rsidRPr="00205C60">
              <w:rPr>
                <w:rFonts w:ascii="Verdana" w:hAnsi="Verdana" w:cs="Arial"/>
                <w:bCs/>
                <w:sz w:val="22"/>
                <w:szCs w:val="22"/>
              </w:rPr>
              <w:t>34.980.053</w:t>
            </w:r>
          </w:p>
        </w:tc>
        <w:tc>
          <w:tcPr>
            <w:tcW w:w="951" w:type="pct"/>
          </w:tcPr>
          <w:p w14:paraId="666A977B" w14:textId="0C9C5B6A" w:rsidR="005B6815" w:rsidRPr="00205C60" w:rsidRDefault="005B6815" w:rsidP="005B6815">
            <w:pPr>
              <w:jc w:val="center"/>
              <w:rPr>
                <w:rFonts w:ascii="Verdana" w:hAnsi="Verdana" w:cs="Arial"/>
                <w:bCs/>
                <w:sz w:val="22"/>
                <w:szCs w:val="22"/>
              </w:rPr>
            </w:pPr>
            <w:r w:rsidRPr="00205C60">
              <w:rPr>
                <w:rFonts w:ascii="Verdana" w:hAnsi="Verdana" w:cs="Arial"/>
                <w:bCs/>
                <w:sz w:val="22"/>
                <w:szCs w:val="22"/>
              </w:rPr>
              <w:t>53.277.238</w:t>
            </w:r>
          </w:p>
        </w:tc>
      </w:tr>
      <w:tr w:rsidR="005B6815" w:rsidRPr="00205C60" w14:paraId="5ED15F63" w14:textId="77777777" w:rsidTr="00F64FB2">
        <w:trPr>
          <w:trHeight w:val="255"/>
          <w:jc w:val="center"/>
        </w:trPr>
        <w:tc>
          <w:tcPr>
            <w:tcW w:w="2146" w:type="pct"/>
            <w:shd w:val="clear" w:color="auto" w:fill="auto"/>
            <w:noWrap/>
            <w:vAlign w:val="center"/>
          </w:tcPr>
          <w:p w14:paraId="6130DCA1" w14:textId="77777777" w:rsidR="005B6815" w:rsidRPr="00205C60" w:rsidRDefault="005B6815" w:rsidP="005B6815">
            <w:pPr>
              <w:rPr>
                <w:rFonts w:ascii="Verdana" w:hAnsi="Verdana" w:cs="Arial"/>
                <w:sz w:val="22"/>
                <w:szCs w:val="22"/>
              </w:rPr>
            </w:pPr>
            <w:r w:rsidRPr="00205C60">
              <w:rPr>
                <w:rFonts w:ascii="Verdana" w:hAnsi="Verdana" w:cs="Arial"/>
                <w:sz w:val="22"/>
                <w:szCs w:val="22"/>
              </w:rPr>
              <w:t>Pasivo circulante</w:t>
            </w:r>
          </w:p>
        </w:tc>
        <w:tc>
          <w:tcPr>
            <w:tcW w:w="952" w:type="pct"/>
          </w:tcPr>
          <w:p w14:paraId="2A8D056D" w14:textId="6673135A" w:rsidR="005B6815" w:rsidRPr="00205C60" w:rsidRDefault="005B6815" w:rsidP="005B6815">
            <w:pPr>
              <w:jc w:val="center"/>
              <w:rPr>
                <w:rFonts w:ascii="Verdana" w:hAnsi="Verdana" w:cs="Arial"/>
                <w:sz w:val="22"/>
                <w:szCs w:val="22"/>
              </w:rPr>
            </w:pPr>
            <w:r w:rsidRPr="00205C60">
              <w:rPr>
                <w:rFonts w:ascii="Verdana" w:hAnsi="Verdana" w:cs="Arial"/>
                <w:sz w:val="22"/>
                <w:szCs w:val="22"/>
              </w:rPr>
              <w:t>90.164.678</w:t>
            </w:r>
          </w:p>
        </w:tc>
        <w:tc>
          <w:tcPr>
            <w:tcW w:w="952" w:type="pct"/>
          </w:tcPr>
          <w:p w14:paraId="7F15E084" w14:textId="737AAD07" w:rsidR="005B6815" w:rsidRPr="00205C60" w:rsidRDefault="005B6815" w:rsidP="005B6815">
            <w:pPr>
              <w:jc w:val="center"/>
              <w:rPr>
                <w:rFonts w:ascii="Verdana" w:hAnsi="Verdana" w:cs="Arial"/>
                <w:sz w:val="22"/>
                <w:szCs w:val="22"/>
              </w:rPr>
            </w:pPr>
            <w:r w:rsidRPr="00205C60">
              <w:rPr>
                <w:rFonts w:ascii="Verdana" w:hAnsi="Verdana" w:cs="Arial"/>
                <w:sz w:val="22"/>
                <w:szCs w:val="22"/>
              </w:rPr>
              <w:t>42.493.959</w:t>
            </w:r>
          </w:p>
        </w:tc>
        <w:tc>
          <w:tcPr>
            <w:tcW w:w="951" w:type="pct"/>
          </w:tcPr>
          <w:p w14:paraId="05531175" w14:textId="3B78AACD" w:rsidR="005B6815" w:rsidRPr="00205C60" w:rsidRDefault="005B6815" w:rsidP="005B6815">
            <w:pPr>
              <w:jc w:val="center"/>
              <w:rPr>
                <w:rFonts w:ascii="Verdana" w:hAnsi="Verdana" w:cs="Arial"/>
                <w:sz w:val="22"/>
                <w:szCs w:val="22"/>
              </w:rPr>
            </w:pPr>
            <w:r w:rsidRPr="00205C60">
              <w:rPr>
                <w:rFonts w:ascii="Verdana" w:hAnsi="Verdana" w:cs="Arial"/>
                <w:sz w:val="22"/>
                <w:szCs w:val="22"/>
              </w:rPr>
              <w:t>60.059.011</w:t>
            </w:r>
          </w:p>
        </w:tc>
      </w:tr>
      <w:tr w:rsidR="005B6815" w:rsidRPr="00205C60" w14:paraId="50CB056D" w14:textId="77777777" w:rsidTr="00F64FB2">
        <w:trPr>
          <w:trHeight w:val="255"/>
          <w:jc w:val="center"/>
        </w:trPr>
        <w:tc>
          <w:tcPr>
            <w:tcW w:w="2146" w:type="pct"/>
            <w:shd w:val="clear" w:color="auto" w:fill="auto"/>
            <w:noWrap/>
            <w:vAlign w:val="center"/>
          </w:tcPr>
          <w:p w14:paraId="21454769" w14:textId="77777777" w:rsidR="005B6815" w:rsidRPr="00205C60" w:rsidRDefault="005B6815" w:rsidP="005B6815">
            <w:pPr>
              <w:rPr>
                <w:rFonts w:ascii="Verdana" w:hAnsi="Verdana" w:cs="Arial"/>
                <w:b/>
                <w:sz w:val="22"/>
                <w:szCs w:val="22"/>
              </w:rPr>
            </w:pPr>
            <w:r w:rsidRPr="00205C60">
              <w:rPr>
                <w:rFonts w:ascii="Verdana" w:hAnsi="Verdana" w:cs="Arial"/>
                <w:b/>
                <w:sz w:val="22"/>
                <w:szCs w:val="22"/>
              </w:rPr>
              <w:t>Razón circulante (veces)</w:t>
            </w:r>
          </w:p>
        </w:tc>
        <w:tc>
          <w:tcPr>
            <w:tcW w:w="952" w:type="pct"/>
          </w:tcPr>
          <w:p w14:paraId="79D156F1" w14:textId="52EBDB2B" w:rsidR="005B6815" w:rsidRPr="00205C60" w:rsidRDefault="005B6815" w:rsidP="005B6815">
            <w:pPr>
              <w:jc w:val="center"/>
              <w:rPr>
                <w:rFonts w:ascii="Verdana" w:hAnsi="Verdana" w:cs="Arial"/>
                <w:b/>
                <w:sz w:val="22"/>
                <w:szCs w:val="22"/>
              </w:rPr>
            </w:pPr>
            <w:r w:rsidRPr="00205C60">
              <w:rPr>
                <w:rFonts w:ascii="Verdana" w:hAnsi="Verdana" w:cs="Arial"/>
                <w:b/>
                <w:sz w:val="22"/>
                <w:szCs w:val="22"/>
              </w:rPr>
              <w:t>0,49</w:t>
            </w:r>
          </w:p>
        </w:tc>
        <w:tc>
          <w:tcPr>
            <w:tcW w:w="952" w:type="pct"/>
          </w:tcPr>
          <w:p w14:paraId="6F01468C" w14:textId="6F9C4CFA" w:rsidR="005B6815" w:rsidRPr="00205C60" w:rsidRDefault="005B6815" w:rsidP="005B6815">
            <w:pPr>
              <w:jc w:val="center"/>
              <w:rPr>
                <w:rFonts w:ascii="Verdana" w:hAnsi="Verdana" w:cs="Arial"/>
                <w:b/>
                <w:sz w:val="22"/>
                <w:szCs w:val="22"/>
              </w:rPr>
            </w:pPr>
            <w:r w:rsidRPr="00205C60">
              <w:rPr>
                <w:rFonts w:ascii="Verdana" w:hAnsi="Verdana" w:cs="Arial"/>
                <w:b/>
                <w:sz w:val="22"/>
                <w:szCs w:val="22"/>
              </w:rPr>
              <w:t>0,82</w:t>
            </w:r>
          </w:p>
        </w:tc>
        <w:tc>
          <w:tcPr>
            <w:tcW w:w="951" w:type="pct"/>
          </w:tcPr>
          <w:p w14:paraId="1EFC5163" w14:textId="0D3D453B" w:rsidR="005B6815" w:rsidRPr="00205C60" w:rsidRDefault="005B6815" w:rsidP="005B6815">
            <w:pPr>
              <w:jc w:val="center"/>
              <w:rPr>
                <w:rFonts w:ascii="Verdana" w:hAnsi="Verdana" w:cs="Arial"/>
                <w:b/>
                <w:sz w:val="22"/>
                <w:szCs w:val="22"/>
              </w:rPr>
            </w:pPr>
            <w:r w:rsidRPr="00205C60">
              <w:rPr>
                <w:rFonts w:ascii="Verdana" w:hAnsi="Verdana" w:cs="Arial"/>
                <w:b/>
                <w:sz w:val="22"/>
                <w:szCs w:val="22"/>
              </w:rPr>
              <w:t>0,89</w:t>
            </w:r>
          </w:p>
        </w:tc>
      </w:tr>
    </w:tbl>
    <w:p w14:paraId="165F8E3F" w14:textId="77777777" w:rsidR="005B6815" w:rsidRPr="00205C60" w:rsidRDefault="005B6815" w:rsidP="007072E5">
      <w:pPr>
        <w:jc w:val="both"/>
        <w:rPr>
          <w:rFonts w:ascii="Verdana" w:hAnsi="Verdana" w:cs="Arial"/>
          <w:sz w:val="22"/>
          <w:szCs w:val="22"/>
        </w:rPr>
      </w:pPr>
    </w:p>
    <w:p w14:paraId="3CA7E888" w14:textId="1B6D1B92" w:rsidR="00B0648D" w:rsidRPr="00205C60" w:rsidRDefault="00701CD1" w:rsidP="007072E5">
      <w:pPr>
        <w:jc w:val="both"/>
        <w:rPr>
          <w:rFonts w:ascii="Verdana" w:hAnsi="Verdana" w:cs="Arial"/>
          <w:sz w:val="22"/>
          <w:szCs w:val="22"/>
        </w:rPr>
      </w:pPr>
      <w:r w:rsidRPr="00205C60">
        <w:rPr>
          <w:rFonts w:ascii="Verdana" w:hAnsi="Verdana" w:cs="Arial"/>
          <w:sz w:val="22"/>
          <w:szCs w:val="22"/>
        </w:rPr>
        <w:t>Durante el año 20</w:t>
      </w:r>
      <w:r w:rsidR="00792A99" w:rsidRPr="00205C60">
        <w:rPr>
          <w:rFonts w:ascii="Verdana" w:hAnsi="Verdana" w:cs="Arial"/>
          <w:sz w:val="22"/>
          <w:szCs w:val="22"/>
        </w:rPr>
        <w:t>2</w:t>
      </w:r>
      <w:r w:rsidR="007C41AE" w:rsidRPr="00205C60">
        <w:rPr>
          <w:rFonts w:ascii="Verdana" w:hAnsi="Verdana" w:cs="Arial"/>
          <w:sz w:val="22"/>
          <w:szCs w:val="22"/>
        </w:rPr>
        <w:t>2</w:t>
      </w:r>
      <w:r w:rsidR="00430F49" w:rsidRPr="00205C60">
        <w:rPr>
          <w:rFonts w:ascii="Verdana" w:hAnsi="Verdana" w:cs="Arial"/>
          <w:sz w:val="22"/>
          <w:szCs w:val="22"/>
        </w:rPr>
        <w:t xml:space="preserve"> la razón circulante </w:t>
      </w:r>
      <w:r w:rsidR="00B0648D" w:rsidRPr="00205C60">
        <w:rPr>
          <w:rFonts w:ascii="Verdana" w:hAnsi="Verdana" w:cs="Arial"/>
          <w:sz w:val="22"/>
          <w:szCs w:val="22"/>
        </w:rPr>
        <w:t>mostr</w:t>
      </w:r>
      <w:r w:rsidR="00186787" w:rsidRPr="00205C60">
        <w:rPr>
          <w:rFonts w:ascii="Verdana" w:hAnsi="Verdana" w:cs="Arial"/>
          <w:sz w:val="22"/>
          <w:szCs w:val="22"/>
        </w:rPr>
        <w:t>ó</w:t>
      </w:r>
      <w:r w:rsidR="00B0648D" w:rsidRPr="00205C60">
        <w:rPr>
          <w:rFonts w:ascii="Verdana" w:hAnsi="Verdana" w:cs="Arial"/>
          <w:sz w:val="22"/>
          <w:szCs w:val="22"/>
        </w:rPr>
        <w:t xml:space="preserve"> un valor </w:t>
      </w:r>
      <w:r w:rsidR="003947AE" w:rsidRPr="00205C60">
        <w:rPr>
          <w:rFonts w:ascii="Verdana" w:hAnsi="Verdana" w:cs="Arial"/>
          <w:sz w:val="22"/>
          <w:szCs w:val="22"/>
        </w:rPr>
        <w:t>creciente</w:t>
      </w:r>
      <w:r w:rsidR="00F37EFB" w:rsidRPr="00205C60">
        <w:rPr>
          <w:rFonts w:ascii="Verdana" w:hAnsi="Verdana" w:cs="Arial"/>
          <w:sz w:val="22"/>
          <w:szCs w:val="22"/>
        </w:rPr>
        <w:t xml:space="preserve"> a</w:t>
      </w:r>
      <w:r w:rsidR="00FB6CA7" w:rsidRPr="00205C60">
        <w:rPr>
          <w:rFonts w:ascii="Verdana" w:hAnsi="Verdana" w:cs="Arial"/>
          <w:sz w:val="22"/>
          <w:szCs w:val="22"/>
        </w:rPr>
        <w:t>l</w:t>
      </w:r>
      <w:r w:rsidR="00C53B12" w:rsidRPr="00205C60">
        <w:rPr>
          <w:rFonts w:ascii="Verdana" w:hAnsi="Verdana" w:cs="Arial"/>
          <w:sz w:val="22"/>
          <w:szCs w:val="22"/>
        </w:rPr>
        <w:t xml:space="preserve"> compararlo con el resultado del año </w:t>
      </w:r>
      <w:r w:rsidR="00FA6B14" w:rsidRPr="00205C60">
        <w:rPr>
          <w:rFonts w:ascii="Verdana" w:hAnsi="Verdana" w:cs="Arial"/>
          <w:sz w:val="22"/>
          <w:szCs w:val="22"/>
        </w:rPr>
        <w:t>anterior</w:t>
      </w:r>
      <w:r w:rsidR="00186787" w:rsidRPr="00205C60">
        <w:rPr>
          <w:rFonts w:ascii="Verdana" w:hAnsi="Verdana" w:cs="Arial"/>
          <w:sz w:val="22"/>
          <w:szCs w:val="22"/>
        </w:rPr>
        <w:t>, l</w:t>
      </w:r>
      <w:r w:rsidR="00A20AAA" w:rsidRPr="00205C60">
        <w:rPr>
          <w:rFonts w:ascii="Verdana" w:hAnsi="Verdana" w:cs="Arial"/>
          <w:sz w:val="22"/>
          <w:szCs w:val="22"/>
        </w:rPr>
        <w:t xml:space="preserve">o que en materia financiera significa, </w:t>
      </w:r>
      <w:r w:rsidR="00B0648D" w:rsidRPr="00205C60">
        <w:rPr>
          <w:rFonts w:ascii="Verdana" w:hAnsi="Verdana" w:cs="Arial"/>
          <w:sz w:val="22"/>
          <w:szCs w:val="22"/>
        </w:rPr>
        <w:t xml:space="preserve">que la </w:t>
      </w:r>
      <w:r w:rsidR="00FA6B14" w:rsidRPr="00205C60">
        <w:rPr>
          <w:rFonts w:ascii="Verdana" w:hAnsi="Verdana" w:cs="Arial"/>
          <w:sz w:val="22"/>
          <w:szCs w:val="22"/>
        </w:rPr>
        <w:t>Compañía está</w:t>
      </w:r>
      <w:r w:rsidR="00C23EB0" w:rsidRPr="00205C60">
        <w:rPr>
          <w:rFonts w:ascii="Verdana" w:hAnsi="Verdana" w:cs="Arial"/>
          <w:sz w:val="22"/>
          <w:szCs w:val="22"/>
        </w:rPr>
        <w:t xml:space="preserve"> generando </w:t>
      </w:r>
      <w:r w:rsidR="00DC6441" w:rsidRPr="00205C60">
        <w:rPr>
          <w:rFonts w:ascii="Verdana" w:hAnsi="Verdana" w:cs="Arial"/>
          <w:sz w:val="22"/>
          <w:szCs w:val="22"/>
        </w:rPr>
        <w:t xml:space="preserve">un </w:t>
      </w:r>
      <w:r w:rsidR="006852E2" w:rsidRPr="00205C60">
        <w:rPr>
          <w:rFonts w:ascii="Verdana" w:hAnsi="Verdana" w:cs="Arial"/>
          <w:sz w:val="22"/>
          <w:szCs w:val="22"/>
        </w:rPr>
        <w:t xml:space="preserve">incremento en sus activos </w:t>
      </w:r>
      <w:r w:rsidR="000B5BA2" w:rsidRPr="00205C60">
        <w:rPr>
          <w:rFonts w:ascii="Verdana" w:hAnsi="Verdana" w:cs="Arial"/>
          <w:sz w:val="22"/>
          <w:szCs w:val="22"/>
        </w:rPr>
        <w:t>líquidos</w:t>
      </w:r>
      <w:r w:rsidR="00C23EB0" w:rsidRPr="00205C60">
        <w:rPr>
          <w:rFonts w:ascii="Verdana" w:hAnsi="Verdana" w:cs="Arial"/>
          <w:sz w:val="22"/>
          <w:szCs w:val="22"/>
        </w:rPr>
        <w:t xml:space="preserve"> para hacer</w:t>
      </w:r>
      <w:r w:rsidR="00776D60" w:rsidRPr="00205C60">
        <w:rPr>
          <w:rFonts w:ascii="Verdana" w:hAnsi="Verdana" w:cs="Arial"/>
          <w:sz w:val="22"/>
          <w:szCs w:val="22"/>
        </w:rPr>
        <w:t>le</w:t>
      </w:r>
      <w:r w:rsidR="00C23EB0" w:rsidRPr="00205C60">
        <w:rPr>
          <w:rFonts w:ascii="Verdana" w:hAnsi="Verdana" w:cs="Arial"/>
          <w:sz w:val="22"/>
          <w:szCs w:val="22"/>
        </w:rPr>
        <w:t xml:space="preserve"> frente </w:t>
      </w:r>
      <w:r w:rsidR="00A20AAA" w:rsidRPr="00205C60">
        <w:rPr>
          <w:rFonts w:ascii="Verdana" w:hAnsi="Verdana" w:cs="Arial"/>
          <w:sz w:val="22"/>
          <w:szCs w:val="22"/>
        </w:rPr>
        <w:t xml:space="preserve">a </w:t>
      </w:r>
      <w:r w:rsidR="00C23EB0" w:rsidRPr="00205C60">
        <w:rPr>
          <w:rFonts w:ascii="Verdana" w:hAnsi="Verdana" w:cs="Arial"/>
          <w:sz w:val="22"/>
          <w:szCs w:val="22"/>
        </w:rPr>
        <w:t>sus obligaciones de corto plazo</w:t>
      </w:r>
      <w:r w:rsidR="00C81805" w:rsidRPr="00205C60">
        <w:rPr>
          <w:rFonts w:ascii="Verdana" w:hAnsi="Verdana" w:cs="Arial"/>
          <w:sz w:val="22"/>
          <w:szCs w:val="22"/>
        </w:rPr>
        <w:t>, con una tendencia a la mejora</w:t>
      </w:r>
      <w:r w:rsidR="00C23EB0" w:rsidRPr="00205C60">
        <w:rPr>
          <w:rFonts w:ascii="Verdana" w:hAnsi="Verdana" w:cs="Arial"/>
          <w:sz w:val="22"/>
          <w:szCs w:val="22"/>
        </w:rPr>
        <w:t>.</w:t>
      </w:r>
      <w:r w:rsidR="009501BF">
        <w:rPr>
          <w:rFonts w:ascii="Verdana" w:hAnsi="Verdana" w:cs="Arial"/>
          <w:sz w:val="22"/>
          <w:szCs w:val="22"/>
        </w:rPr>
        <w:t xml:space="preserve"> Importante </w:t>
      </w:r>
      <w:proofErr w:type="gramStart"/>
      <w:r w:rsidR="009501BF">
        <w:rPr>
          <w:rFonts w:ascii="Verdana" w:hAnsi="Verdana" w:cs="Arial"/>
          <w:sz w:val="22"/>
          <w:szCs w:val="22"/>
        </w:rPr>
        <w:t>indicar</w:t>
      </w:r>
      <w:proofErr w:type="gramEnd"/>
      <w:r w:rsidR="009501BF">
        <w:rPr>
          <w:rFonts w:ascii="Verdana" w:hAnsi="Verdana" w:cs="Arial"/>
          <w:sz w:val="22"/>
          <w:szCs w:val="22"/>
        </w:rPr>
        <w:t xml:space="preserve"> que el pasivo corriente creció por el traslado del largo al corto plazo de la Serie de Bonos B-2 que vence en el mes de junio del año 2023, lo cual impactó el resultado final de este indicador</w:t>
      </w:r>
      <w:r w:rsidR="002D4384">
        <w:rPr>
          <w:rFonts w:ascii="Verdana" w:hAnsi="Verdana" w:cs="Arial"/>
          <w:sz w:val="22"/>
          <w:szCs w:val="22"/>
        </w:rPr>
        <w:t>, el cual hubiera sido 1,18x.</w:t>
      </w:r>
      <w:r w:rsidR="00CC3CC8" w:rsidRPr="00205C60">
        <w:rPr>
          <w:rFonts w:ascii="Verdana" w:hAnsi="Verdana" w:cs="Arial"/>
          <w:sz w:val="22"/>
          <w:szCs w:val="22"/>
        </w:rPr>
        <w:t xml:space="preserve"> </w:t>
      </w:r>
    </w:p>
    <w:p w14:paraId="3CA7E889" w14:textId="58FDEF0F" w:rsidR="004C74F5" w:rsidRPr="00205C60" w:rsidRDefault="004C74F5" w:rsidP="007072E5">
      <w:pPr>
        <w:jc w:val="both"/>
        <w:rPr>
          <w:rFonts w:ascii="Verdana" w:hAnsi="Verdana" w:cs="Arial"/>
          <w:sz w:val="22"/>
          <w:szCs w:val="22"/>
        </w:rPr>
      </w:pPr>
    </w:p>
    <w:p w14:paraId="3CA7E88A" w14:textId="77777777" w:rsidR="00C508FD" w:rsidRPr="00205C60" w:rsidRDefault="00C508FD" w:rsidP="00C508FD">
      <w:pPr>
        <w:jc w:val="both"/>
        <w:rPr>
          <w:rFonts w:ascii="Verdana" w:hAnsi="Verdana" w:cs="Arial"/>
          <w:sz w:val="22"/>
          <w:szCs w:val="22"/>
        </w:rPr>
      </w:pPr>
    </w:p>
    <w:p w14:paraId="3CA7E88B" w14:textId="462892E9" w:rsidR="00B44125" w:rsidRDefault="005532B5" w:rsidP="000B5BA2">
      <w:pPr>
        <w:pStyle w:val="Prrafodelista"/>
        <w:numPr>
          <w:ilvl w:val="0"/>
          <w:numId w:val="25"/>
        </w:numPr>
        <w:rPr>
          <w:rFonts w:ascii="Verdana" w:hAnsi="Verdana" w:cs="Arial"/>
          <w:b/>
          <w:sz w:val="22"/>
          <w:szCs w:val="22"/>
        </w:rPr>
      </w:pPr>
      <w:r w:rsidRPr="00205C60">
        <w:rPr>
          <w:rFonts w:ascii="Verdana" w:hAnsi="Verdana" w:cs="Arial"/>
          <w:b/>
          <w:sz w:val="22"/>
          <w:szCs w:val="22"/>
        </w:rPr>
        <w:t>Activo circulante excluidos los inventarios a pasivo circulante</w:t>
      </w:r>
    </w:p>
    <w:p w14:paraId="5347505E" w14:textId="77777777" w:rsidR="002D4384" w:rsidRPr="00205C60" w:rsidRDefault="002D4384" w:rsidP="002D4384">
      <w:pPr>
        <w:pStyle w:val="Prrafodelista"/>
        <w:ind w:left="1066"/>
        <w:rPr>
          <w:rFonts w:ascii="Verdana" w:hAnsi="Verdana" w:cs="Arial"/>
          <w:b/>
          <w:sz w:val="22"/>
          <w:szCs w:val="22"/>
        </w:rPr>
      </w:pPr>
    </w:p>
    <w:p w14:paraId="3CA7E88C" w14:textId="77777777" w:rsidR="00B44125" w:rsidRPr="00205C60" w:rsidRDefault="00B44125">
      <w:pPr>
        <w:rPr>
          <w:rFonts w:ascii="Verdana" w:hAnsi="Verdana" w:cs="Arial"/>
          <w:b/>
          <w:sz w:val="22"/>
          <w:szCs w:val="22"/>
        </w:rPr>
      </w:pPr>
    </w:p>
    <w:p w14:paraId="3CA7E8A1" w14:textId="77777777" w:rsidR="00AD30DE" w:rsidRPr="00205C60" w:rsidRDefault="00AD30DE" w:rsidP="007821FC">
      <w:pPr>
        <w:jc w:val="both"/>
        <w:rPr>
          <w:rFonts w:ascii="Verdana" w:hAnsi="Verdana" w:cs="Arial"/>
          <w:sz w:val="22"/>
          <w:szCs w:val="22"/>
        </w:rPr>
      </w:pPr>
    </w:p>
    <w:tbl>
      <w:tblPr>
        <w:tblW w:w="4568" w:type="pct"/>
        <w:jc w:val="center"/>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firstRow="0" w:lastRow="0" w:firstColumn="0" w:lastColumn="0" w:noHBand="0" w:noVBand="0"/>
      </w:tblPr>
      <w:tblGrid>
        <w:gridCol w:w="4074"/>
        <w:gridCol w:w="1419"/>
        <w:gridCol w:w="1419"/>
        <w:gridCol w:w="1419"/>
      </w:tblGrid>
      <w:tr w:rsidR="00CA04E7" w:rsidRPr="00205C60" w14:paraId="6C8D5BB6" w14:textId="77777777" w:rsidTr="00CA04E7">
        <w:trPr>
          <w:trHeight w:val="324"/>
          <w:jc w:val="center"/>
        </w:trPr>
        <w:tc>
          <w:tcPr>
            <w:tcW w:w="2445" w:type="pct"/>
            <w:tcBorders>
              <w:right w:val="single" w:sz="4" w:space="0" w:color="auto"/>
            </w:tcBorders>
            <w:shd w:val="clear" w:color="auto" w:fill="auto"/>
            <w:noWrap/>
            <w:vAlign w:val="center"/>
          </w:tcPr>
          <w:p w14:paraId="5B3504FA" w14:textId="77777777" w:rsidR="00CA04E7" w:rsidRPr="00205C60" w:rsidRDefault="00CA04E7" w:rsidP="00CA04E7">
            <w:pPr>
              <w:jc w:val="center"/>
              <w:rPr>
                <w:rFonts w:ascii="Verdana" w:hAnsi="Verdana" w:cs="Arial"/>
                <w:b/>
                <w:bCs/>
                <w:sz w:val="22"/>
                <w:szCs w:val="22"/>
              </w:rPr>
            </w:pPr>
            <w:r w:rsidRPr="00205C60">
              <w:rPr>
                <w:rFonts w:ascii="Verdana" w:hAnsi="Verdana" w:cs="Arial"/>
                <w:b/>
                <w:bCs/>
                <w:sz w:val="22"/>
                <w:szCs w:val="22"/>
              </w:rPr>
              <w:t>(En miles de colones)</w:t>
            </w:r>
          </w:p>
        </w:tc>
        <w:tc>
          <w:tcPr>
            <w:tcW w:w="852" w:type="pct"/>
            <w:tcBorders>
              <w:left w:val="single" w:sz="4" w:space="0" w:color="auto"/>
            </w:tcBorders>
          </w:tcPr>
          <w:p w14:paraId="1C0CC4F6" w14:textId="144B12DA" w:rsidR="00CA04E7" w:rsidRPr="00205C60" w:rsidRDefault="00CA04E7" w:rsidP="00CA04E7">
            <w:pPr>
              <w:jc w:val="center"/>
              <w:rPr>
                <w:rFonts w:ascii="Verdana" w:hAnsi="Verdana" w:cs="Arial"/>
                <w:b/>
                <w:bCs/>
                <w:sz w:val="22"/>
                <w:szCs w:val="22"/>
              </w:rPr>
            </w:pPr>
            <w:r w:rsidRPr="00205C60">
              <w:rPr>
                <w:rFonts w:ascii="Verdana" w:hAnsi="Verdana" w:cs="Arial"/>
                <w:b/>
                <w:bCs/>
                <w:sz w:val="22"/>
                <w:szCs w:val="22"/>
              </w:rPr>
              <w:t>2020</w:t>
            </w:r>
          </w:p>
        </w:tc>
        <w:tc>
          <w:tcPr>
            <w:tcW w:w="852" w:type="pct"/>
            <w:tcBorders>
              <w:left w:val="single" w:sz="4" w:space="0" w:color="auto"/>
            </w:tcBorders>
          </w:tcPr>
          <w:p w14:paraId="30ECD88D" w14:textId="01B6AA4E" w:rsidR="00CA04E7" w:rsidRPr="00205C60" w:rsidRDefault="00CA04E7" w:rsidP="00CA04E7">
            <w:pPr>
              <w:jc w:val="center"/>
              <w:rPr>
                <w:rFonts w:ascii="Verdana" w:hAnsi="Verdana" w:cs="Arial"/>
                <w:b/>
                <w:bCs/>
                <w:sz w:val="22"/>
                <w:szCs w:val="22"/>
              </w:rPr>
            </w:pPr>
            <w:r w:rsidRPr="00205C60">
              <w:rPr>
                <w:rFonts w:ascii="Verdana" w:hAnsi="Verdana" w:cs="Arial"/>
                <w:b/>
                <w:bCs/>
                <w:sz w:val="22"/>
                <w:szCs w:val="22"/>
              </w:rPr>
              <w:t>2021</w:t>
            </w:r>
          </w:p>
        </w:tc>
        <w:tc>
          <w:tcPr>
            <w:tcW w:w="852" w:type="pct"/>
            <w:tcBorders>
              <w:left w:val="single" w:sz="4" w:space="0" w:color="auto"/>
            </w:tcBorders>
          </w:tcPr>
          <w:p w14:paraId="093C6222" w14:textId="520CD6EF" w:rsidR="00CA04E7" w:rsidRPr="00205C60" w:rsidRDefault="00CA04E7" w:rsidP="00CA04E7">
            <w:pPr>
              <w:jc w:val="center"/>
              <w:rPr>
                <w:rFonts w:ascii="Verdana" w:hAnsi="Verdana" w:cs="Arial"/>
                <w:b/>
                <w:bCs/>
                <w:sz w:val="22"/>
                <w:szCs w:val="22"/>
              </w:rPr>
            </w:pPr>
            <w:r w:rsidRPr="00205C60">
              <w:rPr>
                <w:rFonts w:ascii="Verdana" w:hAnsi="Verdana" w:cs="Arial"/>
                <w:b/>
                <w:bCs/>
                <w:sz w:val="22"/>
                <w:szCs w:val="22"/>
              </w:rPr>
              <w:t>2022</w:t>
            </w:r>
          </w:p>
        </w:tc>
      </w:tr>
      <w:tr w:rsidR="00CA04E7" w:rsidRPr="00205C60" w14:paraId="1287B1D9" w14:textId="77777777" w:rsidTr="00CA04E7">
        <w:trPr>
          <w:trHeight w:val="324"/>
          <w:jc w:val="center"/>
        </w:trPr>
        <w:tc>
          <w:tcPr>
            <w:tcW w:w="2445" w:type="pct"/>
            <w:tcBorders>
              <w:right w:val="single" w:sz="4" w:space="0" w:color="auto"/>
            </w:tcBorders>
            <w:shd w:val="clear" w:color="auto" w:fill="auto"/>
            <w:noWrap/>
            <w:vAlign w:val="center"/>
          </w:tcPr>
          <w:p w14:paraId="06043926" w14:textId="77777777" w:rsidR="00CA04E7" w:rsidRPr="00205C60" w:rsidRDefault="00CA04E7" w:rsidP="00CA04E7">
            <w:pPr>
              <w:rPr>
                <w:rFonts w:ascii="Verdana" w:hAnsi="Verdana" w:cs="Arial"/>
                <w:bCs/>
                <w:sz w:val="22"/>
                <w:szCs w:val="22"/>
              </w:rPr>
            </w:pPr>
            <w:r w:rsidRPr="00205C60">
              <w:rPr>
                <w:rFonts w:ascii="Verdana" w:hAnsi="Verdana" w:cs="Arial"/>
                <w:bCs/>
                <w:sz w:val="22"/>
                <w:szCs w:val="22"/>
              </w:rPr>
              <w:t>Activo circulante menos inventarios</w:t>
            </w:r>
          </w:p>
        </w:tc>
        <w:tc>
          <w:tcPr>
            <w:tcW w:w="852" w:type="pct"/>
            <w:tcBorders>
              <w:left w:val="single" w:sz="4" w:space="0" w:color="auto"/>
            </w:tcBorders>
          </w:tcPr>
          <w:p w14:paraId="6B112D29" w14:textId="1AB3193B" w:rsidR="00CA04E7" w:rsidRPr="00205C60" w:rsidRDefault="00CA04E7" w:rsidP="00CA04E7">
            <w:pPr>
              <w:jc w:val="center"/>
              <w:rPr>
                <w:rFonts w:ascii="Verdana" w:hAnsi="Verdana" w:cs="Arial"/>
                <w:bCs/>
                <w:sz w:val="22"/>
                <w:szCs w:val="22"/>
              </w:rPr>
            </w:pPr>
            <w:r w:rsidRPr="00205C60">
              <w:rPr>
                <w:rFonts w:ascii="Verdana" w:hAnsi="Verdana" w:cs="Arial"/>
                <w:bCs/>
                <w:sz w:val="22"/>
                <w:szCs w:val="22"/>
              </w:rPr>
              <w:t>35.506.989</w:t>
            </w:r>
          </w:p>
        </w:tc>
        <w:tc>
          <w:tcPr>
            <w:tcW w:w="852" w:type="pct"/>
            <w:tcBorders>
              <w:left w:val="single" w:sz="4" w:space="0" w:color="auto"/>
            </w:tcBorders>
          </w:tcPr>
          <w:p w14:paraId="0CFE6D3E" w14:textId="7FB44FB9" w:rsidR="00CA04E7" w:rsidRPr="00205C60" w:rsidRDefault="00CA04E7" w:rsidP="00CA04E7">
            <w:pPr>
              <w:jc w:val="center"/>
              <w:rPr>
                <w:rFonts w:ascii="Verdana" w:hAnsi="Verdana" w:cs="Arial"/>
                <w:bCs/>
                <w:sz w:val="22"/>
                <w:szCs w:val="22"/>
              </w:rPr>
            </w:pPr>
            <w:r w:rsidRPr="00205C60">
              <w:rPr>
                <w:rFonts w:ascii="Verdana" w:hAnsi="Verdana" w:cs="Arial"/>
                <w:bCs/>
                <w:sz w:val="22"/>
                <w:szCs w:val="22"/>
              </w:rPr>
              <w:t>30.672.429</w:t>
            </w:r>
          </w:p>
        </w:tc>
        <w:tc>
          <w:tcPr>
            <w:tcW w:w="852" w:type="pct"/>
            <w:tcBorders>
              <w:left w:val="single" w:sz="4" w:space="0" w:color="auto"/>
            </w:tcBorders>
          </w:tcPr>
          <w:p w14:paraId="17B19401" w14:textId="4D197C52" w:rsidR="00CA04E7" w:rsidRPr="00205C60" w:rsidRDefault="008909FB" w:rsidP="00CA04E7">
            <w:pPr>
              <w:jc w:val="center"/>
              <w:rPr>
                <w:rFonts w:ascii="Verdana" w:hAnsi="Verdana" w:cs="Arial"/>
                <w:bCs/>
                <w:sz w:val="22"/>
                <w:szCs w:val="22"/>
              </w:rPr>
            </w:pPr>
            <w:r w:rsidRPr="00205C60">
              <w:rPr>
                <w:rFonts w:ascii="Verdana" w:hAnsi="Verdana" w:cs="Arial"/>
                <w:bCs/>
                <w:sz w:val="22"/>
                <w:szCs w:val="22"/>
              </w:rPr>
              <w:t>47</w:t>
            </w:r>
            <w:r w:rsidR="00CA04E7" w:rsidRPr="00205C60">
              <w:rPr>
                <w:rFonts w:ascii="Verdana" w:hAnsi="Verdana" w:cs="Arial"/>
                <w:bCs/>
                <w:sz w:val="22"/>
                <w:szCs w:val="22"/>
              </w:rPr>
              <w:t>.</w:t>
            </w:r>
            <w:r w:rsidRPr="00205C60">
              <w:rPr>
                <w:rFonts w:ascii="Verdana" w:hAnsi="Verdana" w:cs="Arial"/>
                <w:bCs/>
                <w:sz w:val="22"/>
                <w:szCs w:val="22"/>
              </w:rPr>
              <w:t>163</w:t>
            </w:r>
            <w:r w:rsidR="00CA04E7" w:rsidRPr="00205C60">
              <w:rPr>
                <w:rFonts w:ascii="Verdana" w:hAnsi="Verdana" w:cs="Arial"/>
                <w:bCs/>
                <w:sz w:val="22"/>
                <w:szCs w:val="22"/>
              </w:rPr>
              <w:t>.4</w:t>
            </w:r>
            <w:r w:rsidRPr="00205C60">
              <w:rPr>
                <w:rFonts w:ascii="Verdana" w:hAnsi="Verdana" w:cs="Arial"/>
                <w:bCs/>
                <w:sz w:val="22"/>
                <w:szCs w:val="22"/>
              </w:rPr>
              <w:t>16</w:t>
            </w:r>
          </w:p>
        </w:tc>
      </w:tr>
      <w:tr w:rsidR="00CA04E7" w:rsidRPr="00205C60" w14:paraId="7E9FA0EF" w14:textId="77777777" w:rsidTr="00CA04E7">
        <w:trPr>
          <w:trHeight w:val="324"/>
          <w:jc w:val="center"/>
        </w:trPr>
        <w:tc>
          <w:tcPr>
            <w:tcW w:w="2445" w:type="pct"/>
            <w:tcBorders>
              <w:right w:val="single" w:sz="4" w:space="0" w:color="auto"/>
            </w:tcBorders>
            <w:shd w:val="clear" w:color="auto" w:fill="auto"/>
            <w:noWrap/>
            <w:vAlign w:val="center"/>
          </w:tcPr>
          <w:p w14:paraId="7ABE903E" w14:textId="77777777" w:rsidR="00CA04E7" w:rsidRPr="00205C60" w:rsidRDefault="00CA04E7" w:rsidP="00CA04E7">
            <w:pPr>
              <w:rPr>
                <w:rFonts w:ascii="Verdana" w:hAnsi="Verdana" w:cs="Arial"/>
                <w:sz w:val="22"/>
                <w:szCs w:val="22"/>
              </w:rPr>
            </w:pPr>
            <w:r w:rsidRPr="00205C60">
              <w:rPr>
                <w:rFonts w:ascii="Verdana" w:hAnsi="Verdana" w:cs="Arial"/>
                <w:sz w:val="22"/>
                <w:szCs w:val="22"/>
              </w:rPr>
              <w:t>Pasivo circulante</w:t>
            </w:r>
          </w:p>
        </w:tc>
        <w:tc>
          <w:tcPr>
            <w:tcW w:w="852" w:type="pct"/>
            <w:tcBorders>
              <w:left w:val="single" w:sz="4" w:space="0" w:color="auto"/>
            </w:tcBorders>
          </w:tcPr>
          <w:p w14:paraId="7BB0A67C" w14:textId="5523ADD8" w:rsidR="00CA04E7" w:rsidRPr="00205C60" w:rsidRDefault="00CA04E7" w:rsidP="00CA04E7">
            <w:pPr>
              <w:jc w:val="center"/>
              <w:rPr>
                <w:rFonts w:ascii="Verdana" w:hAnsi="Verdana" w:cs="Arial"/>
                <w:sz w:val="22"/>
                <w:szCs w:val="22"/>
              </w:rPr>
            </w:pPr>
            <w:r w:rsidRPr="00205C60">
              <w:rPr>
                <w:rFonts w:ascii="Verdana" w:hAnsi="Verdana" w:cs="Arial"/>
                <w:sz w:val="22"/>
                <w:szCs w:val="22"/>
              </w:rPr>
              <w:t>90.164.678</w:t>
            </w:r>
          </w:p>
        </w:tc>
        <w:tc>
          <w:tcPr>
            <w:tcW w:w="852" w:type="pct"/>
            <w:tcBorders>
              <w:left w:val="single" w:sz="4" w:space="0" w:color="auto"/>
            </w:tcBorders>
          </w:tcPr>
          <w:p w14:paraId="42EFEEF0" w14:textId="73C2B32B" w:rsidR="00CA04E7" w:rsidRPr="00205C60" w:rsidRDefault="00CA04E7" w:rsidP="00CA04E7">
            <w:pPr>
              <w:jc w:val="center"/>
              <w:rPr>
                <w:rFonts w:ascii="Verdana" w:hAnsi="Verdana" w:cs="Arial"/>
                <w:sz w:val="22"/>
                <w:szCs w:val="22"/>
              </w:rPr>
            </w:pPr>
            <w:r w:rsidRPr="00205C60">
              <w:rPr>
                <w:rFonts w:ascii="Verdana" w:hAnsi="Verdana" w:cs="Arial"/>
                <w:sz w:val="22"/>
                <w:szCs w:val="22"/>
              </w:rPr>
              <w:t>42.493.959</w:t>
            </w:r>
          </w:p>
        </w:tc>
        <w:tc>
          <w:tcPr>
            <w:tcW w:w="852" w:type="pct"/>
            <w:tcBorders>
              <w:left w:val="single" w:sz="4" w:space="0" w:color="auto"/>
            </w:tcBorders>
          </w:tcPr>
          <w:p w14:paraId="09AE4BD3" w14:textId="58395107" w:rsidR="00CA04E7" w:rsidRPr="00205C60" w:rsidRDefault="008909FB" w:rsidP="00CA04E7">
            <w:pPr>
              <w:jc w:val="center"/>
              <w:rPr>
                <w:rFonts w:ascii="Verdana" w:hAnsi="Verdana" w:cs="Arial"/>
                <w:sz w:val="22"/>
                <w:szCs w:val="22"/>
              </w:rPr>
            </w:pPr>
            <w:r w:rsidRPr="00205C60">
              <w:rPr>
                <w:rFonts w:ascii="Verdana" w:hAnsi="Verdana" w:cs="Arial"/>
                <w:sz w:val="22"/>
                <w:szCs w:val="22"/>
              </w:rPr>
              <w:t>60</w:t>
            </w:r>
            <w:r w:rsidR="00CA04E7" w:rsidRPr="00205C60">
              <w:rPr>
                <w:rFonts w:ascii="Verdana" w:hAnsi="Verdana" w:cs="Arial"/>
                <w:sz w:val="22"/>
                <w:szCs w:val="22"/>
              </w:rPr>
              <w:t>.</w:t>
            </w:r>
            <w:r w:rsidRPr="00205C60">
              <w:rPr>
                <w:rFonts w:ascii="Verdana" w:hAnsi="Verdana" w:cs="Arial"/>
                <w:sz w:val="22"/>
                <w:szCs w:val="22"/>
              </w:rPr>
              <w:t>059</w:t>
            </w:r>
            <w:r w:rsidR="00CA04E7" w:rsidRPr="00205C60">
              <w:rPr>
                <w:rFonts w:ascii="Verdana" w:hAnsi="Verdana" w:cs="Arial"/>
                <w:sz w:val="22"/>
                <w:szCs w:val="22"/>
              </w:rPr>
              <w:t>.</w:t>
            </w:r>
            <w:r w:rsidRPr="00205C60">
              <w:rPr>
                <w:rFonts w:ascii="Verdana" w:hAnsi="Verdana" w:cs="Arial"/>
                <w:sz w:val="22"/>
                <w:szCs w:val="22"/>
              </w:rPr>
              <w:t>011</w:t>
            </w:r>
          </w:p>
        </w:tc>
      </w:tr>
      <w:tr w:rsidR="00CA04E7" w:rsidRPr="00205C60" w14:paraId="7AAD0204" w14:textId="77777777" w:rsidTr="00CA04E7">
        <w:trPr>
          <w:trHeight w:val="324"/>
          <w:jc w:val="center"/>
        </w:trPr>
        <w:tc>
          <w:tcPr>
            <w:tcW w:w="2445" w:type="pct"/>
            <w:tcBorders>
              <w:right w:val="single" w:sz="4" w:space="0" w:color="auto"/>
            </w:tcBorders>
            <w:shd w:val="clear" w:color="auto" w:fill="auto"/>
            <w:noWrap/>
            <w:vAlign w:val="center"/>
          </w:tcPr>
          <w:p w14:paraId="4CEDF55F" w14:textId="77777777" w:rsidR="00CA04E7" w:rsidRPr="00205C60" w:rsidRDefault="00CA04E7" w:rsidP="00CA04E7">
            <w:pPr>
              <w:rPr>
                <w:rFonts w:ascii="Verdana" w:hAnsi="Verdana" w:cs="Arial"/>
                <w:b/>
                <w:sz w:val="22"/>
                <w:szCs w:val="22"/>
              </w:rPr>
            </w:pPr>
            <w:r w:rsidRPr="00205C60">
              <w:rPr>
                <w:rFonts w:ascii="Verdana" w:hAnsi="Verdana" w:cs="Arial"/>
                <w:b/>
                <w:sz w:val="22"/>
                <w:szCs w:val="22"/>
              </w:rPr>
              <w:t>Prueba de ácido (veces)</w:t>
            </w:r>
          </w:p>
        </w:tc>
        <w:tc>
          <w:tcPr>
            <w:tcW w:w="852" w:type="pct"/>
            <w:tcBorders>
              <w:left w:val="single" w:sz="4" w:space="0" w:color="auto"/>
            </w:tcBorders>
          </w:tcPr>
          <w:p w14:paraId="5FEB23CA" w14:textId="03F69DBE" w:rsidR="00CA04E7" w:rsidRPr="00205C60" w:rsidRDefault="00CA04E7" w:rsidP="00CA04E7">
            <w:pPr>
              <w:jc w:val="center"/>
              <w:rPr>
                <w:rFonts w:ascii="Verdana" w:hAnsi="Verdana" w:cs="Arial"/>
                <w:b/>
                <w:sz w:val="22"/>
                <w:szCs w:val="22"/>
              </w:rPr>
            </w:pPr>
            <w:r w:rsidRPr="00205C60">
              <w:rPr>
                <w:rFonts w:ascii="Verdana" w:hAnsi="Verdana" w:cs="Arial"/>
                <w:b/>
                <w:sz w:val="22"/>
                <w:szCs w:val="22"/>
              </w:rPr>
              <w:t>0,39</w:t>
            </w:r>
          </w:p>
        </w:tc>
        <w:tc>
          <w:tcPr>
            <w:tcW w:w="852" w:type="pct"/>
            <w:tcBorders>
              <w:left w:val="single" w:sz="4" w:space="0" w:color="auto"/>
            </w:tcBorders>
          </w:tcPr>
          <w:p w14:paraId="5AC8D3E6" w14:textId="69A84454" w:rsidR="00CA04E7" w:rsidRPr="00205C60" w:rsidRDefault="00CA04E7" w:rsidP="00CA04E7">
            <w:pPr>
              <w:jc w:val="center"/>
              <w:rPr>
                <w:rFonts w:ascii="Verdana" w:hAnsi="Verdana" w:cs="Arial"/>
                <w:b/>
                <w:sz w:val="22"/>
                <w:szCs w:val="22"/>
              </w:rPr>
            </w:pPr>
            <w:r w:rsidRPr="00205C60">
              <w:rPr>
                <w:rFonts w:ascii="Verdana" w:hAnsi="Verdana" w:cs="Arial"/>
                <w:b/>
                <w:sz w:val="22"/>
                <w:szCs w:val="22"/>
              </w:rPr>
              <w:t>0,72</w:t>
            </w:r>
          </w:p>
        </w:tc>
        <w:tc>
          <w:tcPr>
            <w:tcW w:w="852" w:type="pct"/>
            <w:tcBorders>
              <w:left w:val="single" w:sz="4" w:space="0" w:color="auto"/>
            </w:tcBorders>
          </w:tcPr>
          <w:p w14:paraId="6575FE63" w14:textId="0766C241" w:rsidR="00CA04E7" w:rsidRPr="00205C60" w:rsidRDefault="00CA04E7" w:rsidP="00CA04E7">
            <w:pPr>
              <w:jc w:val="center"/>
              <w:rPr>
                <w:rFonts w:ascii="Verdana" w:hAnsi="Verdana" w:cs="Arial"/>
                <w:b/>
                <w:sz w:val="22"/>
                <w:szCs w:val="22"/>
              </w:rPr>
            </w:pPr>
            <w:r w:rsidRPr="00205C60">
              <w:rPr>
                <w:rFonts w:ascii="Verdana" w:hAnsi="Verdana" w:cs="Arial"/>
                <w:b/>
                <w:sz w:val="22"/>
                <w:szCs w:val="22"/>
              </w:rPr>
              <w:t>0,7</w:t>
            </w:r>
            <w:r w:rsidR="008909FB" w:rsidRPr="00205C60">
              <w:rPr>
                <w:rFonts w:ascii="Verdana" w:hAnsi="Verdana" w:cs="Arial"/>
                <w:b/>
                <w:sz w:val="22"/>
                <w:szCs w:val="22"/>
              </w:rPr>
              <w:t>9</w:t>
            </w:r>
          </w:p>
        </w:tc>
      </w:tr>
    </w:tbl>
    <w:p w14:paraId="3CA7E8A2" w14:textId="77777777" w:rsidR="004C74F5" w:rsidRPr="00205C60" w:rsidRDefault="004C74F5" w:rsidP="007821FC">
      <w:pPr>
        <w:jc w:val="both"/>
        <w:rPr>
          <w:rFonts w:ascii="Verdana" w:hAnsi="Verdana" w:cs="Arial"/>
          <w:sz w:val="22"/>
          <w:szCs w:val="22"/>
        </w:rPr>
      </w:pPr>
    </w:p>
    <w:p w14:paraId="0171543B" w14:textId="7FBB5AF5" w:rsidR="002D4384" w:rsidRPr="00205C60" w:rsidRDefault="00FC317E" w:rsidP="002D4384">
      <w:pPr>
        <w:jc w:val="both"/>
        <w:rPr>
          <w:rFonts w:ascii="Verdana" w:hAnsi="Verdana" w:cs="Arial"/>
          <w:sz w:val="22"/>
          <w:szCs w:val="22"/>
        </w:rPr>
      </w:pPr>
      <w:r w:rsidRPr="00205C60">
        <w:rPr>
          <w:rFonts w:ascii="Verdana" w:hAnsi="Verdana" w:cs="Arial"/>
          <w:sz w:val="22"/>
          <w:szCs w:val="22"/>
        </w:rPr>
        <w:t>En el año 20</w:t>
      </w:r>
      <w:r w:rsidR="00792A99" w:rsidRPr="00205C60">
        <w:rPr>
          <w:rFonts w:ascii="Verdana" w:hAnsi="Verdana" w:cs="Arial"/>
          <w:sz w:val="22"/>
          <w:szCs w:val="22"/>
        </w:rPr>
        <w:t>2</w:t>
      </w:r>
      <w:r w:rsidR="00B26211" w:rsidRPr="00205C60">
        <w:rPr>
          <w:rFonts w:ascii="Verdana" w:hAnsi="Verdana" w:cs="Arial"/>
          <w:sz w:val="22"/>
          <w:szCs w:val="22"/>
        </w:rPr>
        <w:t>2</w:t>
      </w:r>
      <w:r w:rsidRPr="00205C60">
        <w:rPr>
          <w:rFonts w:ascii="Verdana" w:hAnsi="Verdana" w:cs="Arial"/>
          <w:sz w:val="22"/>
          <w:szCs w:val="22"/>
        </w:rPr>
        <w:t xml:space="preserve"> el grado en el cual el efectivo y demás activos</w:t>
      </w:r>
      <w:r w:rsidR="00C32A01" w:rsidRPr="00205C60">
        <w:rPr>
          <w:rFonts w:ascii="Verdana" w:hAnsi="Verdana" w:cs="Arial"/>
          <w:sz w:val="22"/>
          <w:szCs w:val="22"/>
        </w:rPr>
        <w:t xml:space="preserve"> circulantes líquidos cubren el pasivo circulante</w:t>
      </w:r>
      <w:r w:rsidR="001D28E4" w:rsidRPr="00205C60">
        <w:rPr>
          <w:rFonts w:ascii="Verdana" w:hAnsi="Verdana" w:cs="Arial"/>
          <w:sz w:val="22"/>
          <w:szCs w:val="22"/>
        </w:rPr>
        <w:t xml:space="preserve"> </w:t>
      </w:r>
      <w:r w:rsidR="00E25BC4" w:rsidRPr="00205C60">
        <w:rPr>
          <w:rFonts w:ascii="Verdana" w:hAnsi="Verdana" w:cs="Arial"/>
          <w:sz w:val="22"/>
          <w:szCs w:val="22"/>
        </w:rPr>
        <w:t xml:space="preserve">muestra </w:t>
      </w:r>
      <w:r w:rsidR="00BE188A" w:rsidRPr="00205C60">
        <w:rPr>
          <w:rFonts w:ascii="Verdana" w:hAnsi="Verdana" w:cs="Arial"/>
          <w:sz w:val="22"/>
          <w:szCs w:val="22"/>
        </w:rPr>
        <w:t>un crecimiento</w:t>
      </w:r>
      <w:r w:rsidR="00844153" w:rsidRPr="00205C60">
        <w:rPr>
          <w:rFonts w:ascii="Verdana" w:hAnsi="Verdana" w:cs="Arial"/>
          <w:sz w:val="22"/>
          <w:szCs w:val="22"/>
          <w:lang w:val="es-CR"/>
        </w:rPr>
        <w:t xml:space="preserve"> al compararlo con lo mostrado en el periodo 202</w:t>
      </w:r>
      <w:r w:rsidR="004E5740" w:rsidRPr="00205C60">
        <w:rPr>
          <w:rFonts w:ascii="Verdana" w:hAnsi="Verdana" w:cs="Arial"/>
          <w:sz w:val="22"/>
          <w:szCs w:val="22"/>
          <w:lang w:val="es-CR"/>
        </w:rPr>
        <w:t>1</w:t>
      </w:r>
      <w:r w:rsidR="00C81805" w:rsidRPr="00205C60">
        <w:rPr>
          <w:rFonts w:ascii="Verdana" w:hAnsi="Verdana" w:cs="Arial"/>
          <w:sz w:val="22"/>
          <w:szCs w:val="22"/>
          <w:lang w:val="es-CR"/>
        </w:rPr>
        <w:t xml:space="preserve"> y 20</w:t>
      </w:r>
      <w:r w:rsidR="004E5740" w:rsidRPr="00205C60">
        <w:rPr>
          <w:rFonts w:ascii="Verdana" w:hAnsi="Verdana" w:cs="Arial"/>
          <w:sz w:val="22"/>
          <w:szCs w:val="22"/>
          <w:lang w:val="es-CR"/>
        </w:rPr>
        <w:t>20</w:t>
      </w:r>
      <w:r w:rsidR="00C32A01" w:rsidRPr="00205C60">
        <w:rPr>
          <w:rFonts w:ascii="Verdana" w:hAnsi="Verdana" w:cs="Arial"/>
          <w:sz w:val="22"/>
          <w:szCs w:val="22"/>
        </w:rPr>
        <w:t xml:space="preserve">, </w:t>
      </w:r>
      <w:r w:rsidR="00844153" w:rsidRPr="00205C60">
        <w:rPr>
          <w:rFonts w:ascii="Verdana" w:hAnsi="Verdana" w:cs="Arial"/>
          <w:sz w:val="22"/>
          <w:szCs w:val="22"/>
        </w:rPr>
        <w:t xml:space="preserve">este </w:t>
      </w:r>
      <w:r w:rsidR="00C32A01" w:rsidRPr="00205C60">
        <w:rPr>
          <w:rFonts w:ascii="Verdana" w:hAnsi="Verdana" w:cs="Arial"/>
          <w:sz w:val="22"/>
          <w:szCs w:val="22"/>
        </w:rPr>
        <w:t xml:space="preserve">comportamiento indica </w:t>
      </w:r>
      <w:r w:rsidR="008B5542" w:rsidRPr="00205C60">
        <w:rPr>
          <w:rFonts w:ascii="Verdana" w:hAnsi="Verdana" w:cs="Arial"/>
          <w:sz w:val="22"/>
          <w:szCs w:val="22"/>
        </w:rPr>
        <w:t>que</w:t>
      </w:r>
      <w:r w:rsidR="006F6B5A" w:rsidRPr="00205C60">
        <w:rPr>
          <w:rFonts w:ascii="Verdana" w:hAnsi="Verdana" w:cs="Arial"/>
          <w:sz w:val="22"/>
          <w:szCs w:val="22"/>
        </w:rPr>
        <w:t xml:space="preserve"> el indicador se acerca cada vez más</w:t>
      </w:r>
      <w:r w:rsidR="006F714E" w:rsidRPr="00205C60">
        <w:rPr>
          <w:rFonts w:ascii="Verdana" w:hAnsi="Verdana" w:cs="Arial"/>
          <w:sz w:val="22"/>
          <w:szCs w:val="22"/>
        </w:rPr>
        <w:t xml:space="preserve"> a poder cubrir en al menos 1 vez </w:t>
      </w:r>
      <w:r w:rsidR="00DF28CA" w:rsidRPr="00205C60">
        <w:rPr>
          <w:rFonts w:ascii="Verdana" w:hAnsi="Verdana" w:cs="Arial"/>
          <w:sz w:val="22"/>
          <w:szCs w:val="22"/>
        </w:rPr>
        <w:t>los pasivos a</w:t>
      </w:r>
      <w:r w:rsidR="00C32A01" w:rsidRPr="00205C60">
        <w:rPr>
          <w:rFonts w:ascii="Verdana" w:hAnsi="Verdana" w:cs="Arial"/>
          <w:sz w:val="22"/>
          <w:szCs w:val="22"/>
        </w:rPr>
        <w:t xml:space="preserve"> corto</w:t>
      </w:r>
      <w:r w:rsidR="00812EDE" w:rsidRPr="00205C60">
        <w:rPr>
          <w:rFonts w:ascii="Verdana" w:hAnsi="Verdana" w:cs="Arial"/>
          <w:sz w:val="22"/>
          <w:szCs w:val="22"/>
        </w:rPr>
        <w:t xml:space="preserve"> </w:t>
      </w:r>
      <w:r w:rsidR="00DF28CA" w:rsidRPr="00205C60">
        <w:rPr>
          <w:rFonts w:ascii="Verdana" w:hAnsi="Verdana" w:cs="Arial"/>
          <w:sz w:val="22"/>
          <w:szCs w:val="22"/>
        </w:rPr>
        <w:t>plazo</w:t>
      </w:r>
      <w:r w:rsidR="00C32A01" w:rsidRPr="00205C60">
        <w:rPr>
          <w:rFonts w:ascii="Verdana" w:hAnsi="Verdana" w:cs="Arial"/>
          <w:sz w:val="22"/>
          <w:szCs w:val="22"/>
        </w:rPr>
        <w:t>.  La estructura de ventas y cobros de la CNFL, permite</w:t>
      </w:r>
      <w:r w:rsidR="00F33A89" w:rsidRPr="00205C60">
        <w:rPr>
          <w:rFonts w:ascii="Verdana" w:hAnsi="Verdana" w:cs="Arial"/>
          <w:sz w:val="22"/>
          <w:szCs w:val="22"/>
        </w:rPr>
        <w:t>n</w:t>
      </w:r>
      <w:r w:rsidR="00C32A01" w:rsidRPr="00205C60">
        <w:rPr>
          <w:rFonts w:ascii="Verdana" w:hAnsi="Verdana" w:cs="Arial"/>
          <w:sz w:val="22"/>
          <w:szCs w:val="22"/>
        </w:rPr>
        <w:t xml:space="preserve"> mantener </w:t>
      </w:r>
      <w:r w:rsidR="00F33A89" w:rsidRPr="00205C60">
        <w:rPr>
          <w:rFonts w:ascii="Verdana" w:hAnsi="Verdana" w:cs="Arial"/>
          <w:sz w:val="22"/>
          <w:szCs w:val="22"/>
        </w:rPr>
        <w:t>una</w:t>
      </w:r>
      <w:r w:rsidR="00C32A01" w:rsidRPr="00205C60">
        <w:rPr>
          <w:rFonts w:ascii="Verdana" w:hAnsi="Verdana" w:cs="Arial"/>
          <w:sz w:val="22"/>
          <w:szCs w:val="22"/>
        </w:rPr>
        <w:t xml:space="preserve"> liquidez </w:t>
      </w:r>
      <w:r w:rsidR="00F33A89" w:rsidRPr="00205C60">
        <w:rPr>
          <w:rFonts w:ascii="Verdana" w:hAnsi="Verdana" w:cs="Arial"/>
          <w:sz w:val="22"/>
          <w:szCs w:val="22"/>
        </w:rPr>
        <w:t>adecuada</w:t>
      </w:r>
      <w:r w:rsidR="00C32A01" w:rsidRPr="00205C60">
        <w:rPr>
          <w:rFonts w:ascii="Verdana" w:hAnsi="Verdana" w:cs="Arial"/>
          <w:sz w:val="22"/>
          <w:szCs w:val="22"/>
        </w:rPr>
        <w:t xml:space="preserve"> para atender oportunamente sus obligaciones.</w:t>
      </w:r>
      <w:r w:rsidR="002D4384">
        <w:rPr>
          <w:rFonts w:ascii="Verdana" w:hAnsi="Verdana" w:cs="Arial"/>
          <w:sz w:val="22"/>
          <w:szCs w:val="22"/>
        </w:rPr>
        <w:t xml:space="preserve"> Importante </w:t>
      </w:r>
      <w:proofErr w:type="gramStart"/>
      <w:r w:rsidR="002D4384">
        <w:rPr>
          <w:rFonts w:ascii="Verdana" w:hAnsi="Verdana" w:cs="Arial"/>
          <w:sz w:val="22"/>
          <w:szCs w:val="22"/>
        </w:rPr>
        <w:t>indicar</w:t>
      </w:r>
      <w:proofErr w:type="gramEnd"/>
      <w:r w:rsidR="002D4384">
        <w:rPr>
          <w:rFonts w:ascii="Verdana" w:hAnsi="Verdana" w:cs="Arial"/>
          <w:sz w:val="22"/>
          <w:szCs w:val="22"/>
        </w:rPr>
        <w:t xml:space="preserve"> que el pasivo corriente creció por el traslado del largo al corto plazo de la Serie de Bonos B-2 que vence en el mes de junio del año 2023, lo cual impactó el resultado final de este indicador, el cual hubiera sido 1,04x.</w:t>
      </w:r>
      <w:r w:rsidR="002D4384" w:rsidRPr="00205C60">
        <w:rPr>
          <w:rFonts w:ascii="Verdana" w:hAnsi="Verdana" w:cs="Arial"/>
          <w:sz w:val="22"/>
          <w:szCs w:val="22"/>
        </w:rPr>
        <w:t xml:space="preserve"> </w:t>
      </w:r>
    </w:p>
    <w:p w14:paraId="3CA7E8A4" w14:textId="77777777" w:rsidR="00CC3CC8" w:rsidRPr="00205C60" w:rsidRDefault="00CC3CC8" w:rsidP="007821FC">
      <w:pPr>
        <w:jc w:val="both"/>
        <w:rPr>
          <w:rFonts w:ascii="Verdana" w:hAnsi="Verdana" w:cs="Arial"/>
          <w:sz w:val="22"/>
          <w:szCs w:val="22"/>
        </w:rPr>
      </w:pPr>
    </w:p>
    <w:p w14:paraId="3CA7E8A5" w14:textId="13E4A6D9" w:rsidR="00B21EE6" w:rsidRPr="00205C60" w:rsidRDefault="00EE2D58" w:rsidP="00EE2D58">
      <w:pPr>
        <w:jc w:val="both"/>
        <w:rPr>
          <w:rFonts w:ascii="Verdana" w:hAnsi="Verdana" w:cs="Arial"/>
          <w:sz w:val="22"/>
          <w:szCs w:val="22"/>
        </w:rPr>
      </w:pPr>
      <w:r w:rsidRPr="00205C60">
        <w:rPr>
          <w:rFonts w:ascii="Verdana" w:hAnsi="Verdana" w:cs="Arial"/>
          <w:sz w:val="22"/>
          <w:szCs w:val="22"/>
        </w:rPr>
        <w:t xml:space="preserve">La Compañía mantiene inventarios con el objetivo de mantener sus redes de distribución, transmisión y plantas de generación de electricidad </w:t>
      </w:r>
      <w:r w:rsidR="00BE188A" w:rsidRPr="00205C60">
        <w:rPr>
          <w:rFonts w:ascii="Verdana" w:hAnsi="Verdana" w:cs="Arial"/>
          <w:sz w:val="22"/>
          <w:szCs w:val="22"/>
        </w:rPr>
        <w:t xml:space="preserve">en perfecto estado de operación </w:t>
      </w:r>
      <w:r w:rsidRPr="00205C60">
        <w:rPr>
          <w:rFonts w:ascii="Verdana" w:hAnsi="Verdana" w:cs="Arial"/>
          <w:sz w:val="22"/>
          <w:szCs w:val="22"/>
        </w:rPr>
        <w:t xml:space="preserve">y no con el objetivo de tenerlos para su venta. </w:t>
      </w:r>
    </w:p>
    <w:p w14:paraId="3CA7E8A6" w14:textId="77777777" w:rsidR="004C74F5" w:rsidRPr="00205C60" w:rsidRDefault="004C74F5" w:rsidP="007821FC">
      <w:pPr>
        <w:jc w:val="both"/>
        <w:rPr>
          <w:rFonts w:ascii="Verdana" w:hAnsi="Verdana" w:cs="Arial"/>
          <w:sz w:val="22"/>
          <w:szCs w:val="22"/>
        </w:rPr>
      </w:pPr>
    </w:p>
    <w:p w14:paraId="3CA7E8A7" w14:textId="77777777" w:rsidR="004C74F5" w:rsidRPr="00205C60" w:rsidRDefault="004C74F5" w:rsidP="007821FC">
      <w:pPr>
        <w:jc w:val="both"/>
        <w:rPr>
          <w:rFonts w:ascii="Verdana" w:hAnsi="Verdana" w:cs="Arial"/>
          <w:sz w:val="22"/>
          <w:szCs w:val="22"/>
        </w:rPr>
      </w:pPr>
    </w:p>
    <w:p w14:paraId="3CA7E8A8" w14:textId="77777777" w:rsidR="00B44125" w:rsidRPr="00205C60" w:rsidRDefault="00B44125" w:rsidP="00882F32">
      <w:pPr>
        <w:pStyle w:val="Ttulo2"/>
        <w:numPr>
          <w:ilvl w:val="3"/>
          <w:numId w:val="21"/>
        </w:numPr>
        <w:tabs>
          <w:tab w:val="clear" w:pos="1241"/>
          <w:tab w:val="left" w:pos="993"/>
        </w:tabs>
        <w:spacing w:line="120" w:lineRule="atLeast"/>
        <w:ind w:right="142"/>
        <w:rPr>
          <w:rFonts w:ascii="Verdana" w:hAnsi="Verdana" w:cs="Arial"/>
          <w:sz w:val="22"/>
          <w:szCs w:val="22"/>
        </w:rPr>
      </w:pPr>
      <w:bookmarkStart w:id="101" w:name="_Toc104529459"/>
      <w:r w:rsidRPr="00205C60">
        <w:rPr>
          <w:rFonts w:ascii="Verdana" w:hAnsi="Verdana" w:cs="Arial"/>
          <w:sz w:val="22"/>
          <w:szCs w:val="22"/>
        </w:rPr>
        <w:t>Índices de rentabilidad</w:t>
      </w:r>
      <w:bookmarkEnd w:id="101"/>
    </w:p>
    <w:p w14:paraId="3CA7E8A9" w14:textId="77777777" w:rsidR="00B44125" w:rsidRPr="00205C60" w:rsidRDefault="00B44125">
      <w:pPr>
        <w:rPr>
          <w:rFonts w:ascii="Verdana" w:hAnsi="Verdana" w:cs="Arial"/>
          <w:b/>
          <w:sz w:val="22"/>
          <w:szCs w:val="22"/>
        </w:rPr>
      </w:pPr>
    </w:p>
    <w:p w14:paraId="3CA7E8AA" w14:textId="77777777" w:rsidR="004C74F5" w:rsidRPr="00205C60" w:rsidRDefault="004C74F5">
      <w:pPr>
        <w:rPr>
          <w:rFonts w:ascii="Verdana" w:hAnsi="Verdana" w:cs="Arial"/>
          <w:b/>
          <w:sz w:val="22"/>
          <w:szCs w:val="22"/>
        </w:rPr>
      </w:pPr>
    </w:p>
    <w:p w14:paraId="3CA7E8AB" w14:textId="77777777" w:rsidR="00B44125" w:rsidRPr="00205C60" w:rsidRDefault="00B44125" w:rsidP="00882F32">
      <w:pPr>
        <w:pStyle w:val="Prrafodelista"/>
        <w:numPr>
          <w:ilvl w:val="0"/>
          <w:numId w:val="26"/>
        </w:numPr>
        <w:rPr>
          <w:rFonts w:ascii="Verdana" w:hAnsi="Verdana" w:cs="Arial"/>
          <w:b/>
          <w:sz w:val="22"/>
          <w:szCs w:val="22"/>
        </w:rPr>
      </w:pPr>
      <w:r w:rsidRPr="00205C60">
        <w:rPr>
          <w:rFonts w:ascii="Verdana" w:hAnsi="Verdana" w:cs="Arial"/>
          <w:b/>
          <w:sz w:val="22"/>
          <w:szCs w:val="22"/>
        </w:rPr>
        <w:t>Utilidad neta a activo total promedio</w:t>
      </w:r>
    </w:p>
    <w:p w14:paraId="3CA7E8AC" w14:textId="77777777" w:rsidR="008A407B" w:rsidRPr="00205C60" w:rsidRDefault="008A407B" w:rsidP="008A407B">
      <w:pPr>
        <w:pStyle w:val="Prrafodelista"/>
        <w:ind w:left="1068"/>
        <w:rPr>
          <w:rFonts w:ascii="Verdana" w:hAnsi="Verdana" w:cs="Arial"/>
          <w:b/>
          <w:sz w:val="22"/>
          <w:szCs w:val="22"/>
          <w:u w:val="single"/>
        </w:rPr>
      </w:pPr>
    </w:p>
    <w:p w14:paraId="3CA7E8AD" w14:textId="77777777" w:rsidR="00B44125" w:rsidRPr="00205C60" w:rsidRDefault="00B44125">
      <w:pPr>
        <w:jc w:val="both"/>
        <w:rPr>
          <w:rFonts w:ascii="Verdana" w:hAnsi="Verdana" w:cs="Arial"/>
          <w:sz w:val="22"/>
          <w:szCs w:val="22"/>
        </w:rPr>
      </w:pPr>
      <w:r w:rsidRPr="00205C60">
        <w:rPr>
          <w:rFonts w:ascii="Verdana" w:hAnsi="Verdana" w:cs="Arial"/>
          <w:sz w:val="22"/>
          <w:szCs w:val="22"/>
        </w:rPr>
        <w:t>Este indicador mide la efectividad global para generar utilidades con los activos disponibles.</w:t>
      </w:r>
    </w:p>
    <w:p w14:paraId="3CA7E8AE" w14:textId="77777777" w:rsidR="00D45520" w:rsidRPr="00205C60" w:rsidRDefault="00D45520">
      <w:pPr>
        <w:jc w:val="both"/>
        <w:rPr>
          <w:rFonts w:ascii="Verdana" w:hAnsi="Verdana" w:cs="Arial"/>
          <w:sz w:val="22"/>
          <w:szCs w:val="22"/>
        </w:rPr>
      </w:pPr>
    </w:p>
    <w:tbl>
      <w:tblPr>
        <w:tblW w:w="3964" w:type="pct"/>
        <w:jc w:val="center"/>
        <w:tblCellMar>
          <w:left w:w="30" w:type="dxa"/>
          <w:right w:w="30" w:type="dxa"/>
        </w:tblCellMar>
        <w:tblLook w:val="0000" w:firstRow="0" w:lastRow="0" w:firstColumn="0" w:lastColumn="0" w:noHBand="0" w:noVBand="0"/>
      </w:tblPr>
      <w:tblGrid>
        <w:gridCol w:w="734"/>
        <w:gridCol w:w="1539"/>
        <w:gridCol w:w="252"/>
        <w:gridCol w:w="2117"/>
        <w:gridCol w:w="241"/>
        <w:gridCol w:w="2347"/>
      </w:tblGrid>
      <w:tr w:rsidR="00B754E2" w:rsidRPr="00205C60" w14:paraId="3CA7E8B0" w14:textId="77777777" w:rsidTr="0031358E">
        <w:trPr>
          <w:cantSplit/>
          <w:trHeight w:val="502"/>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3CA7E8AF" w14:textId="0EAFE4B7" w:rsidR="00B754E2" w:rsidRPr="00205C60" w:rsidRDefault="00B754E2" w:rsidP="00B754E2">
            <w:pPr>
              <w:jc w:val="center"/>
              <w:rPr>
                <w:rFonts w:ascii="Verdana" w:hAnsi="Verdana" w:cs="Arial"/>
                <w:b/>
                <w:snapToGrid w:val="0"/>
                <w:sz w:val="22"/>
                <w:szCs w:val="22"/>
              </w:rPr>
            </w:pPr>
            <w:r w:rsidRPr="00205C60">
              <w:rPr>
                <w:rFonts w:ascii="Verdana" w:hAnsi="Verdana" w:cs="Arial"/>
                <w:b/>
                <w:snapToGrid w:val="0"/>
                <w:sz w:val="22"/>
                <w:szCs w:val="22"/>
              </w:rPr>
              <w:t xml:space="preserve">Cálculo del Promedio de Activos </w:t>
            </w:r>
            <w:r w:rsidR="00466752" w:rsidRPr="00205C60">
              <w:rPr>
                <w:rFonts w:ascii="Verdana" w:hAnsi="Verdana" w:cs="Arial"/>
                <w:b/>
                <w:snapToGrid w:val="0"/>
                <w:sz w:val="22"/>
                <w:szCs w:val="22"/>
              </w:rPr>
              <w:t>Totales (</w:t>
            </w:r>
            <w:r w:rsidRPr="00205C60">
              <w:rPr>
                <w:rFonts w:ascii="Verdana" w:hAnsi="Verdana" w:cs="Arial"/>
                <w:b/>
                <w:snapToGrid w:val="0"/>
                <w:sz w:val="22"/>
                <w:szCs w:val="22"/>
              </w:rPr>
              <w:t>En miles de colones)</w:t>
            </w:r>
          </w:p>
        </w:tc>
      </w:tr>
      <w:tr w:rsidR="00B754E2" w:rsidRPr="00205C60" w14:paraId="3CA7E8B7" w14:textId="77777777" w:rsidTr="00455835">
        <w:trPr>
          <w:trHeight w:val="247"/>
          <w:jc w:val="center"/>
        </w:trPr>
        <w:tc>
          <w:tcPr>
            <w:tcW w:w="508" w:type="pct"/>
            <w:tcBorders>
              <w:top w:val="single" w:sz="4" w:space="0" w:color="auto"/>
              <w:left w:val="single" w:sz="4" w:space="0" w:color="auto"/>
              <w:bottom w:val="single" w:sz="4" w:space="0" w:color="auto"/>
              <w:right w:val="single" w:sz="4" w:space="0" w:color="auto"/>
            </w:tcBorders>
            <w:vAlign w:val="center"/>
          </w:tcPr>
          <w:p w14:paraId="3CA7E8B1" w14:textId="77777777" w:rsidR="00B44125" w:rsidRPr="00205C60" w:rsidRDefault="00B44125" w:rsidP="00B754E2">
            <w:pPr>
              <w:jc w:val="center"/>
              <w:rPr>
                <w:rFonts w:ascii="Verdana" w:hAnsi="Verdana" w:cs="Arial"/>
                <w:b/>
                <w:bCs/>
                <w:snapToGrid w:val="0"/>
                <w:sz w:val="22"/>
                <w:szCs w:val="22"/>
              </w:rPr>
            </w:pPr>
            <w:r w:rsidRPr="00205C60">
              <w:rPr>
                <w:rFonts w:ascii="Verdana" w:hAnsi="Verdana" w:cs="Arial"/>
                <w:b/>
                <w:bCs/>
                <w:snapToGrid w:val="0"/>
                <w:sz w:val="22"/>
                <w:szCs w:val="22"/>
              </w:rPr>
              <w:t>Año</w:t>
            </w:r>
          </w:p>
        </w:tc>
        <w:tc>
          <w:tcPr>
            <w:tcW w:w="1064" w:type="pct"/>
            <w:tcBorders>
              <w:top w:val="single" w:sz="4" w:space="0" w:color="auto"/>
              <w:left w:val="single" w:sz="4" w:space="0" w:color="auto"/>
              <w:bottom w:val="single" w:sz="4" w:space="0" w:color="auto"/>
              <w:right w:val="single" w:sz="4" w:space="0" w:color="auto"/>
            </w:tcBorders>
            <w:shd w:val="solid" w:color="FFFFFF" w:fill="auto"/>
            <w:vAlign w:val="center"/>
          </w:tcPr>
          <w:p w14:paraId="3CA7E8B2" w14:textId="77777777" w:rsidR="00B44125" w:rsidRPr="00205C60" w:rsidRDefault="00B44125" w:rsidP="00B754E2">
            <w:pPr>
              <w:jc w:val="center"/>
              <w:rPr>
                <w:rFonts w:ascii="Verdana" w:hAnsi="Verdana" w:cs="Arial"/>
                <w:b/>
                <w:bCs/>
                <w:snapToGrid w:val="0"/>
                <w:sz w:val="22"/>
                <w:szCs w:val="22"/>
              </w:rPr>
            </w:pPr>
            <w:r w:rsidRPr="00205C60">
              <w:rPr>
                <w:rFonts w:ascii="Verdana" w:hAnsi="Verdana" w:cs="Arial"/>
                <w:b/>
                <w:bCs/>
                <w:snapToGrid w:val="0"/>
                <w:sz w:val="22"/>
                <w:szCs w:val="22"/>
              </w:rPr>
              <w:t>Activo Total</w:t>
            </w:r>
          </w:p>
        </w:tc>
        <w:tc>
          <w:tcPr>
            <w:tcW w:w="174" w:type="pct"/>
            <w:tcBorders>
              <w:top w:val="single" w:sz="4" w:space="0" w:color="auto"/>
              <w:left w:val="single" w:sz="4" w:space="0" w:color="auto"/>
              <w:bottom w:val="single" w:sz="4" w:space="0" w:color="auto"/>
              <w:right w:val="nil"/>
            </w:tcBorders>
            <w:vAlign w:val="center"/>
          </w:tcPr>
          <w:p w14:paraId="3CA7E8B3" w14:textId="77777777" w:rsidR="00B44125" w:rsidRPr="00205C60" w:rsidRDefault="00B44125" w:rsidP="00B754E2">
            <w:pPr>
              <w:jc w:val="center"/>
              <w:rPr>
                <w:rFonts w:ascii="Verdana" w:hAnsi="Verdana" w:cs="Arial"/>
                <w:b/>
                <w:bCs/>
                <w:snapToGrid w:val="0"/>
                <w:sz w:val="22"/>
                <w:szCs w:val="22"/>
              </w:rPr>
            </w:pPr>
          </w:p>
        </w:tc>
        <w:tc>
          <w:tcPr>
            <w:tcW w:w="1464" w:type="pct"/>
            <w:tcBorders>
              <w:top w:val="single" w:sz="4" w:space="0" w:color="auto"/>
              <w:left w:val="nil"/>
              <w:bottom w:val="single" w:sz="4" w:space="0" w:color="auto"/>
              <w:right w:val="single" w:sz="4" w:space="0" w:color="auto"/>
            </w:tcBorders>
            <w:vAlign w:val="center"/>
          </w:tcPr>
          <w:p w14:paraId="3CA7E8B4" w14:textId="77777777" w:rsidR="00B44125" w:rsidRPr="00205C60" w:rsidRDefault="00B44125" w:rsidP="00B754E2">
            <w:pPr>
              <w:jc w:val="center"/>
              <w:rPr>
                <w:rFonts w:ascii="Verdana" w:hAnsi="Verdana" w:cs="Arial"/>
                <w:b/>
                <w:bCs/>
                <w:snapToGrid w:val="0"/>
                <w:sz w:val="22"/>
                <w:szCs w:val="22"/>
              </w:rPr>
            </w:pPr>
            <w:r w:rsidRPr="00205C60">
              <w:rPr>
                <w:rFonts w:ascii="Verdana" w:hAnsi="Verdana" w:cs="Arial"/>
                <w:b/>
                <w:bCs/>
                <w:snapToGrid w:val="0"/>
                <w:sz w:val="22"/>
                <w:szCs w:val="22"/>
              </w:rPr>
              <w:t>Suma dos periodos</w:t>
            </w:r>
          </w:p>
        </w:tc>
        <w:tc>
          <w:tcPr>
            <w:tcW w:w="167" w:type="pct"/>
            <w:tcBorders>
              <w:top w:val="single" w:sz="4" w:space="0" w:color="auto"/>
              <w:left w:val="single" w:sz="4" w:space="0" w:color="auto"/>
              <w:bottom w:val="single" w:sz="4" w:space="0" w:color="auto"/>
            </w:tcBorders>
            <w:vAlign w:val="center"/>
          </w:tcPr>
          <w:p w14:paraId="3CA7E8B5" w14:textId="77777777" w:rsidR="00B44125" w:rsidRPr="00205C60" w:rsidRDefault="00B44125" w:rsidP="00B754E2">
            <w:pPr>
              <w:jc w:val="center"/>
              <w:rPr>
                <w:rFonts w:ascii="Verdana" w:hAnsi="Verdana" w:cs="Arial"/>
                <w:b/>
                <w:bCs/>
                <w:snapToGrid w:val="0"/>
                <w:sz w:val="22"/>
                <w:szCs w:val="22"/>
              </w:rPr>
            </w:pPr>
          </w:p>
        </w:tc>
        <w:tc>
          <w:tcPr>
            <w:tcW w:w="1623" w:type="pct"/>
            <w:tcBorders>
              <w:top w:val="single" w:sz="4" w:space="0" w:color="auto"/>
              <w:bottom w:val="single" w:sz="4" w:space="0" w:color="auto"/>
              <w:right w:val="single" w:sz="4" w:space="0" w:color="auto"/>
            </w:tcBorders>
            <w:vAlign w:val="center"/>
          </w:tcPr>
          <w:p w14:paraId="3CA7E8B6" w14:textId="77777777" w:rsidR="00B44125" w:rsidRPr="00205C60" w:rsidRDefault="00B44125" w:rsidP="00B754E2">
            <w:pPr>
              <w:jc w:val="center"/>
              <w:rPr>
                <w:rFonts w:ascii="Verdana" w:hAnsi="Verdana" w:cs="Arial"/>
                <w:b/>
                <w:bCs/>
                <w:snapToGrid w:val="0"/>
                <w:sz w:val="22"/>
                <w:szCs w:val="22"/>
              </w:rPr>
            </w:pPr>
            <w:r w:rsidRPr="00205C60">
              <w:rPr>
                <w:rFonts w:ascii="Verdana" w:hAnsi="Verdana" w:cs="Arial"/>
                <w:b/>
                <w:bCs/>
                <w:snapToGrid w:val="0"/>
                <w:sz w:val="22"/>
                <w:szCs w:val="22"/>
              </w:rPr>
              <w:t>Promedio</w:t>
            </w:r>
          </w:p>
        </w:tc>
      </w:tr>
      <w:tr w:rsidR="00995F3F" w:rsidRPr="00205C60" w14:paraId="3CA7E8C5" w14:textId="77777777" w:rsidTr="00455835">
        <w:trPr>
          <w:trHeight w:val="262"/>
          <w:jc w:val="center"/>
        </w:trPr>
        <w:tc>
          <w:tcPr>
            <w:tcW w:w="508" w:type="pct"/>
            <w:tcBorders>
              <w:top w:val="single" w:sz="4" w:space="0" w:color="auto"/>
              <w:left w:val="single" w:sz="4" w:space="0" w:color="auto"/>
              <w:bottom w:val="single" w:sz="4" w:space="0" w:color="auto"/>
              <w:right w:val="single" w:sz="4" w:space="0" w:color="auto"/>
            </w:tcBorders>
            <w:vAlign w:val="center"/>
          </w:tcPr>
          <w:p w14:paraId="3CA7E8BF" w14:textId="47860CC4" w:rsidR="00995F3F" w:rsidRPr="00205C60" w:rsidRDefault="00995F3F" w:rsidP="00995F3F">
            <w:pPr>
              <w:jc w:val="center"/>
              <w:rPr>
                <w:rFonts w:ascii="Verdana" w:hAnsi="Verdana" w:cs="Arial"/>
                <w:snapToGrid w:val="0"/>
                <w:sz w:val="22"/>
                <w:szCs w:val="22"/>
              </w:rPr>
            </w:pPr>
            <w:r w:rsidRPr="00205C60">
              <w:rPr>
                <w:rFonts w:ascii="Verdana" w:hAnsi="Verdana" w:cs="Arial"/>
                <w:snapToGrid w:val="0"/>
                <w:sz w:val="22"/>
                <w:szCs w:val="22"/>
              </w:rPr>
              <w:t>2019</w:t>
            </w:r>
          </w:p>
        </w:tc>
        <w:tc>
          <w:tcPr>
            <w:tcW w:w="1064" w:type="pct"/>
            <w:tcBorders>
              <w:top w:val="single" w:sz="4" w:space="0" w:color="auto"/>
              <w:left w:val="single" w:sz="4" w:space="0" w:color="auto"/>
              <w:bottom w:val="single" w:sz="4" w:space="0" w:color="auto"/>
              <w:right w:val="single" w:sz="4" w:space="0" w:color="auto"/>
            </w:tcBorders>
            <w:vAlign w:val="center"/>
          </w:tcPr>
          <w:p w14:paraId="3CA7E8C0" w14:textId="522FEA92" w:rsidR="00995F3F" w:rsidRPr="00205C60" w:rsidRDefault="00995F3F" w:rsidP="00995F3F">
            <w:pPr>
              <w:jc w:val="center"/>
              <w:rPr>
                <w:rFonts w:ascii="Verdana" w:hAnsi="Verdana" w:cs="Arial"/>
                <w:sz w:val="22"/>
                <w:szCs w:val="22"/>
              </w:rPr>
            </w:pPr>
            <w:r w:rsidRPr="00205C60">
              <w:rPr>
                <w:rFonts w:ascii="Verdana" w:hAnsi="Verdana" w:cs="Arial"/>
                <w:sz w:val="22"/>
                <w:szCs w:val="22"/>
              </w:rPr>
              <w:t>804.253.290</w:t>
            </w:r>
          </w:p>
        </w:tc>
        <w:tc>
          <w:tcPr>
            <w:tcW w:w="174" w:type="pct"/>
            <w:tcBorders>
              <w:top w:val="single" w:sz="4" w:space="0" w:color="auto"/>
              <w:left w:val="single" w:sz="4" w:space="0" w:color="auto"/>
              <w:bottom w:val="single" w:sz="4" w:space="0" w:color="auto"/>
              <w:right w:val="nil"/>
            </w:tcBorders>
            <w:vAlign w:val="center"/>
          </w:tcPr>
          <w:p w14:paraId="3CA7E8C1" w14:textId="77777777" w:rsidR="00995F3F" w:rsidRPr="00205C60" w:rsidRDefault="00995F3F" w:rsidP="00995F3F">
            <w:pPr>
              <w:jc w:val="center"/>
              <w:rPr>
                <w:rFonts w:ascii="Verdana" w:hAnsi="Verdana" w:cs="Arial"/>
                <w:snapToGrid w:val="0"/>
                <w:sz w:val="22"/>
                <w:szCs w:val="22"/>
              </w:rPr>
            </w:pPr>
          </w:p>
        </w:tc>
        <w:tc>
          <w:tcPr>
            <w:tcW w:w="1464" w:type="pct"/>
            <w:tcBorders>
              <w:top w:val="single" w:sz="4" w:space="0" w:color="auto"/>
              <w:left w:val="nil"/>
              <w:bottom w:val="single" w:sz="4" w:space="0" w:color="auto"/>
              <w:right w:val="single" w:sz="4" w:space="0" w:color="auto"/>
            </w:tcBorders>
            <w:vAlign w:val="center"/>
          </w:tcPr>
          <w:p w14:paraId="3CA7E8C2" w14:textId="6121B2DD" w:rsidR="00995F3F" w:rsidRPr="00205C60" w:rsidRDefault="00995F3F" w:rsidP="00995F3F">
            <w:pPr>
              <w:jc w:val="center"/>
              <w:rPr>
                <w:rFonts w:ascii="Verdana" w:hAnsi="Verdana" w:cs="Arial"/>
                <w:sz w:val="22"/>
                <w:szCs w:val="22"/>
              </w:rPr>
            </w:pPr>
          </w:p>
        </w:tc>
        <w:tc>
          <w:tcPr>
            <w:tcW w:w="167" w:type="pct"/>
            <w:tcBorders>
              <w:top w:val="single" w:sz="4" w:space="0" w:color="auto"/>
              <w:left w:val="single" w:sz="4" w:space="0" w:color="auto"/>
              <w:bottom w:val="single" w:sz="4" w:space="0" w:color="auto"/>
            </w:tcBorders>
            <w:vAlign w:val="center"/>
          </w:tcPr>
          <w:p w14:paraId="3CA7E8C3" w14:textId="77777777" w:rsidR="00995F3F" w:rsidRPr="00205C60" w:rsidRDefault="00995F3F" w:rsidP="00995F3F">
            <w:pPr>
              <w:jc w:val="center"/>
              <w:rPr>
                <w:rFonts w:ascii="Verdana" w:hAnsi="Verdana" w:cs="Arial"/>
                <w:snapToGrid w:val="0"/>
                <w:sz w:val="22"/>
                <w:szCs w:val="22"/>
              </w:rPr>
            </w:pPr>
          </w:p>
        </w:tc>
        <w:tc>
          <w:tcPr>
            <w:tcW w:w="1623" w:type="pct"/>
            <w:tcBorders>
              <w:top w:val="single" w:sz="4" w:space="0" w:color="auto"/>
              <w:bottom w:val="single" w:sz="4" w:space="0" w:color="auto"/>
              <w:right w:val="single" w:sz="4" w:space="0" w:color="auto"/>
            </w:tcBorders>
            <w:vAlign w:val="center"/>
          </w:tcPr>
          <w:p w14:paraId="3CA7E8C4" w14:textId="411F197D" w:rsidR="00995F3F" w:rsidRPr="00205C60" w:rsidRDefault="00995F3F" w:rsidP="00995F3F">
            <w:pPr>
              <w:jc w:val="center"/>
              <w:rPr>
                <w:rFonts w:ascii="Verdana" w:hAnsi="Verdana" w:cs="Arial"/>
                <w:sz w:val="22"/>
                <w:szCs w:val="22"/>
              </w:rPr>
            </w:pPr>
          </w:p>
        </w:tc>
      </w:tr>
      <w:tr w:rsidR="007B71A0" w:rsidRPr="00205C60" w14:paraId="3CA7E8CC" w14:textId="77777777" w:rsidTr="00455835">
        <w:trPr>
          <w:trHeight w:val="262"/>
          <w:jc w:val="center"/>
        </w:trPr>
        <w:tc>
          <w:tcPr>
            <w:tcW w:w="508" w:type="pct"/>
            <w:tcBorders>
              <w:top w:val="single" w:sz="4" w:space="0" w:color="auto"/>
              <w:left w:val="single" w:sz="4" w:space="0" w:color="auto"/>
              <w:bottom w:val="single" w:sz="4" w:space="0" w:color="auto"/>
              <w:right w:val="single" w:sz="4" w:space="0" w:color="auto"/>
            </w:tcBorders>
            <w:vAlign w:val="center"/>
          </w:tcPr>
          <w:p w14:paraId="3CA7E8C6" w14:textId="1D66C2CA" w:rsidR="007B71A0" w:rsidRPr="00205C60" w:rsidRDefault="007B71A0" w:rsidP="007B71A0">
            <w:pPr>
              <w:jc w:val="center"/>
              <w:rPr>
                <w:rFonts w:ascii="Verdana" w:hAnsi="Verdana" w:cs="Arial"/>
                <w:snapToGrid w:val="0"/>
                <w:sz w:val="22"/>
                <w:szCs w:val="22"/>
              </w:rPr>
            </w:pPr>
            <w:r w:rsidRPr="00205C60">
              <w:rPr>
                <w:rFonts w:ascii="Verdana" w:hAnsi="Verdana" w:cs="Arial"/>
                <w:snapToGrid w:val="0"/>
                <w:sz w:val="22"/>
                <w:szCs w:val="22"/>
              </w:rPr>
              <w:t>2020</w:t>
            </w:r>
          </w:p>
        </w:tc>
        <w:tc>
          <w:tcPr>
            <w:tcW w:w="1064" w:type="pct"/>
            <w:tcBorders>
              <w:top w:val="single" w:sz="4" w:space="0" w:color="auto"/>
              <w:left w:val="single" w:sz="4" w:space="0" w:color="auto"/>
              <w:bottom w:val="single" w:sz="4" w:space="0" w:color="auto"/>
              <w:right w:val="single" w:sz="4" w:space="0" w:color="auto"/>
            </w:tcBorders>
            <w:vAlign w:val="center"/>
          </w:tcPr>
          <w:p w14:paraId="3CA7E8C7" w14:textId="0E7ED132" w:rsidR="007B71A0" w:rsidRPr="00205C60" w:rsidRDefault="007B71A0" w:rsidP="007B71A0">
            <w:pPr>
              <w:jc w:val="center"/>
              <w:rPr>
                <w:rFonts w:ascii="Verdana" w:hAnsi="Verdana" w:cs="Arial"/>
                <w:sz w:val="22"/>
                <w:szCs w:val="22"/>
              </w:rPr>
            </w:pPr>
            <w:r w:rsidRPr="00205C60">
              <w:rPr>
                <w:rFonts w:ascii="Verdana" w:hAnsi="Verdana" w:cs="Arial"/>
                <w:sz w:val="22"/>
                <w:szCs w:val="22"/>
              </w:rPr>
              <w:t>767.140.783</w:t>
            </w:r>
          </w:p>
        </w:tc>
        <w:tc>
          <w:tcPr>
            <w:tcW w:w="174" w:type="pct"/>
            <w:tcBorders>
              <w:top w:val="single" w:sz="4" w:space="0" w:color="auto"/>
              <w:left w:val="single" w:sz="4" w:space="0" w:color="auto"/>
              <w:bottom w:val="single" w:sz="4" w:space="0" w:color="auto"/>
              <w:right w:val="nil"/>
            </w:tcBorders>
            <w:vAlign w:val="center"/>
          </w:tcPr>
          <w:p w14:paraId="3CA7E8C8" w14:textId="77777777" w:rsidR="007B71A0" w:rsidRPr="00205C60" w:rsidRDefault="007B71A0" w:rsidP="007B71A0">
            <w:pPr>
              <w:jc w:val="center"/>
              <w:rPr>
                <w:rFonts w:ascii="Verdana" w:hAnsi="Verdana" w:cs="Arial"/>
                <w:snapToGrid w:val="0"/>
                <w:sz w:val="22"/>
                <w:szCs w:val="22"/>
              </w:rPr>
            </w:pPr>
          </w:p>
        </w:tc>
        <w:tc>
          <w:tcPr>
            <w:tcW w:w="1464" w:type="pct"/>
            <w:tcBorders>
              <w:top w:val="single" w:sz="4" w:space="0" w:color="auto"/>
              <w:left w:val="nil"/>
              <w:bottom w:val="single" w:sz="4" w:space="0" w:color="auto"/>
              <w:right w:val="single" w:sz="4" w:space="0" w:color="auto"/>
            </w:tcBorders>
            <w:vAlign w:val="center"/>
          </w:tcPr>
          <w:p w14:paraId="3CA7E8C9" w14:textId="10719055" w:rsidR="007B71A0" w:rsidRPr="00205C60" w:rsidRDefault="007B71A0" w:rsidP="007B71A0">
            <w:pPr>
              <w:jc w:val="center"/>
              <w:rPr>
                <w:rFonts w:ascii="Verdana" w:hAnsi="Verdana" w:cs="Arial"/>
                <w:sz w:val="22"/>
                <w:szCs w:val="22"/>
              </w:rPr>
            </w:pPr>
            <w:r w:rsidRPr="00205C60">
              <w:rPr>
                <w:rFonts w:ascii="Verdana" w:hAnsi="Verdana" w:cs="Arial"/>
                <w:sz w:val="22"/>
                <w:szCs w:val="22"/>
              </w:rPr>
              <w:t>1.571.394.073</w:t>
            </w:r>
          </w:p>
        </w:tc>
        <w:tc>
          <w:tcPr>
            <w:tcW w:w="167" w:type="pct"/>
            <w:tcBorders>
              <w:top w:val="single" w:sz="4" w:space="0" w:color="auto"/>
              <w:left w:val="single" w:sz="4" w:space="0" w:color="auto"/>
              <w:bottom w:val="single" w:sz="4" w:space="0" w:color="auto"/>
            </w:tcBorders>
            <w:vAlign w:val="center"/>
          </w:tcPr>
          <w:p w14:paraId="3CA7E8CA" w14:textId="77777777" w:rsidR="007B71A0" w:rsidRPr="00205C60" w:rsidRDefault="007B71A0" w:rsidP="007B71A0">
            <w:pPr>
              <w:jc w:val="center"/>
              <w:rPr>
                <w:rFonts w:ascii="Verdana" w:hAnsi="Verdana" w:cs="Arial"/>
                <w:snapToGrid w:val="0"/>
                <w:sz w:val="22"/>
                <w:szCs w:val="22"/>
              </w:rPr>
            </w:pPr>
          </w:p>
        </w:tc>
        <w:tc>
          <w:tcPr>
            <w:tcW w:w="1623" w:type="pct"/>
            <w:tcBorders>
              <w:top w:val="single" w:sz="4" w:space="0" w:color="auto"/>
              <w:bottom w:val="single" w:sz="4" w:space="0" w:color="auto"/>
              <w:right w:val="single" w:sz="4" w:space="0" w:color="auto"/>
            </w:tcBorders>
            <w:vAlign w:val="center"/>
          </w:tcPr>
          <w:p w14:paraId="3CA7E8CB" w14:textId="59CAAC93" w:rsidR="007B71A0" w:rsidRPr="00205C60" w:rsidRDefault="007B71A0" w:rsidP="007B71A0">
            <w:pPr>
              <w:jc w:val="center"/>
              <w:rPr>
                <w:rFonts w:ascii="Verdana" w:hAnsi="Verdana" w:cs="Arial"/>
                <w:sz w:val="22"/>
                <w:szCs w:val="22"/>
              </w:rPr>
            </w:pPr>
            <w:r w:rsidRPr="00205C60">
              <w:rPr>
                <w:rFonts w:ascii="Verdana" w:hAnsi="Verdana" w:cs="Arial"/>
                <w:sz w:val="22"/>
                <w:szCs w:val="22"/>
              </w:rPr>
              <w:t>785.697.036</w:t>
            </w:r>
          </w:p>
        </w:tc>
      </w:tr>
      <w:tr w:rsidR="007B71A0" w:rsidRPr="00205C60" w14:paraId="3CA7E8D3" w14:textId="77777777" w:rsidTr="00455835">
        <w:trPr>
          <w:trHeight w:val="262"/>
          <w:jc w:val="center"/>
        </w:trPr>
        <w:tc>
          <w:tcPr>
            <w:tcW w:w="508" w:type="pct"/>
            <w:tcBorders>
              <w:top w:val="single" w:sz="4" w:space="0" w:color="auto"/>
              <w:left w:val="single" w:sz="4" w:space="0" w:color="auto"/>
              <w:bottom w:val="single" w:sz="4" w:space="0" w:color="auto"/>
              <w:right w:val="single" w:sz="4" w:space="0" w:color="auto"/>
            </w:tcBorders>
            <w:vAlign w:val="center"/>
          </w:tcPr>
          <w:p w14:paraId="3CA7E8CD" w14:textId="6401AFD5" w:rsidR="007B71A0" w:rsidRPr="00205C60" w:rsidRDefault="007B71A0" w:rsidP="007B71A0">
            <w:pPr>
              <w:jc w:val="center"/>
              <w:rPr>
                <w:rFonts w:ascii="Verdana" w:hAnsi="Verdana" w:cs="Arial"/>
                <w:snapToGrid w:val="0"/>
                <w:sz w:val="22"/>
                <w:szCs w:val="22"/>
              </w:rPr>
            </w:pPr>
            <w:r w:rsidRPr="00205C60">
              <w:rPr>
                <w:rFonts w:ascii="Verdana" w:hAnsi="Verdana" w:cs="Arial"/>
                <w:snapToGrid w:val="0"/>
                <w:sz w:val="22"/>
                <w:szCs w:val="22"/>
              </w:rPr>
              <w:t>2021</w:t>
            </w:r>
          </w:p>
        </w:tc>
        <w:tc>
          <w:tcPr>
            <w:tcW w:w="1064" w:type="pct"/>
            <w:tcBorders>
              <w:top w:val="single" w:sz="4" w:space="0" w:color="auto"/>
              <w:left w:val="single" w:sz="4" w:space="0" w:color="auto"/>
              <w:bottom w:val="single" w:sz="4" w:space="0" w:color="auto"/>
              <w:right w:val="single" w:sz="4" w:space="0" w:color="auto"/>
            </w:tcBorders>
            <w:vAlign w:val="center"/>
          </w:tcPr>
          <w:p w14:paraId="3CA7E8CE" w14:textId="75585FC9" w:rsidR="007B71A0" w:rsidRPr="00205C60" w:rsidRDefault="007B71A0" w:rsidP="007B71A0">
            <w:pPr>
              <w:jc w:val="center"/>
              <w:rPr>
                <w:rFonts w:ascii="Verdana" w:hAnsi="Verdana" w:cs="Arial"/>
                <w:sz w:val="22"/>
                <w:szCs w:val="22"/>
              </w:rPr>
            </w:pPr>
            <w:r w:rsidRPr="00205C60">
              <w:rPr>
                <w:rFonts w:ascii="Verdana" w:hAnsi="Verdana" w:cs="Arial"/>
                <w:sz w:val="22"/>
                <w:szCs w:val="22"/>
              </w:rPr>
              <w:t>737.805.420</w:t>
            </w:r>
          </w:p>
        </w:tc>
        <w:tc>
          <w:tcPr>
            <w:tcW w:w="174" w:type="pct"/>
            <w:tcBorders>
              <w:top w:val="single" w:sz="4" w:space="0" w:color="auto"/>
              <w:left w:val="single" w:sz="4" w:space="0" w:color="auto"/>
              <w:bottom w:val="single" w:sz="4" w:space="0" w:color="auto"/>
              <w:right w:val="nil"/>
            </w:tcBorders>
            <w:vAlign w:val="center"/>
          </w:tcPr>
          <w:p w14:paraId="3CA7E8CF" w14:textId="77777777" w:rsidR="007B71A0" w:rsidRPr="00205C60" w:rsidRDefault="007B71A0" w:rsidP="007B71A0">
            <w:pPr>
              <w:jc w:val="center"/>
              <w:rPr>
                <w:rFonts w:ascii="Verdana" w:hAnsi="Verdana" w:cs="Arial"/>
                <w:snapToGrid w:val="0"/>
                <w:sz w:val="22"/>
                <w:szCs w:val="22"/>
              </w:rPr>
            </w:pPr>
          </w:p>
        </w:tc>
        <w:tc>
          <w:tcPr>
            <w:tcW w:w="1464" w:type="pct"/>
            <w:tcBorders>
              <w:top w:val="single" w:sz="4" w:space="0" w:color="auto"/>
              <w:left w:val="nil"/>
              <w:bottom w:val="single" w:sz="4" w:space="0" w:color="auto"/>
              <w:right w:val="single" w:sz="4" w:space="0" w:color="auto"/>
            </w:tcBorders>
            <w:vAlign w:val="center"/>
          </w:tcPr>
          <w:p w14:paraId="3CA7E8D0" w14:textId="2CFDAA96" w:rsidR="007B71A0" w:rsidRPr="00205C60" w:rsidRDefault="007B71A0" w:rsidP="007B71A0">
            <w:pPr>
              <w:jc w:val="center"/>
              <w:rPr>
                <w:rFonts w:ascii="Verdana" w:hAnsi="Verdana" w:cs="Arial"/>
                <w:sz w:val="22"/>
                <w:szCs w:val="22"/>
              </w:rPr>
            </w:pPr>
            <w:r w:rsidRPr="00205C60">
              <w:rPr>
                <w:rFonts w:ascii="Verdana" w:hAnsi="Verdana" w:cs="Arial"/>
                <w:sz w:val="22"/>
                <w:szCs w:val="22"/>
              </w:rPr>
              <w:t>1.504.946.203</w:t>
            </w:r>
          </w:p>
        </w:tc>
        <w:tc>
          <w:tcPr>
            <w:tcW w:w="167" w:type="pct"/>
            <w:tcBorders>
              <w:top w:val="single" w:sz="4" w:space="0" w:color="auto"/>
              <w:left w:val="single" w:sz="4" w:space="0" w:color="auto"/>
              <w:bottom w:val="single" w:sz="4" w:space="0" w:color="auto"/>
            </w:tcBorders>
            <w:vAlign w:val="center"/>
          </w:tcPr>
          <w:p w14:paraId="3CA7E8D1" w14:textId="77777777" w:rsidR="007B71A0" w:rsidRPr="00205C60" w:rsidRDefault="007B71A0" w:rsidP="007B71A0">
            <w:pPr>
              <w:jc w:val="center"/>
              <w:rPr>
                <w:rFonts w:ascii="Verdana" w:hAnsi="Verdana" w:cs="Arial"/>
                <w:snapToGrid w:val="0"/>
                <w:sz w:val="22"/>
                <w:szCs w:val="22"/>
              </w:rPr>
            </w:pPr>
          </w:p>
        </w:tc>
        <w:tc>
          <w:tcPr>
            <w:tcW w:w="1623" w:type="pct"/>
            <w:tcBorders>
              <w:top w:val="single" w:sz="4" w:space="0" w:color="auto"/>
              <w:bottom w:val="single" w:sz="4" w:space="0" w:color="auto"/>
              <w:right w:val="single" w:sz="4" w:space="0" w:color="auto"/>
            </w:tcBorders>
            <w:vAlign w:val="center"/>
          </w:tcPr>
          <w:p w14:paraId="3CA7E8D2" w14:textId="1D5E15FE" w:rsidR="007B71A0" w:rsidRPr="00205C60" w:rsidRDefault="007B71A0" w:rsidP="007B71A0">
            <w:pPr>
              <w:jc w:val="center"/>
              <w:rPr>
                <w:rFonts w:ascii="Verdana" w:hAnsi="Verdana" w:cs="Arial"/>
                <w:sz w:val="22"/>
                <w:szCs w:val="22"/>
              </w:rPr>
            </w:pPr>
            <w:r w:rsidRPr="00205C60">
              <w:rPr>
                <w:rFonts w:ascii="Verdana" w:hAnsi="Verdana" w:cs="Arial"/>
                <w:sz w:val="22"/>
                <w:szCs w:val="22"/>
              </w:rPr>
              <w:t>752.473.101</w:t>
            </w:r>
          </w:p>
        </w:tc>
      </w:tr>
      <w:tr w:rsidR="007038D5" w:rsidRPr="00205C60" w14:paraId="5DADCE56" w14:textId="77777777" w:rsidTr="00455835">
        <w:trPr>
          <w:trHeight w:val="262"/>
          <w:jc w:val="center"/>
        </w:trPr>
        <w:tc>
          <w:tcPr>
            <w:tcW w:w="508" w:type="pct"/>
            <w:tcBorders>
              <w:top w:val="single" w:sz="4" w:space="0" w:color="auto"/>
              <w:left w:val="single" w:sz="4" w:space="0" w:color="auto"/>
              <w:bottom w:val="single" w:sz="4" w:space="0" w:color="auto"/>
              <w:right w:val="single" w:sz="4" w:space="0" w:color="auto"/>
            </w:tcBorders>
            <w:vAlign w:val="center"/>
          </w:tcPr>
          <w:p w14:paraId="0702C73B" w14:textId="175B0AAD" w:rsidR="007038D5" w:rsidRPr="00205C60" w:rsidRDefault="007038D5" w:rsidP="00B754E2">
            <w:pPr>
              <w:jc w:val="center"/>
              <w:rPr>
                <w:rFonts w:ascii="Verdana" w:hAnsi="Verdana" w:cs="Arial"/>
                <w:snapToGrid w:val="0"/>
                <w:sz w:val="22"/>
                <w:szCs w:val="22"/>
              </w:rPr>
            </w:pPr>
            <w:r w:rsidRPr="00205C60">
              <w:rPr>
                <w:rFonts w:ascii="Verdana" w:hAnsi="Verdana" w:cs="Arial"/>
                <w:snapToGrid w:val="0"/>
                <w:sz w:val="22"/>
                <w:szCs w:val="22"/>
              </w:rPr>
              <w:t>202</w:t>
            </w:r>
            <w:r w:rsidR="00995F3F" w:rsidRPr="00205C60">
              <w:rPr>
                <w:rFonts w:ascii="Verdana" w:hAnsi="Verdana" w:cs="Arial"/>
                <w:snapToGrid w:val="0"/>
                <w:sz w:val="22"/>
                <w:szCs w:val="22"/>
              </w:rPr>
              <w:t>2</w:t>
            </w:r>
          </w:p>
        </w:tc>
        <w:tc>
          <w:tcPr>
            <w:tcW w:w="1064" w:type="pct"/>
            <w:tcBorders>
              <w:top w:val="single" w:sz="4" w:space="0" w:color="auto"/>
              <w:left w:val="single" w:sz="4" w:space="0" w:color="auto"/>
              <w:bottom w:val="single" w:sz="4" w:space="0" w:color="auto"/>
              <w:right w:val="single" w:sz="4" w:space="0" w:color="auto"/>
            </w:tcBorders>
            <w:vAlign w:val="center"/>
          </w:tcPr>
          <w:p w14:paraId="10A1D0AB" w14:textId="06673F53" w:rsidR="007038D5" w:rsidRPr="00205C60" w:rsidRDefault="00BF2300" w:rsidP="00B754E2">
            <w:pPr>
              <w:jc w:val="center"/>
              <w:rPr>
                <w:rFonts w:ascii="Verdana" w:hAnsi="Verdana" w:cs="Arial"/>
                <w:sz w:val="22"/>
                <w:szCs w:val="22"/>
              </w:rPr>
            </w:pPr>
            <w:r w:rsidRPr="00205C60">
              <w:rPr>
                <w:rFonts w:ascii="Verdana" w:hAnsi="Verdana" w:cs="Arial"/>
                <w:sz w:val="22"/>
                <w:szCs w:val="22"/>
              </w:rPr>
              <w:t>73</w:t>
            </w:r>
            <w:r w:rsidR="00F52D00" w:rsidRPr="00205C60">
              <w:rPr>
                <w:rFonts w:ascii="Verdana" w:hAnsi="Verdana" w:cs="Arial"/>
                <w:sz w:val="22"/>
                <w:szCs w:val="22"/>
              </w:rPr>
              <w:t>4</w:t>
            </w:r>
            <w:r w:rsidRPr="00205C60">
              <w:rPr>
                <w:rFonts w:ascii="Verdana" w:hAnsi="Verdana" w:cs="Arial"/>
                <w:sz w:val="22"/>
                <w:szCs w:val="22"/>
              </w:rPr>
              <w:t>.</w:t>
            </w:r>
            <w:r w:rsidR="00F52D00" w:rsidRPr="00205C60">
              <w:rPr>
                <w:rFonts w:ascii="Verdana" w:hAnsi="Verdana" w:cs="Arial"/>
                <w:sz w:val="22"/>
                <w:szCs w:val="22"/>
              </w:rPr>
              <w:t>356</w:t>
            </w:r>
            <w:r w:rsidRPr="00205C60">
              <w:rPr>
                <w:rFonts w:ascii="Verdana" w:hAnsi="Verdana" w:cs="Arial"/>
                <w:sz w:val="22"/>
                <w:szCs w:val="22"/>
              </w:rPr>
              <w:t>.</w:t>
            </w:r>
            <w:r w:rsidR="00F52D00" w:rsidRPr="00205C60">
              <w:rPr>
                <w:rFonts w:ascii="Verdana" w:hAnsi="Verdana" w:cs="Arial"/>
                <w:sz w:val="22"/>
                <w:szCs w:val="22"/>
              </w:rPr>
              <w:t>363</w:t>
            </w:r>
          </w:p>
        </w:tc>
        <w:tc>
          <w:tcPr>
            <w:tcW w:w="174" w:type="pct"/>
            <w:tcBorders>
              <w:top w:val="single" w:sz="4" w:space="0" w:color="auto"/>
              <w:left w:val="single" w:sz="4" w:space="0" w:color="auto"/>
              <w:bottom w:val="single" w:sz="4" w:space="0" w:color="auto"/>
              <w:right w:val="nil"/>
            </w:tcBorders>
            <w:vAlign w:val="center"/>
          </w:tcPr>
          <w:p w14:paraId="2ACEE65F" w14:textId="77777777" w:rsidR="007038D5" w:rsidRPr="00205C60" w:rsidRDefault="007038D5" w:rsidP="00B754E2">
            <w:pPr>
              <w:jc w:val="center"/>
              <w:rPr>
                <w:rFonts w:ascii="Verdana" w:hAnsi="Verdana" w:cs="Arial"/>
                <w:snapToGrid w:val="0"/>
                <w:sz w:val="22"/>
                <w:szCs w:val="22"/>
              </w:rPr>
            </w:pPr>
          </w:p>
        </w:tc>
        <w:tc>
          <w:tcPr>
            <w:tcW w:w="1464" w:type="pct"/>
            <w:tcBorders>
              <w:top w:val="single" w:sz="4" w:space="0" w:color="auto"/>
              <w:left w:val="nil"/>
              <w:bottom w:val="single" w:sz="4" w:space="0" w:color="auto"/>
              <w:right w:val="single" w:sz="4" w:space="0" w:color="auto"/>
            </w:tcBorders>
            <w:vAlign w:val="center"/>
          </w:tcPr>
          <w:p w14:paraId="5E689178" w14:textId="260C0FCC" w:rsidR="007038D5" w:rsidRPr="00205C60" w:rsidRDefault="00587092" w:rsidP="00B754E2">
            <w:pPr>
              <w:jc w:val="center"/>
              <w:rPr>
                <w:rFonts w:ascii="Verdana" w:hAnsi="Verdana" w:cs="Arial"/>
                <w:sz w:val="22"/>
                <w:szCs w:val="22"/>
              </w:rPr>
            </w:pPr>
            <w:r w:rsidRPr="00205C60">
              <w:rPr>
                <w:rFonts w:ascii="Verdana" w:hAnsi="Verdana" w:cs="Arial"/>
                <w:sz w:val="22"/>
                <w:szCs w:val="22"/>
              </w:rPr>
              <w:t>1.</w:t>
            </w:r>
            <w:r w:rsidR="007B43EA" w:rsidRPr="00205C60">
              <w:rPr>
                <w:rFonts w:ascii="Verdana" w:hAnsi="Verdana" w:cs="Arial"/>
                <w:sz w:val="22"/>
                <w:szCs w:val="22"/>
              </w:rPr>
              <w:t>472</w:t>
            </w:r>
            <w:r w:rsidRPr="00205C60">
              <w:rPr>
                <w:rFonts w:ascii="Verdana" w:hAnsi="Verdana" w:cs="Arial"/>
                <w:sz w:val="22"/>
                <w:szCs w:val="22"/>
              </w:rPr>
              <w:t>.</w:t>
            </w:r>
            <w:r w:rsidR="007B43EA" w:rsidRPr="00205C60">
              <w:rPr>
                <w:rFonts w:ascii="Verdana" w:hAnsi="Verdana" w:cs="Arial"/>
                <w:sz w:val="22"/>
                <w:szCs w:val="22"/>
              </w:rPr>
              <w:t>161</w:t>
            </w:r>
            <w:r w:rsidRPr="00205C60">
              <w:rPr>
                <w:rFonts w:ascii="Verdana" w:hAnsi="Verdana" w:cs="Arial"/>
                <w:sz w:val="22"/>
                <w:szCs w:val="22"/>
              </w:rPr>
              <w:t>.</w:t>
            </w:r>
            <w:r w:rsidR="007B43EA" w:rsidRPr="00205C60">
              <w:rPr>
                <w:rFonts w:ascii="Verdana" w:hAnsi="Verdana" w:cs="Arial"/>
                <w:sz w:val="22"/>
                <w:szCs w:val="22"/>
              </w:rPr>
              <w:t>783</w:t>
            </w:r>
          </w:p>
        </w:tc>
        <w:tc>
          <w:tcPr>
            <w:tcW w:w="167" w:type="pct"/>
            <w:tcBorders>
              <w:top w:val="single" w:sz="4" w:space="0" w:color="auto"/>
              <w:left w:val="single" w:sz="4" w:space="0" w:color="auto"/>
              <w:bottom w:val="single" w:sz="4" w:space="0" w:color="auto"/>
            </w:tcBorders>
            <w:vAlign w:val="center"/>
          </w:tcPr>
          <w:p w14:paraId="6CA182F4" w14:textId="77777777" w:rsidR="007038D5" w:rsidRPr="00205C60" w:rsidRDefault="007038D5" w:rsidP="00B754E2">
            <w:pPr>
              <w:jc w:val="center"/>
              <w:rPr>
                <w:rFonts w:ascii="Verdana" w:hAnsi="Verdana" w:cs="Arial"/>
                <w:snapToGrid w:val="0"/>
                <w:sz w:val="22"/>
                <w:szCs w:val="22"/>
              </w:rPr>
            </w:pPr>
          </w:p>
        </w:tc>
        <w:tc>
          <w:tcPr>
            <w:tcW w:w="1623" w:type="pct"/>
            <w:tcBorders>
              <w:top w:val="single" w:sz="4" w:space="0" w:color="auto"/>
              <w:bottom w:val="single" w:sz="4" w:space="0" w:color="auto"/>
              <w:right w:val="single" w:sz="4" w:space="0" w:color="auto"/>
            </w:tcBorders>
            <w:vAlign w:val="center"/>
          </w:tcPr>
          <w:p w14:paraId="0B29CD18" w14:textId="735CDFE9" w:rsidR="007038D5" w:rsidRPr="00205C60" w:rsidRDefault="00CE71FC" w:rsidP="00B754E2">
            <w:pPr>
              <w:jc w:val="center"/>
              <w:rPr>
                <w:rFonts w:ascii="Verdana" w:hAnsi="Verdana" w:cs="Arial"/>
                <w:sz w:val="22"/>
                <w:szCs w:val="22"/>
              </w:rPr>
            </w:pPr>
            <w:r w:rsidRPr="00205C60">
              <w:rPr>
                <w:rFonts w:ascii="Verdana" w:hAnsi="Verdana" w:cs="Arial"/>
                <w:sz w:val="22"/>
                <w:szCs w:val="22"/>
              </w:rPr>
              <w:t>7</w:t>
            </w:r>
            <w:r w:rsidR="007B71A0" w:rsidRPr="00205C60">
              <w:rPr>
                <w:rFonts w:ascii="Verdana" w:hAnsi="Verdana" w:cs="Arial"/>
                <w:sz w:val="22"/>
                <w:szCs w:val="22"/>
              </w:rPr>
              <w:t>36</w:t>
            </w:r>
            <w:r w:rsidRPr="00205C60">
              <w:rPr>
                <w:rFonts w:ascii="Verdana" w:hAnsi="Verdana" w:cs="Arial"/>
                <w:sz w:val="22"/>
                <w:szCs w:val="22"/>
              </w:rPr>
              <w:t>.</w:t>
            </w:r>
            <w:r w:rsidR="007B71A0" w:rsidRPr="00205C60">
              <w:rPr>
                <w:rFonts w:ascii="Verdana" w:hAnsi="Verdana" w:cs="Arial"/>
                <w:sz w:val="22"/>
                <w:szCs w:val="22"/>
              </w:rPr>
              <w:t>080</w:t>
            </w:r>
            <w:r w:rsidRPr="00205C60">
              <w:rPr>
                <w:rFonts w:ascii="Verdana" w:hAnsi="Verdana" w:cs="Arial"/>
                <w:sz w:val="22"/>
                <w:szCs w:val="22"/>
              </w:rPr>
              <w:t>.</w:t>
            </w:r>
            <w:r w:rsidR="007B71A0" w:rsidRPr="00205C60">
              <w:rPr>
                <w:rFonts w:ascii="Verdana" w:hAnsi="Verdana" w:cs="Arial"/>
                <w:sz w:val="22"/>
                <w:szCs w:val="22"/>
              </w:rPr>
              <w:t>892</w:t>
            </w:r>
          </w:p>
        </w:tc>
      </w:tr>
      <w:tr w:rsidR="00B754E2" w:rsidRPr="00205C60" w14:paraId="3CA7E8D7" w14:textId="77777777" w:rsidTr="00455835">
        <w:trPr>
          <w:cantSplit/>
          <w:trHeight w:val="504"/>
          <w:jc w:val="center"/>
        </w:trPr>
        <w:tc>
          <w:tcPr>
            <w:tcW w:w="3210" w:type="pct"/>
            <w:gridSpan w:val="4"/>
            <w:tcBorders>
              <w:top w:val="single" w:sz="4" w:space="0" w:color="auto"/>
              <w:left w:val="single" w:sz="4" w:space="0" w:color="auto"/>
              <w:bottom w:val="single" w:sz="4" w:space="0" w:color="auto"/>
              <w:right w:val="single" w:sz="4" w:space="0" w:color="auto"/>
            </w:tcBorders>
            <w:shd w:val="solid" w:color="FFFFFF" w:fill="auto"/>
            <w:vAlign w:val="center"/>
          </w:tcPr>
          <w:p w14:paraId="3CA7E8D4" w14:textId="77777777" w:rsidR="00BF0257" w:rsidRPr="00205C60" w:rsidRDefault="00BF0257" w:rsidP="00B754E2">
            <w:pPr>
              <w:jc w:val="center"/>
              <w:rPr>
                <w:rFonts w:ascii="Verdana" w:hAnsi="Verdana" w:cs="Arial"/>
                <w:b/>
                <w:snapToGrid w:val="0"/>
                <w:sz w:val="22"/>
                <w:szCs w:val="22"/>
              </w:rPr>
            </w:pPr>
            <w:r w:rsidRPr="00205C60">
              <w:rPr>
                <w:rFonts w:ascii="Verdana" w:hAnsi="Verdana" w:cs="Arial"/>
                <w:b/>
                <w:snapToGrid w:val="0"/>
                <w:sz w:val="22"/>
                <w:szCs w:val="22"/>
              </w:rPr>
              <w:t>Cálculo del Indicador</w:t>
            </w:r>
          </w:p>
        </w:tc>
        <w:tc>
          <w:tcPr>
            <w:tcW w:w="167" w:type="pct"/>
            <w:tcBorders>
              <w:top w:val="single" w:sz="4" w:space="0" w:color="auto"/>
              <w:left w:val="single" w:sz="4" w:space="0" w:color="auto"/>
              <w:bottom w:val="single" w:sz="4" w:space="0" w:color="auto"/>
              <w:right w:val="nil"/>
            </w:tcBorders>
            <w:shd w:val="solid" w:color="FFFFFF" w:fill="auto"/>
            <w:vAlign w:val="center"/>
          </w:tcPr>
          <w:p w14:paraId="3CA7E8D5" w14:textId="77777777" w:rsidR="00BF0257" w:rsidRPr="00205C60" w:rsidRDefault="00BF0257" w:rsidP="00B754E2">
            <w:pPr>
              <w:jc w:val="center"/>
              <w:rPr>
                <w:rFonts w:ascii="Verdana" w:hAnsi="Verdana" w:cs="Arial"/>
                <w:b/>
                <w:snapToGrid w:val="0"/>
                <w:sz w:val="22"/>
                <w:szCs w:val="22"/>
              </w:rPr>
            </w:pPr>
          </w:p>
        </w:tc>
        <w:tc>
          <w:tcPr>
            <w:tcW w:w="1623" w:type="pct"/>
            <w:tcBorders>
              <w:top w:val="single" w:sz="4" w:space="0" w:color="auto"/>
              <w:left w:val="nil"/>
              <w:bottom w:val="single" w:sz="4" w:space="0" w:color="auto"/>
              <w:right w:val="single" w:sz="4" w:space="0" w:color="auto"/>
            </w:tcBorders>
            <w:shd w:val="solid" w:color="FFFFFF" w:fill="auto"/>
            <w:vAlign w:val="center"/>
          </w:tcPr>
          <w:p w14:paraId="3CA7E8D6" w14:textId="77777777" w:rsidR="00BF0257" w:rsidRPr="00205C60" w:rsidRDefault="00BF0257" w:rsidP="00B754E2">
            <w:pPr>
              <w:jc w:val="center"/>
              <w:rPr>
                <w:rFonts w:ascii="Verdana" w:hAnsi="Verdana" w:cs="Arial"/>
                <w:b/>
                <w:snapToGrid w:val="0"/>
                <w:sz w:val="22"/>
                <w:szCs w:val="22"/>
              </w:rPr>
            </w:pPr>
            <w:r w:rsidRPr="00205C60">
              <w:rPr>
                <w:rFonts w:ascii="Verdana" w:hAnsi="Verdana" w:cs="Arial"/>
                <w:b/>
                <w:snapToGrid w:val="0"/>
                <w:sz w:val="22"/>
                <w:szCs w:val="22"/>
              </w:rPr>
              <w:t>Resultados</w:t>
            </w:r>
          </w:p>
        </w:tc>
      </w:tr>
      <w:tr w:rsidR="00B754E2" w:rsidRPr="00205C60" w14:paraId="3CA7E8DE" w14:textId="77777777" w:rsidTr="00455835">
        <w:trPr>
          <w:trHeight w:val="341"/>
          <w:jc w:val="center"/>
        </w:trPr>
        <w:tc>
          <w:tcPr>
            <w:tcW w:w="508" w:type="pct"/>
            <w:tcBorders>
              <w:top w:val="single" w:sz="4" w:space="0" w:color="auto"/>
              <w:left w:val="single" w:sz="4" w:space="0" w:color="auto"/>
              <w:bottom w:val="single" w:sz="4" w:space="0" w:color="auto"/>
            </w:tcBorders>
            <w:shd w:val="solid" w:color="FFFFFF" w:fill="auto"/>
            <w:vAlign w:val="center"/>
          </w:tcPr>
          <w:p w14:paraId="3CA7E8D8" w14:textId="77777777" w:rsidR="00BF0257" w:rsidRPr="00205C60" w:rsidRDefault="00BF0257" w:rsidP="00B754E2">
            <w:pPr>
              <w:jc w:val="center"/>
              <w:rPr>
                <w:rFonts w:ascii="Verdana" w:hAnsi="Verdana" w:cs="Arial"/>
                <w:b/>
                <w:bCs/>
                <w:snapToGrid w:val="0"/>
                <w:sz w:val="22"/>
                <w:szCs w:val="22"/>
              </w:rPr>
            </w:pPr>
            <w:r w:rsidRPr="00205C60">
              <w:rPr>
                <w:rFonts w:ascii="Verdana" w:hAnsi="Verdana" w:cs="Arial"/>
                <w:b/>
                <w:bCs/>
                <w:snapToGrid w:val="0"/>
                <w:sz w:val="22"/>
                <w:szCs w:val="22"/>
              </w:rPr>
              <w:t>Año</w:t>
            </w:r>
          </w:p>
        </w:tc>
        <w:tc>
          <w:tcPr>
            <w:tcW w:w="1064" w:type="pct"/>
            <w:shd w:val="solid" w:color="FFFFFF" w:fill="auto"/>
            <w:vAlign w:val="center"/>
          </w:tcPr>
          <w:p w14:paraId="3CA7E8D9" w14:textId="77777777" w:rsidR="00BF0257" w:rsidRPr="00205C60" w:rsidRDefault="00BF0257" w:rsidP="00B754E2">
            <w:pPr>
              <w:jc w:val="center"/>
              <w:rPr>
                <w:rFonts w:ascii="Verdana" w:hAnsi="Verdana" w:cs="Arial"/>
                <w:b/>
                <w:bCs/>
                <w:snapToGrid w:val="0"/>
                <w:sz w:val="22"/>
                <w:szCs w:val="22"/>
              </w:rPr>
            </w:pPr>
            <w:r w:rsidRPr="00205C60">
              <w:rPr>
                <w:rFonts w:ascii="Verdana" w:hAnsi="Verdana" w:cs="Arial"/>
                <w:b/>
                <w:bCs/>
                <w:snapToGrid w:val="0"/>
                <w:sz w:val="22"/>
                <w:szCs w:val="22"/>
              </w:rPr>
              <w:t>Utilidad neta</w:t>
            </w:r>
          </w:p>
        </w:tc>
        <w:tc>
          <w:tcPr>
            <w:tcW w:w="174" w:type="pct"/>
            <w:tcBorders>
              <w:left w:val="nil"/>
              <w:right w:val="nil"/>
            </w:tcBorders>
            <w:shd w:val="solid" w:color="FFFFFF" w:fill="auto"/>
            <w:vAlign w:val="center"/>
          </w:tcPr>
          <w:p w14:paraId="3CA7E8DA" w14:textId="77777777" w:rsidR="00BF0257" w:rsidRPr="00205C60" w:rsidRDefault="00BF0257" w:rsidP="00B754E2">
            <w:pPr>
              <w:jc w:val="center"/>
              <w:rPr>
                <w:rFonts w:ascii="Verdana" w:hAnsi="Verdana" w:cs="Arial"/>
                <w:b/>
                <w:bCs/>
                <w:snapToGrid w:val="0"/>
                <w:sz w:val="22"/>
                <w:szCs w:val="22"/>
              </w:rPr>
            </w:pPr>
            <w:r w:rsidRPr="00205C60">
              <w:rPr>
                <w:rFonts w:ascii="Verdana" w:hAnsi="Verdana" w:cs="Arial"/>
                <w:b/>
                <w:bCs/>
                <w:snapToGrid w:val="0"/>
                <w:sz w:val="22"/>
                <w:szCs w:val="22"/>
              </w:rPr>
              <w:t>÷</w:t>
            </w:r>
          </w:p>
        </w:tc>
        <w:tc>
          <w:tcPr>
            <w:tcW w:w="1464" w:type="pct"/>
            <w:tcBorders>
              <w:left w:val="nil"/>
            </w:tcBorders>
            <w:shd w:val="solid" w:color="FFFFFF" w:fill="auto"/>
            <w:vAlign w:val="center"/>
          </w:tcPr>
          <w:p w14:paraId="3CA7E8DB" w14:textId="77777777" w:rsidR="00BF0257" w:rsidRPr="00205C60" w:rsidRDefault="00BF0257" w:rsidP="00B754E2">
            <w:pPr>
              <w:jc w:val="center"/>
              <w:rPr>
                <w:rFonts w:ascii="Verdana" w:hAnsi="Verdana" w:cs="Arial"/>
                <w:b/>
                <w:bCs/>
                <w:snapToGrid w:val="0"/>
                <w:sz w:val="22"/>
                <w:szCs w:val="22"/>
              </w:rPr>
            </w:pPr>
            <w:r w:rsidRPr="00205C60">
              <w:rPr>
                <w:rFonts w:ascii="Verdana" w:hAnsi="Verdana" w:cs="Arial"/>
                <w:b/>
                <w:bCs/>
                <w:snapToGrid w:val="0"/>
                <w:sz w:val="22"/>
                <w:szCs w:val="22"/>
              </w:rPr>
              <w:t>Activo Total Promedio</w:t>
            </w:r>
          </w:p>
        </w:tc>
        <w:tc>
          <w:tcPr>
            <w:tcW w:w="167" w:type="pct"/>
            <w:tcBorders>
              <w:top w:val="single" w:sz="4" w:space="0" w:color="auto"/>
              <w:left w:val="nil"/>
              <w:bottom w:val="single" w:sz="4" w:space="0" w:color="auto"/>
              <w:right w:val="nil"/>
            </w:tcBorders>
            <w:shd w:val="solid" w:color="FFFFFF" w:fill="auto"/>
            <w:vAlign w:val="center"/>
          </w:tcPr>
          <w:p w14:paraId="3CA7E8DC" w14:textId="77777777" w:rsidR="00BF0257" w:rsidRPr="00205C60" w:rsidRDefault="00BF0257" w:rsidP="00B754E2">
            <w:pPr>
              <w:jc w:val="center"/>
              <w:rPr>
                <w:rFonts w:ascii="Verdana" w:hAnsi="Verdana" w:cs="Arial"/>
                <w:snapToGrid w:val="0"/>
                <w:sz w:val="22"/>
                <w:szCs w:val="22"/>
              </w:rPr>
            </w:pPr>
            <w:r w:rsidRPr="00205C60">
              <w:rPr>
                <w:rFonts w:ascii="Verdana" w:hAnsi="Verdana" w:cs="Arial"/>
                <w:snapToGrid w:val="0"/>
                <w:sz w:val="22"/>
                <w:szCs w:val="22"/>
              </w:rPr>
              <w:t>=</w:t>
            </w:r>
          </w:p>
        </w:tc>
        <w:tc>
          <w:tcPr>
            <w:tcW w:w="1623" w:type="pct"/>
            <w:tcBorders>
              <w:top w:val="single" w:sz="4" w:space="0" w:color="auto"/>
              <w:left w:val="nil"/>
              <w:bottom w:val="single" w:sz="4" w:space="0" w:color="auto"/>
              <w:right w:val="single" w:sz="4" w:space="0" w:color="auto"/>
            </w:tcBorders>
            <w:shd w:val="solid" w:color="FFFFFF" w:fill="auto"/>
            <w:vAlign w:val="center"/>
          </w:tcPr>
          <w:p w14:paraId="3CA7E8DD" w14:textId="77777777" w:rsidR="00BF0257" w:rsidRPr="00205C60" w:rsidRDefault="00BF0257" w:rsidP="00B754E2">
            <w:pPr>
              <w:jc w:val="center"/>
              <w:rPr>
                <w:rFonts w:ascii="Verdana" w:hAnsi="Verdana" w:cs="Arial"/>
                <w:b/>
                <w:bCs/>
                <w:snapToGrid w:val="0"/>
                <w:sz w:val="22"/>
                <w:szCs w:val="22"/>
              </w:rPr>
            </w:pPr>
            <w:r w:rsidRPr="00205C60">
              <w:rPr>
                <w:rFonts w:ascii="Verdana" w:hAnsi="Verdana" w:cs="Arial"/>
                <w:b/>
                <w:bCs/>
                <w:snapToGrid w:val="0"/>
                <w:sz w:val="22"/>
                <w:szCs w:val="22"/>
              </w:rPr>
              <w:t>Indicador (porcentaje)</w:t>
            </w:r>
          </w:p>
        </w:tc>
      </w:tr>
      <w:tr w:rsidR="004A53EA" w:rsidRPr="00205C60" w14:paraId="3CA7E8F3" w14:textId="77777777" w:rsidTr="00455835">
        <w:trPr>
          <w:trHeight w:val="257"/>
          <w:jc w:val="center"/>
        </w:trPr>
        <w:tc>
          <w:tcPr>
            <w:tcW w:w="508" w:type="pct"/>
            <w:tcBorders>
              <w:top w:val="single" w:sz="4" w:space="0" w:color="auto"/>
              <w:left w:val="single" w:sz="4" w:space="0" w:color="auto"/>
              <w:bottom w:val="single" w:sz="4" w:space="0" w:color="auto"/>
              <w:right w:val="single" w:sz="4" w:space="0" w:color="auto"/>
            </w:tcBorders>
            <w:shd w:val="solid" w:color="FFFFFF" w:fill="auto"/>
            <w:vAlign w:val="center"/>
          </w:tcPr>
          <w:p w14:paraId="3CA7E8ED" w14:textId="77777777" w:rsidR="004A53EA" w:rsidRPr="00205C60" w:rsidRDefault="004A53EA" w:rsidP="00B754E2">
            <w:pPr>
              <w:jc w:val="center"/>
              <w:rPr>
                <w:rFonts w:ascii="Verdana" w:hAnsi="Verdana" w:cs="Arial"/>
                <w:snapToGrid w:val="0"/>
                <w:sz w:val="22"/>
                <w:szCs w:val="22"/>
              </w:rPr>
            </w:pPr>
            <w:r w:rsidRPr="00205C60">
              <w:rPr>
                <w:rFonts w:ascii="Verdana" w:hAnsi="Verdana" w:cs="Arial"/>
                <w:snapToGrid w:val="0"/>
                <w:sz w:val="22"/>
                <w:szCs w:val="22"/>
              </w:rPr>
              <w:t>2020</w:t>
            </w:r>
          </w:p>
        </w:tc>
        <w:tc>
          <w:tcPr>
            <w:tcW w:w="1064" w:type="pct"/>
            <w:tcBorders>
              <w:top w:val="single" w:sz="4" w:space="0" w:color="auto"/>
              <w:left w:val="single" w:sz="4" w:space="0" w:color="auto"/>
              <w:bottom w:val="single" w:sz="4" w:space="0" w:color="auto"/>
              <w:right w:val="single" w:sz="4" w:space="0" w:color="auto"/>
            </w:tcBorders>
            <w:shd w:val="solid" w:color="FFFFFF" w:fill="auto"/>
            <w:vAlign w:val="center"/>
          </w:tcPr>
          <w:p w14:paraId="3CA7E8EE" w14:textId="77777777" w:rsidR="004A53EA" w:rsidRPr="00205C60" w:rsidRDefault="004A53EA" w:rsidP="00B754E2">
            <w:pPr>
              <w:jc w:val="center"/>
              <w:rPr>
                <w:rFonts w:ascii="Verdana" w:hAnsi="Verdana" w:cs="Arial"/>
                <w:sz w:val="22"/>
                <w:szCs w:val="22"/>
              </w:rPr>
            </w:pPr>
            <w:r w:rsidRPr="00205C60">
              <w:rPr>
                <w:rFonts w:ascii="Verdana" w:hAnsi="Verdana" w:cs="Arial"/>
                <w:sz w:val="22"/>
                <w:szCs w:val="22"/>
              </w:rPr>
              <w:t>8.344.870</w:t>
            </w:r>
          </w:p>
        </w:tc>
        <w:tc>
          <w:tcPr>
            <w:tcW w:w="174" w:type="pct"/>
            <w:tcBorders>
              <w:top w:val="single" w:sz="4" w:space="0" w:color="auto"/>
              <w:left w:val="single" w:sz="4" w:space="0" w:color="auto"/>
              <w:bottom w:val="single" w:sz="4" w:space="0" w:color="auto"/>
              <w:right w:val="nil"/>
            </w:tcBorders>
            <w:shd w:val="solid" w:color="FFFFFF" w:fill="auto"/>
            <w:vAlign w:val="center"/>
          </w:tcPr>
          <w:p w14:paraId="3CA7E8EF" w14:textId="77777777" w:rsidR="004A53EA" w:rsidRPr="00205C60" w:rsidRDefault="004A53EA" w:rsidP="00B754E2">
            <w:pPr>
              <w:jc w:val="center"/>
              <w:rPr>
                <w:rFonts w:ascii="Verdana" w:hAnsi="Verdana" w:cs="Arial"/>
                <w:snapToGrid w:val="0"/>
                <w:sz w:val="22"/>
                <w:szCs w:val="22"/>
              </w:rPr>
            </w:pPr>
          </w:p>
        </w:tc>
        <w:tc>
          <w:tcPr>
            <w:tcW w:w="1464" w:type="pct"/>
            <w:tcBorders>
              <w:top w:val="single" w:sz="4" w:space="0" w:color="auto"/>
              <w:left w:val="nil"/>
              <w:bottom w:val="single" w:sz="4" w:space="0" w:color="auto"/>
              <w:right w:val="single" w:sz="4" w:space="0" w:color="auto"/>
            </w:tcBorders>
            <w:shd w:val="solid" w:color="FFFFFF" w:fill="auto"/>
            <w:vAlign w:val="center"/>
          </w:tcPr>
          <w:p w14:paraId="3CA7E8F0" w14:textId="77777777" w:rsidR="004A53EA" w:rsidRPr="00205C60" w:rsidRDefault="004A53EA" w:rsidP="00032CAB">
            <w:pPr>
              <w:jc w:val="center"/>
              <w:rPr>
                <w:rFonts w:ascii="Verdana" w:hAnsi="Verdana" w:cs="Arial"/>
                <w:sz w:val="22"/>
                <w:szCs w:val="22"/>
              </w:rPr>
            </w:pPr>
            <w:r w:rsidRPr="00205C60">
              <w:rPr>
                <w:rFonts w:ascii="Verdana" w:hAnsi="Verdana" w:cs="Arial"/>
                <w:sz w:val="22"/>
                <w:szCs w:val="22"/>
              </w:rPr>
              <w:t>785.697.036</w:t>
            </w:r>
          </w:p>
        </w:tc>
        <w:tc>
          <w:tcPr>
            <w:tcW w:w="167" w:type="pct"/>
            <w:tcBorders>
              <w:top w:val="single" w:sz="4" w:space="0" w:color="auto"/>
              <w:left w:val="single" w:sz="4" w:space="0" w:color="auto"/>
              <w:bottom w:val="single" w:sz="4" w:space="0" w:color="auto"/>
              <w:right w:val="nil"/>
            </w:tcBorders>
            <w:shd w:val="solid" w:color="FFFFFF" w:fill="auto"/>
            <w:vAlign w:val="center"/>
          </w:tcPr>
          <w:p w14:paraId="3CA7E8F1" w14:textId="77777777" w:rsidR="004A53EA" w:rsidRPr="00205C60" w:rsidRDefault="004A53EA" w:rsidP="00B754E2">
            <w:pPr>
              <w:jc w:val="center"/>
              <w:rPr>
                <w:rFonts w:ascii="Verdana" w:hAnsi="Verdana" w:cs="Arial"/>
                <w:snapToGrid w:val="0"/>
                <w:sz w:val="22"/>
                <w:szCs w:val="22"/>
              </w:rPr>
            </w:pPr>
          </w:p>
        </w:tc>
        <w:tc>
          <w:tcPr>
            <w:tcW w:w="1623" w:type="pct"/>
            <w:tcBorders>
              <w:top w:val="single" w:sz="4" w:space="0" w:color="auto"/>
              <w:left w:val="nil"/>
              <w:bottom w:val="single" w:sz="4" w:space="0" w:color="auto"/>
              <w:right w:val="single" w:sz="4" w:space="0" w:color="auto"/>
            </w:tcBorders>
            <w:shd w:val="solid" w:color="FFFFFF" w:fill="auto"/>
            <w:vAlign w:val="center"/>
          </w:tcPr>
          <w:p w14:paraId="3CA7E8F2" w14:textId="05956DA2" w:rsidR="004A53EA" w:rsidRPr="00205C60" w:rsidRDefault="00043E25" w:rsidP="00032CAB">
            <w:pPr>
              <w:jc w:val="center"/>
              <w:rPr>
                <w:rFonts w:ascii="Verdana" w:hAnsi="Verdana" w:cs="Arial"/>
                <w:sz w:val="22"/>
                <w:szCs w:val="22"/>
              </w:rPr>
            </w:pPr>
            <w:r w:rsidRPr="00205C60">
              <w:rPr>
                <w:rFonts w:ascii="Verdana" w:hAnsi="Verdana" w:cs="Arial"/>
                <w:sz w:val="22"/>
                <w:szCs w:val="22"/>
              </w:rPr>
              <w:t>1</w:t>
            </w:r>
            <w:r w:rsidR="004A53EA" w:rsidRPr="00205C60">
              <w:rPr>
                <w:rFonts w:ascii="Verdana" w:hAnsi="Verdana" w:cs="Arial"/>
                <w:sz w:val="22"/>
                <w:szCs w:val="22"/>
              </w:rPr>
              <w:t>,0</w:t>
            </w:r>
            <w:r w:rsidRPr="00205C60">
              <w:rPr>
                <w:rFonts w:ascii="Verdana" w:hAnsi="Verdana" w:cs="Arial"/>
                <w:sz w:val="22"/>
                <w:szCs w:val="22"/>
              </w:rPr>
              <w:t>6%</w:t>
            </w:r>
          </w:p>
        </w:tc>
      </w:tr>
      <w:tr w:rsidR="00F56D03" w:rsidRPr="00205C60" w14:paraId="073E29F2" w14:textId="77777777" w:rsidTr="00455835">
        <w:trPr>
          <w:trHeight w:val="257"/>
          <w:jc w:val="center"/>
        </w:trPr>
        <w:tc>
          <w:tcPr>
            <w:tcW w:w="508" w:type="pct"/>
            <w:tcBorders>
              <w:top w:val="single" w:sz="4" w:space="0" w:color="auto"/>
              <w:left w:val="single" w:sz="4" w:space="0" w:color="auto"/>
              <w:bottom w:val="single" w:sz="4" w:space="0" w:color="auto"/>
              <w:right w:val="single" w:sz="4" w:space="0" w:color="auto"/>
            </w:tcBorders>
            <w:shd w:val="solid" w:color="FFFFFF" w:fill="auto"/>
            <w:vAlign w:val="center"/>
          </w:tcPr>
          <w:p w14:paraId="1D057ABE" w14:textId="2217879A" w:rsidR="00F56D03" w:rsidRPr="00205C60" w:rsidRDefault="00F56D03" w:rsidP="00B754E2">
            <w:pPr>
              <w:jc w:val="center"/>
              <w:rPr>
                <w:rFonts w:ascii="Verdana" w:hAnsi="Verdana" w:cs="Arial"/>
                <w:snapToGrid w:val="0"/>
                <w:sz w:val="22"/>
                <w:szCs w:val="22"/>
              </w:rPr>
            </w:pPr>
            <w:r w:rsidRPr="00205C60">
              <w:rPr>
                <w:rFonts w:ascii="Verdana" w:hAnsi="Verdana" w:cs="Arial"/>
                <w:snapToGrid w:val="0"/>
                <w:sz w:val="22"/>
                <w:szCs w:val="22"/>
              </w:rPr>
              <w:t>2021</w:t>
            </w:r>
          </w:p>
        </w:tc>
        <w:tc>
          <w:tcPr>
            <w:tcW w:w="1064" w:type="pct"/>
            <w:tcBorders>
              <w:top w:val="single" w:sz="4" w:space="0" w:color="auto"/>
              <w:left w:val="single" w:sz="4" w:space="0" w:color="auto"/>
              <w:bottom w:val="single" w:sz="4" w:space="0" w:color="auto"/>
              <w:right w:val="single" w:sz="4" w:space="0" w:color="auto"/>
            </w:tcBorders>
            <w:shd w:val="solid" w:color="FFFFFF" w:fill="auto"/>
            <w:vAlign w:val="center"/>
          </w:tcPr>
          <w:p w14:paraId="7642864A" w14:textId="1256EB28" w:rsidR="00F56D03" w:rsidRPr="00205C60" w:rsidRDefault="00F56D03" w:rsidP="00B754E2">
            <w:pPr>
              <w:jc w:val="center"/>
              <w:rPr>
                <w:rFonts w:ascii="Verdana" w:hAnsi="Verdana" w:cs="Arial"/>
                <w:sz w:val="22"/>
                <w:szCs w:val="22"/>
              </w:rPr>
            </w:pPr>
            <w:r w:rsidRPr="00205C60">
              <w:rPr>
                <w:rFonts w:ascii="Verdana" w:hAnsi="Verdana" w:cs="Arial"/>
                <w:sz w:val="22"/>
                <w:szCs w:val="22"/>
              </w:rPr>
              <w:t>(12.195.425)</w:t>
            </w:r>
          </w:p>
        </w:tc>
        <w:tc>
          <w:tcPr>
            <w:tcW w:w="174" w:type="pct"/>
            <w:tcBorders>
              <w:top w:val="single" w:sz="4" w:space="0" w:color="auto"/>
              <w:left w:val="single" w:sz="4" w:space="0" w:color="auto"/>
              <w:bottom w:val="single" w:sz="4" w:space="0" w:color="auto"/>
              <w:right w:val="nil"/>
            </w:tcBorders>
            <w:shd w:val="solid" w:color="FFFFFF" w:fill="auto"/>
            <w:vAlign w:val="center"/>
          </w:tcPr>
          <w:p w14:paraId="7126B8B8" w14:textId="77777777" w:rsidR="00F56D03" w:rsidRPr="00205C60" w:rsidRDefault="00F56D03" w:rsidP="00B754E2">
            <w:pPr>
              <w:jc w:val="center"/>
              <w:rPr>
                <w:rFonts w:ascii="Verdana" w:hAnsi="Verdana" w:cs="Arial"/>
                <w:snapToGrid w:val="0"/>
                <w:sz w:val="22"/>
                <w:szCs w:val="22"/>
              </w:rPr>
            </w:pPr>
          </w:p>
        </w:tc>
        <w:tc>
          <w:tcPr>
            <w:tcW w:w="1464" w:type="pct"/>
            <w:tcBorders>
              <w:top w:val="single" w:sz="4" w:space="0" w:color="auto"/>
              <w:left w:val="nil"/>
              <w:bottom w:val="single" w:sz="4" w:space="0" w:color="auto"/>
              <w:right w:val="single" w:sz="4" w:space="0" w:color="auto"/>
            </w:tcBorders>
            <w:shd w:val="solid" w:color="FFFFFF" w:fill="auto"/>
            <w:vAlign w:val="center"/>
          </w:tcPr>
          <w:p w14:paraId="75896426" w14:textId="30B5C162" w:rsidR="00F56D03" w:rsidRPr="00205C60" w:rsidRDefault="00134F3B" w:rsidP="00032CAB">
            <w:pPr>
              <w:jc w:val="center"/>
              <w:rPr>
                <w:rFonts w:ascii="Verdana" w:hAnsi="Verdana" w:cs="Arial"/>
                <w:sz w:val="22"/>
                <w:szCs w:val="22"/>
              </w:rPr>
            </w:pPr>
            <w:r w:rsidRPr="00205C60">
              <w:rPr>
                <w:rFonts w:ascii="Verdana" w:hAnsi="Verdana" w:cs="Arial"/>
                <w:sz w:val="22"/>
                <w:szCs w:val="22"/>
              </w:rPr>
              <w:t>752.473.101</w:t>
            </w:r>
          </w:p>
        </w:tc>
        <w:tc>
          <w:tcPr>
            <w:tcW w:w="167" w:type="pct"/>
            <w:tcBorders>
              <w:top w:val="single" w:sz="4" w:space="0" w:color="auto"/>
              <w:left w:val="single" w:sz="4" w:space="0" w:color="auto"/>
              <w:bottom w:val="single" w:sz="4" w:space="0" w:color="auto"/>
              <w:right w:val="nil"/>
            </w:tcBorders>
            <w:shd w:val="solid" w:color="FFFFFF" w:fill="auto"/>
            <w:vAlign w:val="center"/>
          </w:tcPr>
          <w:p w14:paraId="32D40901" w14:textId="77777777" w:rsidR="00F56D03" w:rsidRPr="00205C60" w:rsidRDefault="00F56D03" w:rsidP="00B754E2">
            <w:pPr>
              <w:jc w:val="center"/>
              <w:rPr>
                <w:rFonts w:ascii="Verdana" w:hAnsi="Verdana" w:cs="Arial"/>
                <w:snapToGrid w:val="0"/>
                <w:sz w:val="22"/>
                <w:szCs w:val="22"/>
              </w:rPr>
            </w:pPr>
          </w:p>
        </w:tc>
        <w:tc>
          <w:tcPr>
            <w:tcW w:w="1623" w:type="pct"/>
            <w:tcBorders>
              <w:top w:val="single" w:sz="4" w:space="0" w:color="auto"/>
              <w:left w:val="nil"/>
              <w:bottom w:val="single" w:sz="4" w:space="0" w:color="auto"/>
              <w:right w:val="single" w:sz="4" w:space="0" w:color="auto"/>
            </w:tcBorders>
            <w:shd w:val="solid" w:color="FFFFFF" w:fill="auto"/>
            <w:vAlign w:val="center"/>
          </w:tcPr>
          <w:p w14:paraId="0B6A474E" w14:textId="5020462D" w:rsidR="00F56D03" w:rsidRPr="00205C60" w:rsidRDefault="00455835" w:rsidP="00032CAB">
            <w:pPr>
              <w:jc w:val="center"/>
              <w:rPr>
                <w:rFonts w:ascii="Verdana" w:hAnsi="Verdana" w:cs="Arial"/>
                <w:sz w:val="22"/>
                <w:szCs w:val="22"/>
              </w:rPr>
            </w:pPr>
            <w:r w:rsidRPr="00205C60">
              <w:rPr>
                <w:rFonts w:ascii="Verdana" w:hAnsi="Verdana" w:cs="Arial"/>
                <w:sz w:val="22"/>
                <w:szCs w:val="22"/>
              </w:rPr>
              <w:t>(1,</w:t>
            </w:r>
            <w:r w:rsidR="00551F21" w:rsidRPr="00205C60">
              <w:rPr>
                <w:rFonts w:ascii="Verdana" w:hAnsi="Verdana" w:cs="Arial"/>
                <w:sz w:val="22"/>
                <w:szCs w:val="22"/>
              </w:rPr>
              <w:t>62) %</w:t>
            </w:r>
          </w:p>
        </w:tc>
      </w:tr>
      <w:tr w:rsidR="000F2029" w:rsidRPr="00205C60" w14:paraId="73DA2F92" w14:textId="77777777" w:rsidTr="00455835">
        <w:trPr>
          <w:trHeight w:val="257"/>
          <w:jc w:val="center"/>
        </w:trPr>
        <w:tc>
          <w:tcPr>
            <w:tcW w:w="508" w:type="pct"/>
            <w:tcBorders>
              <w:top w:val="single" w:sz="4" w:space="0" w:color="auto"/>
              <w:left w:val="single" w:sz="4" w:space="0" w:color="auto"/>
              <w:bottom w:val="single" w:sz="4" w:space="0" w:color="auto"/>
              <w:right w:val="single" w:sz="4" w:space="0" w:color="auto"/>
            </w:tcBorders>
            <w:shd w:val="solid" w:color="FFFFFF" w:fill="auto"/>
            <w:vAlign w:val="center"/>
          </w:tcPr>
          <w:p w14:paraId="14BDA3F6" w14:textId="31EA8816" w:rsidR="000F2029" w:rsidRPr="00205C60" w:rsidRDefault="000F2029" w:rsidP="00B754E2">
            <w:pPr>
              <w:jc w:val="center"/>
              <w:rPr>
                <w:rFonts w:ascii="Verdana" w:hAnsi="Verdana" w:cs="Arial"/>
                <w:snapToGrid w:val="0"/>
                <w:sz w:val="22"/>
                <w:szCs w:val="22"/>
              </w:rPr>
            </w:pPr>
            <w:r w:rsidRPr="00205C60">
              <w:rPr>
                <w:rFonts w:ascii="Verdana" w:hAnsi="Verdana" w:cs="Arial"/>
                <w:snapToGrid w:val="0"/>
                <w:sz w:val="22"/>
                <w:szCs w:val="22"/>
              </w:rPr>
              <w:t>2022</w:t>
            </w:r>
          </w:p>
        </w:tc>
        <w:tc>
          <w:tcPr>
            <w:tcW w:w="1064" w:type="pct"/>
            <w:tcBorders>
              <w:top w:val="single" w:sz="4" w:space="0" w:color="auto"/>
              <w:left w:val="single" w:sz="4" w:space="0" w:color="auto"/>
              <w:bottom w:val="single" w:sz="4" w:space="0" w:color="auto"/>
              <w:right w:val="single" w:sz="4" w:space="0" w:color="auto"/>
            </w:tcBorders>
            <w:shd w:val="solid" w:color="FFFFFF" w:fill="auto"/>
            <w:vAlign w:val="center"/>
          </w:tcPr>
          <w:p w14:paraId="4A47BE8D" w14:textId="4388E71A" w:rsidR="000F2029" w:rsidRPr="00205C60" w:rsidRDefault="00861520" w:rsidP="00B754E2">
            <w:pPr>
              <w:jc w:val="center"/>
              <w:rPr>
                <w:rFonts w:ascii="Verdana" w:hAnsi="Verdana" w:cs="Arial"/>
                <w:sz w:val="22"/>
                <w:szCs w:val="22"/>
              </w:rPr>
            </w:pPr>
            <w:r w:rsidRPr="00205C60">
              <w:rPr>
                <w:rFonts w:ascii="Verdana" w:hAnsi="Verdana" w:cs="Arial"/>
                <w:sz w:val="22"/>
                <w:szCs w:val="22"/>
              </w:rPr>
              <w:t>20.343.026</w:t>
            </w:r>
          </w:p>
        </w:tc>
        <w:tc>
          <w:tcPr>
            <w:tcW w:w="174" w:type="pct"/>
            <w:tcBorders>
              <w:top w:val="single" w:sz="4" w:space="0" w:color="auto"/>
              <w:left w:val="single" w:sz="4" w:space="0" w:color="auto"/>
              <w:bottom w:val="single" w:sz="4" w:space="0" w:color="auto"/>
              <w:right w:val="nil"/>
            </w:tcBorders>
            <w:shd w:val="solid" w:color="FFFFFF" w:fill="auto"/>
            <w:vAlign w:val="center"/>
          </w:tcPr>
          <w:p w14:paraId="3D660B2D" w14:textId="77777777" w:rsidR="000F2029" w:rsidRPr="00205C60" w:rsidRDefault="000F2029" w:rsidP="00B754E2">
            <w:pPr>
              <w:jc w:val="center"/>
              <w:rPr>
                <w:rFonts w:ascii="Verdana" w:hAnsi="Verdana" w:cs="Arial"/>
                <w:snapToGrid w:val="0"/>
                <w:sz w:val="22"/>
                <w:szCs w:val="22"/>
              </w:rPr>
            </w:pPr>
          </w:p>
        </w:tc>
        <w:tc>
          <w:tcPr>
            <w:tcW w:w="1464" w:type="pct"/>
            <w:tcBorders>
              <w:top w:val="single" w:sz="4" w:space="0" w:color="auto"/>
              <w:left w:val="nil"/>
              <w:bottom w:val="single" w:sz="4" w:space="0" w:color="auto"/>
              <w:right w:val="single" w:sz="4" w:space="0" w:color="auto"/>
            </w:tcBorders>
            <w:shd w:val="solid" w:color="FFFFFF" w:fill="auto"/>
            <w:vAlign w:val="center"/>
          </w:tcPr>
          <w:p w14:paraId="0EC7A307" w14:textId="3756E725" w:rsidR="000F2029" w:rsidRPr="00205C60" w:rsidRDefault="00861520" w:rsidP="00032CAB">
            <w:pPr>
              <w:jc w:val="center"/>
              <w:rPr>
                <w:rFonts w:ascii="Verdana" w:hAnsi="Verdana" w:cs="Arial"/>
                <w:sz w:val="22"/>
                <w:szCs w:val="22"/>
              </w:rPr>
            </w:pPr>
            <w:r w:rsidRPr="00205C60">
              <w:rPr>
                <w:rFonts w:ascii="Verdana" w:hAnsi="Verdana" w:cs="Arial"/>
                <w:sz w:val="22"/>
                <w:szCs w:val="22"/>
              </w:rPr>
              <w:t>736.080.892</w:t>
            </w:r>
          </w:p>
        </w:tc>
        <w:tc>
          <w:tcPr>
            <w:tcW w:w="167" w:type="pct"/>
            <w:tcBorders>
              <w:top w:val="single" w:sz="4" w:space="0" w:color="auto"/>
              <w:left w:val="single" w:sz="4" w:space="0" w:color="auto"/>
              <w:bottom w:val="single" w:sz="4" w:space="0" w:color="auto"/>
              <w:right w:val="nil"/>
            </w:tcBorders>
            <w:shd w:val="solid" w:color="FFFFFF" w:fill="auto"/>
            <w:vAlign w:val="center"/>
          </w:tcPr>
          <w:p w14:paraId="1BC609AE" w14:textId="77777777" w:rsidR="000F2029" w:rsidRPr="00205C60" w:rsidRDefault="000F2029" w:rsidP="00B754E2">
            <w:pPr>
              <w:jc w:val="center"/>
              <w:rPr>
                <w:rFonts w:ascii="Verdana" w:hAnsi="Verdana" w:cs="Arial"/>
                <w:snapToGrid w:val="0"/>
                <w:sz w:val="22"/>
                <w:szCs w:val="22"/>
              </w:rPr>
            </w:pPr>
          </w:p>
        </w:tc>
        <w:tc>
          <w:tcPr>
            <w:tcW w:w="1623" w:type="pct"/>
            <w:tcBorders>
              <w:top w:val="single" w:sz="4" w:space="0" w:color="auto"/>
              <w:left w:val="nil"/>
              <w:bottom w:val="single" w:sz="4" w:space="0" w:color="auto"/>
              <w:right w:val="single" w:sz="4" w:space="0" w:color="auto"/>
            </w:tcBorders>
            <w:shd w:val="solid" w:color="FFFFFF" w:fill="auto"/>
            <w:vAlign w:val="center"/>
          </w:tcPr>
          <w:p w14:paraId="176E0C4A" w14:textId="20E7F069" w:rsidR="000F2029" w:rsidRPr="00205C60" w:rsidRDefault="00765869" w:rsidP="00032CAB">
            <w:pPr>
              <w:jc w:val="center"/>
              <w:rPr>
                <w:rFonts w:ascii="Verdana" w:hAnsi="Verdana" w:cs="Arial"/>
                <w:sz w:val="22"/>
                <w:szCs w:val="22"/>
              </w:rPr>
            </w:pPr>
            <w:r w:rsidRPr="00205C60">
              <w:rPr>
                <w:rFonts w:ascii="Verdana" w:hAnsi="Verdana" w:cs="Arial"/>
                <w:sz w:val="22"/>
                <w:szCs w:val="22"/>
              </w:rPr>
              <w:t>2</w:t>
            </w:r>
            <w:r w:rsidR="002D4384">
              <w:rPr>
                <w:rFonts w:ascii="Verdana" w:hAnsi="Verdana" w:cs="Arial"/>
                <w:sz w:val="22"/>
                <w:szCs w:val="22"/>
              </w:rPr>
              <w:t>,</w:t>
            </w:r>
            <w:r w:rsidRPr="00205C60">
              <w:rPr>
                <w:rFonts w:ascii="Verdana" w:hAnsi="Verdana" w:cs="Arial"/>
                <w:sz w:val="22"/>
                <w:szCs w:val="22"/>
              </w:rPr>
              <w:t>76%</w:t>
            </w:r>
          </w:p>
        </w:tc>
      </w:tr>
    </w:tbl>
    <w:p w14:paraId="3CA7E8F4" w14:textId="77777777" w:rsidR="00DB5038" w:rsidRPr="00205C60" w:rsidRDefault="00DB5038">
      <w:pPr>
        <w:jc w:val="both"/>
        <w:rPr>
          <w:rFonts w:ascii="Verdana" w:hAnsi="Verdana" w:cs="Arial"/>
          <w:sz w:val="22"/>
          <w:szCs w:val="22"/>
        </w:rPr>
      </w:pPr>
    </w:p>
    <w:p w14:paraId="533ADA86" w14:textId="77777777" w:rsidR="002D4384" w:rsidRDefault="000B3C62" w:rsidP="00D45520">
      <w:pPr>
        <w:jc w:val="both"/>
        <w:rPr>
          <w:rFonts w:ascii="Verdana" w:hAnsi="Verdana" w:cstheme="minorHAnsi"/>
          <w:b/>
          <w:bCs/>
          <w:sz w:val="22"/>
          <w:szCs w:val="22"/>
        </w:rPr>
      </w:pPr>
      <w:r w:rsidRPr="00205C60">
        <w:rPr>
          <w:rFonts w:ascii="Verdana" w:hAnsi="Verdana" w:cs="Arial"/>
          <w:sz w:val="22"/>
          <w:szCs w:val="22"/>
        </w:rPr>
        <w:t>Durante el año 20</w:t>
      </w:r>
      <w:r w:rsidR="004A53EA" w:rsidRPr="00205C60">
        <w:rPr>
          <w:rFonts w:ascii="Verdana" w:hAnsi="Verdana" w:cs="Arial"/>
          <w:sz w:val="22"/>
          <w:szCs w:val="22"/>
        </w:rPr>
        <w:t>2</w:t>
      </w:r>
      <w:r w:rsidR="0069384A" w:rsidRPr="00205C60">
        <w:rPr>
          <w:rFonts w:ascii="Verdana" w:hAnsi="Verdana" w:cs="Arial"/>
          <w:sz w:val="22"/>
          <w:szCs w:val="22"/>
        </w:rPr>
        <w:t>2</w:t>
      </w:r>
      <w:r w:rsidR="002E27D8" w:rsidRPr="00205C60">
        <w:rPr>
          <w:rFonts w:ascii="Verdana" w:hAnsi="Verdana" w:cs="Arial"/>
          <w:sz w:val="22"/>
          <w:szCs w:val="22"/>
        </w:rPr>
        <w:t xml:space="preserve"> se registra una </w:t>
      </w:r>
      <w:r w:rsidR="006343D6" w:rsidRPr="00205C60">
        <w:rPr>
          <w:rFonts w:ascii="Verdana" w:hAnsi="Verdana" w:cs="Arial"/>
          <w:sz w:val="22"/>
          <w:szCs w:val="22"/>
        </w:rPr>
        <w:t xml:space="preserve">variación </w:t>
      </w:r>
      <w:r w:rsidRPr="00205C60">
        <w:rPr>
          <w:rFonts w:ascii="Verdana" w:hAnsi="Verdana" w:cs="Arial"/>
          <w:sz w:val="22"/>
          <w:szCs w:val="22"/>
        </w:rPr>
        <w:t>en el indicador</w:t>
      </w:r>
      <w:r w:rsidR="006343D6" w:rsidRPr="00205C60">
        <w:rPr>
          <w:rFonts w:ascii="Verdana" w:hAnsi="Verdana" w:cs="Arial"/>
          <w:sz w:val="22"/>
          <w:szCs w:val="22"/>
        </w:rPr>
        <w:t xml:space="preserve"> respecto al año anterior</w:t>
      </w:r>
      <w:r w:rsidRPr="00205C60">
        <w:rPr>
          <w:rFonts w:ascii="Verdana" w:hAnsi="Verdana" w:cs="Arial"/>
          <w:sz w:val="22"/>
          <w:szCs w:val="22"/>
        </w:rPr>
        <w:t xml:space="preserve">, </w:t>
      </w:r>
      <w:r w:rsidR="00D45520" w:rsidRPr="00205C60">
        <w:rPr>
          <w:rFonts w:ascii="Verdana" w:hAnsi="Verdana" w:cs="Arial"/>
          <w:sz w:val="22"/>
          <w:szCs w:val="22"/>
        </w:rPr>
        <w:t xml:space="preserve">producto </w:t>
      </w:r>
      <w:r w:rsidR="006343D6" w:rsidRPr="00205C60">
        <w:rPr>
          <w:rFonts w:ascii="Verdana" w:hAnsi="Verdana" w:cs="Arial"/>
          <w:sz w:val="22"/>
          <w:szCs w:val="22"/>
        </w:rPr>
        <w:t xml:space="preserve">básicamente </w:t>
      </w:r>
      <w:r w:rsidR="00D45520" w:rsidRPr="00205C60">
        <w:rPr>
          <w:rFonts w:ascii="Verdana" w:hAnsi="Verdana" w:cs="Arial"/>
          <w:sz w:val="22"/>
          <w:szCs w:val="22"/>
        </w:rPr>
        <w:t>de</w:t>
      </w:r>
      <w:r w:rsidR="00CD1664" w:rsidRPr="00205C60">
        <w:rPr>
          <w:rFonts w:ascii="Verdana" w:hAnsi="Verdana" w:cs="Arial"/>
          <w:sz w:val="22"/>
          <w:szCs w:val="22"/>
        </w:rPr>
        <w:t xml:space="preserve"> que el periodo 2021 presentaba </w:t>
      </w:r>
      <w:r w:rsidR="00E34F8D" w:rsidRPr="00205C60">
        <w:rPr>
          <w:rFonts w:ascii="Verdana" w:hAnsi="Verdana" w:cs="Arial"/>
          <w:sz w:val="22"/>
          <w:szCs w:val="22"/>
        </w:rPr>
        <w:t>p</w:t>
      </w:r>
      <w:r w:rsidR="006851FA" w:rsidRPr="00205C60">
        <w:rPr>
          <w:rFonts w:ascii="Verdana" w:hAnsi="Verdana" w:cs="Arial"/>
          <w:sz w:val="22"/>
          <w:szCs w:val="22"/>
        </w:rPr>
        <w:t>é</w:t>
      </w:r>
      <w:r w:rsidR="00E34F8D" w:rsidRPr="00205C60">
        <w:rPr>
          <w:rFonts w:ascii="Verdana" w:hAnsi="Verdana" w:cs="Arial"/>
          <w:sz w:val="22"/>
          <w:szCs w:val="22"/>
        </w:rPr>
        <w:t>rdidas en</w:t>
      </w:r>
      <w:r w:rsidR="004A53EA" w:rsidRPr="00205C60">
        <w:rPr>
          <w:rFonts w:ascii="Verdana" w:hAnsi="Verdana" w:cs="Arial"/>
          <w:sz w:val="22"/>
          <w:szCs w:val="22"/>
        </w:rPr>
        <w:t xml:space="preserve"> utilidad neta</w:t>
      </w:r>
      <w:r w:rsidR="00E34F8D" w:rsidRPr="00205C60">
        <w:rPr>
          <w:rFonts w:ascii="Verdana" w:hAnsi="Verdana" w:cs="Arial"/>
          <w:sz w:val="22"/>
          <w:szCs w:val="22"/>
        </w:rPr>
        <w:t>,</w:t>
      </w:r>
      <w:r w:rsidR="006851FA" w:rsidRPr="00205C60">
        <w:rPr>
          <w:rFonts w:ascii="Verdana" w:hAnsi="Verdana" w:cs="Arial"/>
          <w:sz w:val="22"/>
          <w:szCs w:val="22"/>
        </w:rPr>
        <w:t xml:space="preserve"> </w:t>
      </w:r>
      <w:r w:rsidR="00294495" w:rsidRPr="00205C60">
        <w:rPr>
          <w:rFonts w:ascii="Verdana" w:hAnsi="Verdana" w:cs="Arial"/>
          <w:sz w:val="22"/>
          <w:szCs w:val="22"/>
        </w:rPr>
        <w:t xml:space="preserve">a causa de los siguientes </w:t>
      </w:r>
      <w:r w:rsidR="0098014A" w:rsidRPr="00205C60">
        <w:rPr>
          <w:rFonts w:ascii="Verdana" w:hAnsi="Verdana" w:cs="Arial"/>
          <w:sz w:val="22"/>
          <w:szCs w:val="22"/>
        </w:rPr>
        <w:t>factores</w:t>
      </w:r>
      <w:r w:rsidR="006851FA" w:rsidRPr="00205C60">
        <w:rPr>
          <w:rFonts w:ascii="Verdana" w:hAnsi="Verdana" w:cs="Arial"/>
          <w:sz w:val="22"/>
          <w:szCs w:val="22"/>
        </w:rPr>
        <w:t xml:space="preserve"> </w:t>
      </w:r>
      <w:r w:rsidR="006851FA" w:rsidRPr="00205C60">
        <w:rPr>
          <w:rFonts w:ascii="Verdana" w:hAnsi="Verdana" w:cstheme="minorHAnsi"/>
          <w:b/>
          <w:bCs/>
          <w:sz w:val="22"/>
          <w:szCs w:val="22"/>
        </w:rPr>
        <w:t>Efecto Neto en el mercado eléctrico (se refiere al efecto de disminución en la tarifa por acciones de apoyo por la pandemia)</w:t>
      </w:r>
      <w:r w:rsidR="00A6656E" w:rsidRPr="00205C60">
        <w:rPr>
          <w:rFonts w:ascii="Verdana" w:hAnsi="Verdana" w:cstheme="minorHAnsi"/>
          <w:sz w:val="22"/>
          <w:szCs w:val="22"/>
        </w:rPr>
        <w:t>,</w:t>
      </w:r>
      <w:r w:rsidR="00A6656E" w:rsidRPr="00205C60">
        <w:rPr>
          <w:rFonts w:ascii="Verdana" w:hAnsi="Verdana" w:cstheme="minorHAnsi"/>
          <w:b/>
          <w:bCs/>
          <w:sz w:val="22"/>
          <w:szCs w:val="22"/>
        </w:rPr>
        <w:t xml:space="preserve"> </w:t>
      </w:r>
      <w:r w:rsidR="0098014A" w:rsidRPr="00205C60">
        <w:rPr>
          <w:rFonts w:ascii="Verdana" w:hAnsi="Verdana" w:cstheme="minorHAnsi"/>
          <w:b/>
          <w:bCs/>
          <w:sz w:val="22"/>
          <w:szCs w:val="22"/>
        </w:rPr>
        <w:t>e</w:t>
      </w:r>
      <w:r w:rsidR="00A6656E" w:rsidRPr="00205C60">
        <w:rPr>
          <w:rFonts w:ascii="Verdana" w:hAnsi="Verdana" w:cstheme="minorHAnsi"/>
          <w:b/>
          <w:bCs/>
          <w:sz w:val="22"/>
          <w:szCs w:val="22"/>
        </w:rPr>
        <w:t xml:space="preserve">fecto en el diferencial cambiario, </w:t>
      </w:r>
      <w:r w:rsidR="0098014A" w:rsidRPr="00205C60">
        <w:rPr>
          <w:rFonts w:ascii="Verdana" w:hAnsi="Verdana" w:cstheme="minorHAnsi"/>
          <w:b/>
          <w:bCs/>
          <w:sz w:val="22"/>
          <w:szCs w:val="22"/>
        </w:rPr>
        <w:t>i</w:t>
      </w:r>
      <w:r w:rsidR="00A6656E" w:rsidRPr="00205C60">
        <w:rPr>
          <w:rFonts w:ascii="Verdana" w:hAnsi="Verdana" w:cstheme="minorHAnsi"/>
          <w:b/>
          <w:bCs/>
          <w:sz w:val="22"/>
          <w:szCs w:val="22"/>
        </w:rPr>
        <w:t xml:space="preserve">ndemnización Eaton Power S.A, </w:t>
      </w:r>
      <w:r w:rsidR="0098014A" w:rsidRPr="00205C60">
        <w:rPr>
          <w:rFonts w:ascii="Verdana" w:hAnsi="Verdana" w:cstheme="minorHAnsi"/>
          <w:b/>
          <w:bCs/>
          <w:sz w:val="22"/>
          <w:szCs w:val="22"/>
        </w:rPr>
        <w:t>a</w:t>
      </w:r>
      <w:r w:rsidR="00A6656E" w:rsidRPr="00205C60">
        <w:rPr>
          <w:rFonts w:ascii="Verdana" w:hAnsi="Verdana" w:cstheme="minorHAnsi"/>
          <w:b/>
          <w:bCs/>
          <w:sz w:val="22"/>
          <w:szCs w:val="22"/>
        </w:rPr>
        <w:t xml:space="preserve">ctualización del </w:t>
      </w:r>
      <w:r w:rsidR="0098014A" w:rsidRPr="00205C60">
        <w:rPr>
          <w:rFonts w:ascii="Verdana" w:hAnsi="Verdana" w:cstheme="minorHAnsi"/>
          <w:b/>
          <w:bCs/>
          <w:sz w:val="22"/>
          <w:szCs w:val="22"/>
        </w:rPr>
        <w:t>c</w:t>
      </w:r>
      <w:r w:rsidR="00A6656E" w:rsidRPr="00205C60">
        <w:rPr>
          <w:rFonts w:ascii="Verdana" w:hAnsi="Verdana" w:cstheme="minorHAnsi"/>
          <w:b/>
          <w:bCs/>
          <w:sz w:val="22"/>
          <w:szCs w:val="22"/>
        </w:rPr>
        <w:t xml:space="preserve">álculo </w:t>
      </w:r>
      <w:r w:rsidR="0098014A" w:rsidRPr="00205C60">
        <w:rPr>
          <w:rFonts w:ascii="Verdana" w:hAnsi="Verdana" w:cstheme="minorHAnsi"/>
          <w:b/>
          <w:bCs/>
          <w:sz w:val="22"/>
          <w:szCs w:val="22"/>
        </w:rPr>
        <w:t>a</w:t>
      </w:r>
      <w:r w:rsidR="00A6656E" w:rsidRPr="00205C60">
        <w:rPr>
          <w:rFonts w:ascii="Verdana" w:hAnsi="Verdana" w:cstheme="minorHAnsi"/>
          <w:b/>
          <w:bCs/>
          <w:sz w:val="22"/>
          <w:szCs w:val="22"/>
        </w:rPr>
        <w:t>ctuarial</w:t>
      </w:r>
      <w:r w:rsidR="00A6656E" w:rsidRPr="00205C60">
        <w:rPr>
          <w:rFonts w:ascii="Verdana" w:hAnsi="Verdana" w:cstheme="minorHAnsi"/>
          <w:sz w:val="22"/>
          <w:szCs w:val="22"/>
        </w:rPr>
        <w:t xml:space="preserve"> y por el registro del </w:t>
      </w:r>
      <w:r w:rsidR="0098014A" w:rsidRPr="00205C60">
        <w:rPr>
          <w:rFonts w:ascii="Verdana" w:hAnsi="Verdana" w:cstheme="minorHAnsi"/>
          <w:b/>
          <w:bCs/>
          <w:sz w:val="22"/>
          <w:szCs w:val="22"/>
        </w:rPr>
        <w:t>r</w:t>
      </w:r>
      <w:r w:rsidR="00A6656E" w:rsidRPr="00205C60">
        <w:rPr>
          <w:rFonts w:ascii="Verdana" w:hAnsi="Verdana" w:cstheme="minorHAnsi"/>
          <w:b/>
          <w:bCs/>
          <w:sz w:val="22"/>
          <w:szCs w:val="22"/>
        </w:rPr>
        <w:t>eembolso gastos “Implementación del Roll Out-PMAF”.</w:t>
      </w:r>
    </w:p>
    <w:p w14:paraId="57125FD4" w14:textId="7CFEBA37" w:rsidR="00A6656E" w:rsidRPr="00205C60" w:rsidRDefault="00A6656E" w:rsidP="00D45520">
      <w:pPr>
        <w:jc w:val="both"/>
        <w:rPr>
          <w:rFonts w:ascii="Verdana" w:hAnsi="Verdana" w:cstheme="minorHAnsi"/>
          <w:sz w:val="22"/>
          <w:szCs w:val="22"/>
        </w:rPr>
      </w:pPr>
      <w:r w:rsidRPr="00205C60">
        <w:rPr>
          <w:rFonts w:ascii="Verdana" w:hAnsi="Verdana" w:cstheme="minorHAnsi"/>
          <w:b/>
          <w:bCs/>
          <w:sz w:val="22"/>
          <w:szCs w:val="22"/>
        </w:rPr>
        <w:t xml:space="preserve">  </w:t>
      </w:r>
    </w:p>
    <w:p w14:paraId="2EF709F2" w14:textId="4C361845" w:rsidR="007A0FBB" w:rsidRPr="00205C60" w:rsidRDefault="00A6656E" w:rsidP="00D45520">
      <w:pPr>
        <w:jc w:val="both"/>
        <w:rPr>
          <w:rFonts w:ascii="Verdana" w:hAnsi="Verdana" w:cs="Arial"/>
          <w:sz w:val="22"/>
          <w:szCs w:val="22"/>
        </w:rPr>
      </w:pPr>
      <w:r w:rsidRPr="00205C60">
        <w:rPr>
          <w:rFonts w:ascii="Verdana" w:hAnsi="Verdana" w:cstheme="minorHAnsi"/>
          <w:sz w:val="22"/>
          <w:szCs w:val="22"/>
        </w:rPr>
        <w:lastRenderedPageBreak/>
        <w:t xml:space="preserve">Por su parte, </w:t>
      </w:r>
      <w:r w:rsidR="00E34F8D" w:rsidRPr="00205C60">
        <w:rPr>
          <w:rFonts w:ascii="Verdana" w:hAnsi="Verdana" w:cs="Arial"/>
          <w:sz w:val="22"/>
          <w:szCs w:val="22"/>
        </w:rPr>
        <w:t>en el 2022 se registran utilidades significativas</w:t>
      </w:r>
      <w:r w:rsidR="006343D6" w:rsidRPr="00205C60">
        <w:rPr>
          <w:rFonts w:ascii="Verdana" w:hAnsi="Verdana" w:cs="Arial"/>
          <w:sz w:val="22"/>
          <w:szCs w:val="22"/>
        </w:rPr>
        <w:t xml:space="preserve">. </w:t>
      </w:r>
      <w:r w:rsidR="00576F90" w:rsidRPr="00205C60">
        <w:rPr>
          <w:rFonts w:ascii="Verdana" w:hAnsi="Verdana" w:cs="Arial"/>
          <w:sz w:val="22"/>
          <w:szCs w:val="22"/>
        </w:rPr>
        <w:t xml:space="preserve">Este </w:t>
      </w:r>
      <w:r w:rsidR="00DF5A65" w:rsidRPr="00205C60">
        <w:rPr>
          <w:rFonts w:ascii="Verdana" w:hAnsi="Verdana" w:cs="Arial"/>
          <w:sz w:val="22"/>
          <w:szCs w:val="22"/>
        </w:rPr>
        <w:t xml:space="preserve">crecimiento en la </w:t>
      </w:r>
      <w:r w:rsidR="004727D9" w:rsidRPr="00205C60">
        <w:rPr>
          <w:rFonts w:ascii="Verdana" w:hAnsi="Verdana" w:cs="Arial"/>
          <w:sz w:val="22"/>
          <w:szCs w:val="22"/>
        </w:rPr>
        <w:t>utilidad</w:t>
      </w:r>
      <w:r w:rsidR="006813E0" w:rsidRPr="00205C60">
        <w:rPr>
          <w:rFonts w:ascii="Verdana" w:hAnsi="Verdana" w:cs="Arial"/>
          <w:sz w:val="22"/>
          <w:szCs w:val="22"/>
        </w:rPr>
        <w:t xml:space="preserve"> en periodo 202</w:t>
      </w:r>
      <w:r w:rsidR="00E34F8D" w:rsidRPr="00205C60">
        <w:rPr>
          <w:rFonts w:ascii="Verdana" w:hAnsi="Verdana" w:cs="Arial"/>
          <w:sz w:val="22"/>
          <w:szCs w:val="22"/>
        </w:rPr>
        <w:t>2</w:t>
      </w:r>
      <w:r w:rsidR="00DF5A65" w:rsidRPr="00205C60">
        <w:rPr>
          <w:rFonts w:ascii="Verdana" w:hAnsi="Verdana" w:cs="Arial"/>
          <w:sz w:val="22"/>
          <w:szCs w:val="22"/>
        </w:rPr>
        <w:t xml:space="preserve"> obedeció principalmente </w:t>
      </w:r>
      <w:r w:rsidRPr="00205C60">
        <w:rPr>
          <w:rFonts w:ascii="Verdana" w:hAnsi="Verdana" w:cs="Arial"/>
          <w:sz w:val="22"/>
          <w:szCs w:val="22"/>
        </w:rPr>
        <w:t>a las variables que</w:t>
      </w:r>
      <w:r w:rsidR="00997009" w:rsidRPr="00205C60">
        <w:rPr>
          <w:rFonts w:ascii="Verdana" w:hAnsi="Verdana" w:cs="Arial"/>
          <w:sz w:val="22"/>
          <w:szCs w:val="22"/>
        </w:rPr>
        <w:t xml:space="preserve"> se detallan a continuación:</w:t>
      </w:r>
    </w:p>
    <w:p w14:paraId="3F65F239" w14:textId="77777777" w:rsidR="007A0FBB" w:rsidRPr="00205C60" w:rsidRDefault="007A0FBB" w:rsidP="00D45520">
      <w:pPr>
        <w:jc w:val="both"/>
        <w:rPr>
          <w:rFonts w:ascii="Verdana" w:hAnsi="Verdana" w:cs="Arial"/>
          <w:sz w:val="22"/>
          <w:szCs w:val="22"/>
        </w:rPr>
      </w:pPr>
    </w:p>
    <w:p w14:paraId="39936A17" w14:textId="03FA9310" w:rsidR="007A0FBB" w:rsidRPr="00205C60" w:rsidRDefault="00094810" w:rsidP="008E6E5D">
      <w:pPr>
        <w:pStyle w:val="Prrafodelista"/>
        <w:numPr>
          <w:ilvl w:val="0"/>
          <w:numId w:val="41"/>
        </w:numPr>
        <w:spacing w:after="160"/>
        <w:contextualSpacing/>
        <w:jc w:val="both"/>
        <w:rPr>
          <w:rFonts w:ascii="Verdana" w:hAnsi="Verdana" w:cstheme="minorHAnsi"/>
          <w:sz w:val="22"/>
          <w:szCs w:val="22"/>
        </w:rPr>
      </w:pPr>
      <w:r w:rsidRPr="00205C60">
        <w:rPr>
          <w:rFonts w:ascii="Verdana" w:hAnsi="Verdana" w:cstheme="minorHAnsi"/>
          <w:b/>
          <w:bCs/>
          <w:sz w:val="22"/>
          <w:szCs w:val="22"/>
        </w:rPr>
        <w:t>Incremento en los ingresos por ventas de energía</w:t>
      </w:r>
      <w:r w:rsidR="007A0FBB" w:rsidRPr="00205C60">
        <w:rPr>
          <w:rFonts w:ascii="Verdana" w:hAnsi="Verdana" w:cstheme="minorHAnsi"/>
          <w:sz w:val="22"/>
          <w:szCs w:val="22"/>
        </w:rPr>
        <w:t xml:space="preserve"> que totalizó un </w:t>
      </w:r>
      <w:r w:rsidR="006177C0" w:rsidRPr="00205C60">
        <w:rPr>
          <w:rFonts w:ascii="Verdana" w:hAnsi="Verdana" w:cstheme="minorHAnsi"/>
          <w:sz w:val="22"/>
          <w:szCs w:val="22"/>
        </w:rPr>
        <w:t>aumento</w:t>
      </w:r>
      <w:r w:rsidR="007A0FBB" w:rsidRPr="00205C60">
        <w:rPr>
          <w:rFonts w:ascii="Verdana" w:hAnsi="Verdana" w:cstheme="minorHAnsi"/>
          <w:sz w:val="22"/>
          <w:szCs w:val="22"/>
        </w:rPr>
        <w:t xml:space="preserve"> </w:t>
      </w:r>
      <w:r w:rsidR="006177C0" w:rsidRPr="00205C60">
        <w:rPr>
          <w:rFonts w:ascii="Verdana" w:hAnsi="Verdana" w:cstheme="minorHAnsi"/>
          <w:sz w:val="22"/>
          <w:szCs w:val="22"/>
        </w:rPr>
        <w:t>de 31 161 MCRC en comparación con los ingresos del mismo periodo del año 2021, producto del aumento en la cantidad de energía vendida (0,5</w:t>
      </w:r>
      <w:r w:rsidR="008E6E5D" w:rsidRPr="00205C60">
        <w:rPr>
          <w:rFonts w:ascii="Verdana" w:hAnsi="Verdana" w:cstheme="minorHAnsi"/>
          <w:sz w:val="22"/>
          <w:szCs w:val="22"/>
        </w:rPr>
        <w:t>4</w:t>
      </w:r>
      <w:r w:rsidR="006177C0" w:rsidRPr="00205C60">
        <w:rPr>
          <w:rFonts w:ascii="Verdana" w:hAnsi="Verdana" w:cstheme="minorHAnsi"/>
          <w:sz w:val="22"/>
          <w:szCs w:val="22"/>
        </w:rPr>
        <w:t>%)</w:t>
      </w:r>
      <w:r w:rsidR="00FA5862" w:rsidRPr="00205C60">
        <w:rPr>
          <w:rFonts w:ascii="Verdana" w:hAnsi="Verdana" w:cstheme="minorHAnsi"/>
          <w:sz w:val="22"/>
          <w:szCs w:val="22"/>
        </w:rPr>
        <w:t xml:space="preserve">, </w:t>
      </w:r>
      <w:r w:rsidR="006177C0" w:rsidRPr="00205C60">
        <w:rPr>
          <w:rFonts w:ascii="Verdana" w:hAnsi="Verdana" w:cstheme="minorHAnsi"/>
          <w:sz w:val="22"/>
          <w:szCs w:val="22"/>
        </w:rPr>
        <w:t>así como del incremento que se da en el precio de venta debido al ajuste tarifario aprobado según RE-0080-IE-2021.</w:t>
      </w:r>
    </w:p>
    <w:p w14:paraId="79795AA7" w14:textId="58C44C89" w:rsidR="007A0FBB" w:rsidRPr="002D4384" w:rsidRDefault="00C161E4" w:rsidP="00C74D1B">
      <w:pPr>
        <w:pStyle w:val="Prrafodelista"/>
        <w:numPr>
          <w:ilvl w:val="0"/>
          <w:numId w:val="41"/>
        </w:numPr>
        <w:spacing w:after="160"/>
        <w:contextualSpacing/>
        <w:jc w:val="both"/>
        <w:rPr>
          <w:rFonts w:ascii="Verdana" w:hAnsi="Verdana" w:cstheme="minorHAnsi"/>
          <w:sz w:val="22"/>
          <w:szCs w:val="22"/>
        </w:rPr>
      </w:pPr>
      <w:r w:rsidRPr="002D4384">
        <w:rPr>
          <w:rFonts w:ascii="Verdana" w:hAnsi="Verdana" w:cstheme="minorHAnsi"/>
          <w:b/>
          <w:bCs/>
          <w:sz w:val="22"/>
          <w:szCs w:val="22"/>
        </w:rPr>
        <w:t>Aumento en la generación de energía</w:t>
      </w:r>
      <w:r w:rsidR="007A0FBB" w:rsidRPr="002D4384">
        <w:rPr>
          <w:rFonts w:ascii="Verdana" w:hAnsi="Verdana" w:cstheme="minorHAnsi"/>
          <w:b/>
          <w:bCs/>
          <w:sz w:val="22"/>
          <w:szCs w:val="22"/>
        </w:rPr>
        <w:t>:</w:t>
      </w:r>
      <w:r w:rsidR="007A0FBB" w:rsidRPr="002D4384">
        <w:rPr>
          <w:rFonts w:ascii="Verdana" w:hAnsi="Verdana" w:cstheme="minorHAnsi"/>
          <w:sz w:val="22"/>
          <w:szCs w:val="22"/>
        </w:rPr>
        <w:t xml:space="preserve"> </w:t>
      </w:r>
      <w:r w:rsidRPr="002D4384">
        <w:rPr>
          <w:rFonts w:ascii="Verdana" w:hAnsi="Verdana" w:cstheme="minorHAnsi"/>
          <w:sz w:val="22"/>
          <w:szCs w:val="22"/>
        </w:rPr>
        <w:t xml:space="preserve">Las condiciones climáticas en el periodo 2022, </w:t>
      </w:r>
      <w:r w:rsidR="00316E33" w:rsidRPr="002D4384">
        <w:rPr>
          <w:rFonts w:ascii="Verdana" w:hAnsi="Verdana" w:cstheme="minorHAnsi"/>
          <w:sz w:val="22"/>
          <w:szCs w:val="22"/>
        </w:rPr>
        <w:t>provocaron</w:t>
      </w:r>
      <w:r w:rsidRPr="002D4384">
        <w:rPr>
          <w:rFonts w:ascii="Verdana" w:hAnsi="Verdana" w:cstheme="minorHAnsi"/>
          <w:sz w:val="22"/>
          <w:szCs w:val="22"/>
        </w:rPr>
        <w:t xml:space="preserve"> un crecimiento del </w:t>
      </w:r>
      <w:r w:rsidR="001F5CA6" w:rsidRPr="002D4384">
        <w:rPr>
          <w:rFonts w:ascii="Verdana" w:hAnsi="Verdana" w:cstheme="minorHAnsi"/>
          <w:sz w:val="22"/>
          <w:szCs w:val="22"/>
        </w:rPr>
        <w:t xml:space="preserve">2,97% en la energía generada, que contribuye a reducir </w:t>
      </w:r>
      <w:r w:rsidR="00106C23" w:rsidRPr="002D4384">
        <w:rPr>
          <w:rFonts w:ascii="Verdana" w:hAnsi="Verdana" w:cstheme="minorHAnsi"/>
          <w:sz w:val="22"/>
          <w:szCs w:val="22"/>
        </w:rPr>
        <w:t>la cantidad de energía comprada y cubrir el incremento en las ventas.</w:t>
      </w:r>
    </w:p>
    <w:p w14:paraId="3F97C3BC" w14:textId="44676BC3" w:rsidR="007A0FBB" w:rsidRPr="00205C60" w:rsidRDefault="00712D7C" w:rsidP="00514125">
      <w:pPr>
        <w:pStyle w:val="Prrafodelista"/>
        <w:numPr>
          <w:ilvl w:val="0"/>
          <w:numId w:val="41"/>
        </w:numPr>
        <w:contextualSpacing/>
        <w:jc w:val="both"/>
        <w:rPr>
          <w:rFonts w:ascii="Verdana" w:hAnsi="Verdana" w:cstheme="minorHAnsi"/>
          <w:sz w:val="22"/>
          <w:szCs w:val="22"/>
        </w:rPr>
      </w:pPr>
      <w:r w:rsidRPr="00205C60">
        <w:rPr>
          <w:rFonts w:ascii="Verdana" w:hAnsi="Verdana" w:cstheme="minorHAnsi"/>
          <w:b/>
          <w:bCs/>
          <w:sz w:val="22"/>
          <w:szCs w:val="22"/>
        </w:rPr>
        <w:t xml:space="preserve">Efecto neto en el comportamiento </w:t>
      </w:r>
      <w:r w:rsidR="00B70143" w:rsidRPr="00205C60">
        <w:rPr>
          <w:rFonts w:ascii="Verdana" w:hAnsi="Verdana" w:cstheme="minorHAnsi"/>
          <w:b/>
          <w:bCs/>
          <w:sz w:val="22"/>
          <w:szCs w:val="22"/>
        </w:rPr>
        <w:t>del tipo de cambio</w:t>
      </w:r>
      <w:r w:rsidR="007A0FBB" w:rsidRPr="00205C60">
        <w:rPr>
          <w:rFonts w:ascii="Verdana" w:hAnsi="Verdana" w:cstheme="minorHAnsi"/>
          <w:b/>
          <w:bCs/>
          <w:sz w:val="22"/>
          <w:szCs w:val="22"/>
        </w:rPr>
        <w:t xml:space="preserve">. </w:t>
      </w:r>
      <w:r w:rsidR="00514125" w:rsidRPr="00205C60">
        <w:rPr>
          <w:rFonts w:ascii="Verdana" w:hAnsi="Verdana" w:cstheme="minorHAnsi"/>
          <w:sz w:val="22"/>
          <w:szCs w:val="22"/>
        </w:rPr>
        <w:t xml:space="preserve">El manejo realizado </w:t>
      </w:r>
      <w:r w:rsidR="00701C71" w:rsidRPr="00205C60">
        <w:rPr>
          <w:rFonts w:ascii="Verdana" w:hAnsi="Verdana" w:cstheme="minorHAnsi"/>
          <w:sz w:val="22"/>
          <w:szCs w:val="22"/>
        </w:rPr>
        <w:t xml:space="preserve">de los flujos de efectivo, </w:t>
      </w:r>
      <w:r w:rsidR="00514125" w:rsidRPr="00205C60">
        <w:rPr>
          <w:rFonts w:ascii="Verdana" w:hAnsi="Verdana" w:cstheme="minorHAnsi"/>
          <w:sz w:val="22"/>
          <w:szCs w:val="22"/>
        </w:rPr>
        <w:t>en el periodo 2022</w:t>
      </w:r>
      <w:r w:rsidR="005552A5" w:rsidRPr="00205C60">
        <w:rPr>
          <w:rFonts w:ascii="Verdana" w:hAnsi="Verdana" w:cstheme="minorHAnsi"/>
          <w:sz w:val="22"/>
          <w:szCs w:val="22"/>
        </w:rPr>
        <w:t>,</w:t>
      </w:r>
      <w:r w:rsidR="00514125" w:rsidRPr="00205C60">
        <w:rPr>
          <w:rFonts w:ascii="Verdana" w:hAnsi="Verdana" w:cstheme="minorHAnsi"/>
          <w:sz w:val="22"/>
          <w:szCs w:val="22"/>
        </w:rPr>
        <w:t xml:space="preserve"> permitió la cancelación anticipada de </w:t>
      </w:r>
      <w:r w:rsidR="008F1B6F" w:rsidRPr="00205C60">
        <w:rPr>
          <w:rFonts w:ascii="Verdana" w:hAnsi="Verdana" w:cstheme="minorHAnsi"/>
          <w:sz w:val="22"/>
          <w:szCs w:val="22"/>
        </w:rPr>
        <w:t>2 de los 3</w:t>
      </w:r>
      <w:r w:rsidR="00514125" w:rsidRPr="00205C60">
        <w:rPr>
          <w:rFonts w:ascii="Verdana" w:hAnsi="Verdana" w:cstheme="minorHAnsi"/>
          <w:sz w:val="22"/>
          <w:szCs w:val="22"/>
        </w:rPr>
        <w:t xml:space="preserve"> créditos</w:t>
      </w:r>
      <w:r w:rsidR="008F1B6F" w:rsidRPr="00205C60">
        <w:rPr>
          <w:rFonts w:ascii="Verdana" w:hAnsi="Verdana" w:cstheme="minorHAnsi"/>
          <w:sz w:val="22"/>
          <w:szCs w:val="22"/>
        </w:rPr>
        <w:t xml:space="preserve"> en dólares</w:t>
      </w:r>
      <w:r w:rsidR="00514125" w:rsidRPr="00205C60">
        <w:rPr>
          <w:rFonts w:ascii="Verdana" w:hAnsi="Verdana" w:cstheme="minorHAnsi"/>
          <w:sz w:val="22"/>
          <w:szCs w:val="22"/>
        </w:rPr>
        <w:t xml:space="preserve">, </w:t>
      </w:r>
      <w:r w:rsidR="00514125" w:rsidRPr="00205C60">
        <w:rPr>
          <w:rFonts w:ascii="Verdana" w:hAnsi="Verdana" w:cstheme="minorHAnsi"/>
          <w:b/>
          <w:bCs/>
          <w:sz w:val="22"/>
          <w:szCs w:val="22"/>
        </w:rPr>
        <w:t>BICSA</w:t>
      </w:r>
      <w:r w:rsidR="008F1B6F" w:rsidRPr="00205C60">
        <w:rPr>
          <w:rFonts w:ascii="Verdana" w:hAnsi="Verdana" w:cstheme="minorHAnsi"/>
          <w:b/>
          <w:bCs/>
          <w:sz w:val="22"/>
          <w:szCs w:val="22"/>
        </w:rPr>
        <w:t xml:space="preserve"> y</w:t>
      </w:r>
      <w:r w:rsidR="00514125" w:rsidRPr="00205C60">
        <w:rPr>
          <w:rFonts w:ascii="Verdana" w:hAnsi="Verdana" w:cstheme="minorHAnsi"/>
          <w:b/>
          <w:bCs/>
          <w:sz w:val="22"/>
          <w:szCs w:val="22"/>
        </w:rPr>
        <w:t xml:space="preserve"> BNDES</w:t>
      </w:r>
      <w:r w:rsidR="005127C3" w:rsidRPr="00205C60">
        <w:rPr>
          <w:rFonts w:ascii="Verdana" w:hAnsi="Verdana" w:cstheme="minorHAnsi"/>
          <w:sz w:val="22"/>
          <w:szCs w:val="22"/>
        </w:rPr>
        <w:t>;</w:t>
      </w:r>
      <w:r w:rsidR="00514125" w:rsidRPr="00205C60">
        <w:rPr>
          <w:rFonts w:ascii="Verdana" w:hAnsi="Verdana" w:cstheme="minorHAnsi"/>
          <w:sz w:val="22"/>
          <w:szCs w:val="22"/>
        </w:rPr>
        <w:t xml:space="preserve"> </w:t>
      </w:r>
      <w:r w:rsidR="006156B7" w:rsidRPr="00205C60">
        <w:rPr>
          <w:rFonts w:ascii="Verdana" w:hAnsi="Verdana" w:cstheme="minorHAnsi"/>
          <w:sz w:val="22"/>
          <w:szCs w:val="22"/>
        </w:rPr>
        <w:t>a su vez</w:t>
      </w:r>
      <w:r w:rsidR="005127C3" w:rsidRPr="00205C60">
        <w:rPr>
          <w:rFonts w:ascii="Verdana" w:hAnsi="Verdana" w:cstheme="minorHAnsi"/>
          <w:sz w:val="22"/>
          <w:szCs w:val="22"/>
        </w:rPr>
        <w:t>,</w:t>
      </w:r>
      <w:r w:rsidR="006156B7" w:rsidRPr="00205C60">
        <w:rPr>
          <w:rFonts w:ascii="Verdana" w:hAnsi="Verdana" w:cstheme="minorHAnsi"/>
          <w:sz w:val="22"/>
          <w:szCs w:val="22"/>
        </w:rPr>
        <w:t xml:space="preserve"> las fluctuaciones cambiarias tuvieron una tendencia a la baja </w:t>
      </w:r>
      <w:r w:rsidR="00C43821" w:rsidRPr="00205C60">
        <w:rPr>
          <w:rFonts w:ascii="Verdana" w:hAnsi="Verdana" w:cstheme="minorHAnsi"/>
          <w:sz w:val="22"/>
          <w:szCs w:val="22"/>
        </w:rPr>
        <w:t>durante el periodo lo cual,</w:t>
      </w:r>
      <w:r w:rsidR="00862C73" w:rsidRPr="00205C60">
        <w:rPr>
          <w:rFonts w:ascii="Verdana" w:hAnsi="Verdana" w:cstheme="minorHAnsi"/>
          <w:sz w:val="22"/>
          <w:szCs w:val="22"/>
        </w:rPr>
        <w:t xml:space="preserve"> </w:t>
      </w:r>
      <w:r w:rsidR="00150A37" w:rsidRPr="00205C60">
        <w:rPr>
          <w:rFonts w:ascii="Verdana" w:hAnsi="Verdana" w:cstheme="minorHAnsi"/>
          <w:sz w:val="22"/>
          <w:szCs w:val="22"/>
        </w:rPr>
        <w:t>gener</w:t>
      </w:r>
      <w:r w:rsidR="00C43821" w:rsidRPr="00205C60">
        <w:rPr>
          <w:rFonts w:ascii="Verdana" w:hAnsi="Verdana" w:cstheme="minorHAnsi"/>
          <w:sz w:val="22"/>
          <w:szCs w:val="22"/>
        </w:rPr>
        <w:t xml:space="preserve">ó </w:t>
      </w:r>
      <w:r w:rsidR="00C3719D" w:rsidRPr="00205C60">
        <w:rPr>
          <w:rFonts w:ascii="Verdana" w:hAnsi="Verdana" w:cstheme="minorHAnsi"/>
          <w:sz w:val="22"/>
          <w:szCs w:val="22"/>
        </w:rPr>
        <w:t>en el 2022 un</w:t>
      </w:r>
      <w:r w:rsidR="00862C73" w:rsidRPr="00205C60">
        <w:rPr>
          <w:rFonts w:ascii="Verdana" w:hAnsi="Verdana" w:cstheme="minorHAnsi"/>
          <w:sz w:val="22"/>
          <w:szCs w:val="22"/>
        </w:rPr>
        <w:t xml:space="preserve"> aumento en los ingresos por diferencias cambiarias </w:t>
      </w:r>
      <w:r w:rsidR="00C3719D" w:rsidRPr="00205C60">
        <w:rPr>
          <w:rFonts w:ascii="Verdana" w:hAnsi="Verdana" w:cstheme="minorHAnsi"/>
          <w:sz w:val="22"/>
          <w:szCs w:val="22"/>
        </w:rPr>
        <w:t>de</w:t>
      </w:r>
      <w:r w:rsidR="00862C73" w:rsidRPr="00205C60">
        <w:rPr>
          <w:rFonts w:ascii="Verdana" w:hAnsi="Verdana" w:cstheme="minorHAnsi"/>
          <w:sz w:val="22"/>
          <w:szCs w:val="22"/>
        </w:rPr>
        <w:t xml:space="preserve"> 1 307 MCRC</w:t>
      </w:r>
      <w:r w:rsidR="00E96D88" w:rsidRPr="00205C60">
        <w:rPr>
          <w:rFonts w:ascii="Verdana" w:hAnsi="Verdana" w:cstheme="minorHAnsi"/>
          <w:sz w:val="22"/>
          <w:szCs w:val="22"/>
        </w:rPr>
        <w:t>,</w:t>
      </w:r>
      <w:r w:rsidR="00862C73" w:rsidRPr="00205C60">
        <w:rPr>
          <w:rFonts w:ascii="Verdana" w:hAnsi="Verdana" w:cstheme="minorHAnsi"/>
          <w:sz w:val="22"/>
          <w:szCs w:val="22"/>
        </w:rPr>
        <w:t xml:space="preserve"> </w:t>
      </w:r>
      <w:r w:rsidR="00ED0DD2" w:rsidRPr="00205C60">
        <w:rPr>
          <w:rFonts w:ascii="Verdana" w:hAnsi="Verdana" w:cstheme="minorHAnsi"/>
          <w:sz w:val="22"/>
          <w:szCs w:val="22"/>
        </w:rPr>
        <w:t xml:space="preserve">así como </w:t>
      </w:r>
      <w:r w:rsidR="00862C73" w:rsidRPr="00205C60">
        <w:rPr>
          <w:rFonts w:ascii="Verdana" w:hAnsi="Verdana" w:cstheme="minorHAnsi"/>
          <w:sz w:val="22"/>
          <w:szCs w:val="22"/>
        </w:rPr>
        <w:t xml:space="preserve">una disminución en el gasto por dicho concepto por un monto de 1 107 MCRC, dando como resultado un efecto neto de 2 414 MCRC </w:t>
      </w:r>
      <w:r w:rsidR="00ED0DD2" w:rsidRPr="00205C60">
        <w:rPr>
          <w:rFonts w:ascii="Verdana" w:hAnsi="Verdana" w:cstheme="minorHAnsi"/>
          <w:sz w:val="22"/>
          <w:szCs w:val="22"/>
        </w:rPr>
        <w:t>menos en el gasto por</w:t>
      </w:r>
      <w:r w:rsidR="00366D05" w:rsidRPr="00205C60">
        <w:rPr>
          <w:rFonts w:ascii="Verdana" w:hAnsi="Verdana" w:cstheme="minorHAnsi"/>
          <w:sz w:val="22"/>
          <w:szCs w:val="22"/>
        </w:rPr>
        <w:t xml:space="preserve"> diferencias cambiarias</w:t>
      </w:r>
      <w:r w:rsidR="00862C73" w:rsidRPr="00205C60">
        <w:rPr>
          <w:rFonts w:ascii="Verdana" w:hAnsi="Verdana" w:cstheme="minorHAnsi"/>
          <w:sz w:val="22"/>
          <w:szCs w:val="22"/>
        </w:rPr>
        <w:t xml:space="preserve"> con respecto al 2021</w:t>
      </w:r>
      <w:r w:rsidR="002C0A09" w:rsidRPr="00205C60">
        <w:rPr>
          <w:rFonts w:ascii="Verdana" w:hAnsi="Verdana" w:cstheme="minorHAnsi"/>
          <w:sz w:val="22"/>
          <w:szCs w:val="22"/>
        </w:rPr>
        <w:t>.</w:t>
      </w:r>
    </w:p>
    <w:p w14:paraId="7113C4E3" w14:textId="77777777" w:rsidR="007A0FBB" w:rsidRPr="00205C60" w:rsidRDefault="007A0FBB" w:rsidP="007A0FBB">
      <w:pPr>
        <w:jc w:val="both"/>
        <w:rPr>
          <w:rFonts w:ascii="Verdana" w:hAnsi="Verdana" w:cstheme="minorHAnsi"/>
          <w:sz w:val="22"/>
          <w:szCs w:val="22"/>
        </w:rPr>
      </w:pPr>
    </w:p>
    <w:p w14:paraId="7A58F776" w14:textId="77777777" w:rsidR="00311DA4" w:rsidRPr="00205C60" w:rsidRDefault="00311DA4" w:rsidP="00D94414">
      <w:pPr>
        <w:jc w:val="both"/>
        <w:rPr>
          <w:rFonts w:ascii="Verdana" w:hAnsi="Verdana" w:cs="Arial"/>
          <w:sz w:val="22"/>
          <w:szCs w:val="22"/>
        </w:rPr>
      </w:pPr>
    </w:p>
    <w:p w14:paraId="3CA7E8F7" w14:textId="77777777" w:rsidR="00B44125" w:rsidRPr="00205C60" w:rsidRDefault="00B44125" w:rsidP="00882F32">
      <w:pPr>
        <w:pStyle w:val="Prrafodelista"/>
        <w:numPr>
          <w:ilvl w:val="0"/>
          <w:numId w:val="26"/>
        </w:numPr>
        <w:rPr>
          <w:rFonts w:ascii="Verdana" w:hAnsi="Verdana" w:cs="Arial"/>
          <w:b/>
          <w:sz w:val="22"/>
          <w:szCs w:val="22"/>
        </w:rPr>
      </w:pPr>
      <w:r w:rsidRPr="00205C60">
        <w:rPr>
          <w:rFonts w:ascii="Verdana" w:hAnsi="Verdana" w:cs="Arial"/>
          <w:b/>
          <w:sz w:val="22"/>
          <w:szCs w:val="22"/>
        </w:rPr>
        <w:t>Util</w:t>
      </w:r>
      <w:r w:rsidR="00BF3491" w:rsidRPr="00205C60">
        <w:rPr>
          <w:rFonts w:ascii="Verdana" w:hAnsi="Verdana" w:cs="Arial"/>
          <w:b/>
          <w:sz w:val="22"/>
          <w:szCs w:val="22"/>
        </w:rPr>
        <w:t>idad neta a ingresos totale</w:t>
      </w:r>
      <w:r w:rsidR="006B59EC" w:rsidRPr="00205C60">
        <w:rPr>
          <w:rFonts w:ascii="Verdana" w:hAnsi="Verdana" w:cs="Arial"/>
          <w:b/>
          <w:sz w:val="22"/>
          <w:szCs w:val="22"/>
        </w:rPr>
        <w:t>s</w:t>
      </w:r>
    </w:p>
    <w:p w14:paraId="3CA7E8F8" w14:textId="77777777" w:rsidR="000A100E" w:rsidRPr="00205C60" w:rsidRDefault="000A100E" w:rsidP="000A100E">
      <w:pPr>
        <w:pStyle w:val="Prrafodelista"/>
        <w:ind w:left="1068"/>
        <w:rPr>
          <w:rFonts w:ascii="Verdana" w:hAnsi="Verdana" w:cs="Arial"/>
          <w:b/>
          <w:sz w:val="22"/>
          <w:szCs w:val="22"/>
          <w:u w:val="single"/>
        </w:rPr>
      </w:pPr>
    </w:p>
    <w:p w14:paraId="3CA7E8F9" w14:textId="0742A6E6" w:rsidR="00B44125" w:rsidRPr="00205C60" w:rsidRDefault="00B44125">
      <w:pPr>
        <w:jc w:val="both"/>
        <w:rPr>
          <w:rFonts w:ascii="Verdana" w:hAnsi="Verdana" w:cs="Arial"/>
          <w:sz w:val="22"/>
          <w:szCs w:val="22"/>
        </w:rPr>
      </w:pPr>
      <w:r w:rsidRPr="00205C60">
        <w:rPr>
          <w:rFonts w:ascii="Verdana" w:hAnsi="Verdana" w:cs="Arial"/>
          <w:sz w:val="22"/>
          <w:szCs w:val="22"/>
        </w:rPr>
        <w:t>Este cálculo determina la rentabilidad respecto a l</w:t>
      </w:r>
      <w:r w:rsidR="0028474F" w:rsidRPr="00205C60">
        <w:rPr>
          <w:rFonts w:ascii="Verdana" w:hAnsi="Verdana" w:cs="Arial"/>
          <w:sz w:val="22"/>
          <w:szCs w:val="22"/>
        </w:rPr>
        <w:t>os ingresos totales</w:t>
      </w:r>
      <w:r w:rsidRPr="00205C60">
        <w:rPr>
          <w:rFonts w:ascii="Verdana" w:hAnsi="Verdana" w:cs="Arial"/>
          <w:sz w:val="22"/>
          <w:szCs w:val="22"/>
        </w:rPr>
        <w:t xml:space="preserve"> generad</w:t>
      </w:r>
      <w:r w:rsidR="0028474F" w:rsidRPr="00205C60">
        <w:rPr>
          <w:rFonts w:ascii="Verdana" w:hAnsi="Verdana" w:cs="Arial"/>
          <w:sz w:val="22"/>
          <w:szCs w:val="22"/>
        </w:rPr>
        <w:t>o</w:t>
      </w:r>
      <w:r w:rsidRPr="00205C60">
        <w:rPr>
          <w:rFonts w:ascii="Verdana" w:hAnsi="Verdana" w:cs="Arial"/>
          <w:sz w:val="22"/>
          <w:szCs w:val="22"/>
        </w:rPr>
        <w:t>s</w:t>
      </w:r>
      <w:r w:rsidR="00D20B00" w:rsidRPr="00205C60">
        <w:rPr>
          <w:rFonts w:ascii="Verdana" w:hAnsi="Verdana" w:cs="Arial"/>
          <w:sz w:val="22"/>
          <w:szCs w:val="22"/>
        </w:rPr>
        <w:t xml:space="preserve"> (ventas de energía y otros ingresos de operación)</w:t>
      </w:r>
      <w:r w:rsidRPr="00205C60">
        <w:rPr>
          <w:rFonts w:ascii="Verdana" w:hAnsi="Verdana" w:cs="Arial"/>
          <w:sz w:val="22"/>
          <w:szCs w:val="22"/>
        </w:rPr>
        <w:t xml:space="preserve">. Representa el porcentaje de </w:t>
      </w:r>
      <w:r w:rsidR="0028474F" w:rsidRPr="00205C60">
        <w:rPr>
          <w:rFonts w:ascii="Verdana" w:hAnsi="Verdana" w:cs="Arial"/>
          <w:sz w:val="22"/>
          <w:szCs w:val="22"/>
        </w:rPr>
        <w:t xml:space="preserve">ingresos </w:t>
      </w:r>
      <w:r w:rsidRPr="00205C60">
        <w:rPr>
          <w:rFonts w:ascii="Verdana" w:hAnsi="Verdana" w:cs="Arial"/>
          <w:sz w:val="22"/>
          <w:szCs w:val="22"/>
        </w:rPr>
        <w:t>que son ganancias netas.</w:t>
      </w:r>
    </w:p>
    <w:p w14:paraId="23097895" w14:textId="3D63BA5B" w:rsidR="00F66DA1" w:rsidRPr="00205C60" w:rsidRDefault="00F66DA1">
      <w:pPr>
        <w:jc w:val="both"/>
        <w:rPr>
          <w:rFonts w:ascii="Verdana" w:hAnsi="Verdana" w:cs="Arial"/>
          <w:sz w:val="22"/>
          <w:szCs w:val="22"/>
        </w:rPr>
      </w:pPr>
    </w:p>
    <w:p w14:paraId="35F100D0" w14:textId="79B8F789" w:rsidR="00F66DA1" w:rsidRPr="00205C60" w:rsidRDefault="00F66DA1">
      <w:pPr>
        <w:jc w:val="both"/>
        <w:rPr>
          <w:rFonts w:ascii="Verdana" w:hAnsi="Verdana" w:cs="Arial"/>
          <w:sz w:val="22"/>
          <w:szCs w:val="22"/>
        </w:rPr>
      </w:pPr>
    </w:p>
    <w:tbl>
      <w:tblPr>
        <w:tblW w:w="4816" w:type="pct"/>
        <w:jc w:val="center"/>
        <w:tblLayout w:type="fixed"/>
        <w:tblCellMar>
          <w:left w:w="70" w:type="dxa"/>
          <w:right w:w="70" w:type="dxa"/>
        </w:tblCellMar>
        <w:tblLook w:val="0000" w:firstRow="0" w:lastRow="0" w:firstColumn="0" w:lastColumn="0" w:noHBand="0" w:noVBand="0"/>
      </w:tblPr>
      <w:tblGrid>
        <w:gridCol w:w="3648"/>
        <w:gridCol w:w="1742"/>
        <w:gridCol w:w="1691"/>
        <w:gridCol w:w="1698"/>
      </w:tblGrid>
      <w:tr w:rsidR="00724DDD" w:rsidRPr="00205C60" w14:paraId="3CA7E8FF" w14:textId="44B04D4A" w:rsidTr="005A3387">
        <w:trPr>
          <w:trHeight w:val="430"/>
          <w:jc w:val="center"/>
        </w:trPr>
        <w:tc>
          <w:tcPr>
            <w:tcW w:w="2078" w:type="pct"/>
            <w:tcBorders>
              <w:top w:val="single" w:sz="8" w:space="0" w:color="auto"/>
              <w:left w:val="single" w:sz="8" w:space="0" w:color="auto"/>
              <w:bottom w:val="single" w:sz="4" w:space="0" w:color="auto"/>
              <w:right w:val="single" w:sz="4" w:space="0" w:color="auto"/>
            </w:tcBorders>
            <w:shd w:val="clear" w:color="auto" w:fill="auto"/>
            <w:noWrap/>
            <w:vAlign w:val="center"/>
          </w:tcPr>
          <w:p w14:paraId="3CA7E8FB" w14:textId="77777777" w:rsidR="00724DDD" w:rsidRPr="00205C60" w:rsidRDefault="00724DDD" w:rsidP="00724DDD">
            <w:pPr>
              <w:jc w:val="center"/>
              <w:rPr>
                <w:rFonts w:ascii="Verdana" w:hAnsi="Verdana" w:cs="Arial"/>
                <w:b/>
                <w:bCs/>
                <w:sz w:val="22"/>
                <w:szCs w:val="22"/>
              </w:rPr>
            </w:pPr>
            <w:r w:rsidRPr="00205C60">
              <w:rPr>
                <w:rFonts w:ascii="Verdana" w:hAnsi="Verdana" w:cs="Arial"/>
                <w:b/>
                <w:bCs/>
                <w:sz w:val="22"/>
                <w:szCs w:val="22"/>
              </w:rPr>
              <w:t>(En miles de colones)</w:t>
            </w:r>
          </w:p>
        </w:tc>
        <w:tc>
          <w:tcPr>
            <w:tcW w:w="992" w:type="pct"/>
            <w:tcBorders>
              <w:top w:val="single" w:sz="4" w:space="0" w:color="auto"/>
              <w:left w:val="single" w:sz="4" w:space="0" w:color="auto"/>
              <w:bottom w:val="single" w:sz="4" w:space="0" w:color="auto"/>
              <w:right w:val="single" w:sz="4" w:space="0" w:color="auto"/>
            </w:tcBorders>
          </w:tcPr>
          <w:p w14:paraId="3CA7E8FD" w14:textId="2EE62684" w:rsidR="00724DDD" w:rsidRPr="00205C60" w:rsidRDefault="00724DDD" w:rsidP="00724DDD">
            <w:pPr>
              <w:jc w:val="center"/>
              <w:rPr>
                <w:rFonts w:ascii="Verdana" w:hAnsi="Verdana" w:cs="Arial"/>
                <w:b/>
                <w:bCs/>
                <w:sz w:val="22"/>
                <w:szCs w:val="22"/>
              </w:rPr>
            </w:pPr>
            <w:r w:rsidRPr="00205C60">
              <w:rPr>
                <w:rFonts w:ascii="Verdana" w:hAnsi="Verdana" w:cs="Arial"/>
                <w:b/>
                <w:bCs/>
                <w:sz w:val="22"/>
                <w:szCs w:val="22"/>
              </w:rPr>
              <w:t>2020</w:t>
            </w:r>
          </w:p>
        </w:tc>
        <w:tc>
          <w:tcPr>
            <w:tcW w:w="963" w:type="pct"/>
            <w:tcBorders>
              <w:top w:val="single" w:sz="4" w:space="0" w:color="auto"/>
              <w:left w:val="single" w:sz="4" w:space="0" w:color="auto"/>
              <w:bottom w:val="single" w:sz="4" w:space="0" w:color="auto"/>
              <w:right w:val="single" w:sz="4" w:space="0" w:color="auto"/>
            </w:tcBorders>
          </w:tcPr>
          <w:p w14:paraId="3CA7E8FE" w14:textId="602FC426" w:rsidR="00724DDD" w:rsidRPr="00205C60" w:rsidRDefault="00724DDD" w:rsidP="00724DDD">
            <w:pPr>
              <w:jc w:val="center"/>
              <w:rPr>
                <w:rFonts w:ascii="Verdana" w:hAnsi="Verdana" w:cs="Arial"/>
                <w:b/>
                <w:bCs/>
                <w:sz w:val="22"/>
                <w:szCs w:val="22"/>
              </w:rPr>
            </w:pPr>
            <w:r w:rsidRPr="00205C60">
              <w:rPr>
                <w:rFonts w:ascii="Verdana" w:hAnsi="Verdana" w:cs="Arial"/>
                <w:b/>
                <w:bCs/>
                <w:sz w:val="22"/>
                <w:szCs w:val="22"/>
              </w:rPr>
              <w:t>2021</w:t>
            </w:r>
          </w:p>
        </w:tc>
        <w:tc>
          <w:tcPr>
            <w:tcW w:w="967" w:type="pct"/>
            <w:tcBorders>
              <w:top w:val="single" w:sz="4" w:space="0" w:color="auto"/>
              <w:left w:val="single" w:sz="4" w:space="0" w:color="auto"/>
              <w:bottom w:val="single" w:sz="4" w:space="0" w:color="auto"/>
              <w:right w:val="single" w:sz="4" w:space="0" w:color="auto"/>
            </w:tcBorders>
          </w:tcPr>
          <w:p w14:paraId="3A91ECF2" w14:textId="5A5D8B3D" w:rsidR="00724DDD" w:rsidRPr="00205C60" w:rsidRDefault="00724DDD" w:rsidP="00724DDD">
            <w:pPr>
              <w:jc w:val="center"/>
              <w:rPr>
                <w:rFonts w:ascii="Verdana" w:hAnsi="Verdana" w:cs="Arial"/>
                <w:b/>
                <w:bCs/>
                <w:sz w:val="22"/>
                <w:szCs w:val="22"/>
              </w:rPr>
            </w:pPr>
            <w:r w:rsidRPr="00205C60">
              <w:rPr>
                <w:rFonts w:ascii="Verdana" w:hAnsi="Verdana" w:cs="Arial"/>
                <w:b/>
                <w:bCs/>
                <w:sz w:val="22"/>
                <w:szCs w:val="22"/>
              </w:rPr>
              <w:t>2022</w:t>
            </w:r>
          </w:p>
        </w:tc>
      </w:tr>
      <w:tr w:rsidR="00724DDD" w:rsidRPr="00205C60" w14:paraId="3CA7E904" w14:textId="695DFAAB" w:rsidTr="005A3387">
        <w:trPr>
          <w:trHeight w:val="255"/>
          <w:jc w:val="center"/>
        </w:trPr>
        <w:tc>
          <w:tcPr>
            <w:tcW w:w="2078" w:type="pct"/>
            <w:tcBorders>
              <w:top w:val="nil"/>
              <w:left w:val="single" w:sz="8" w:space="0" w:color="auto"/>
              <w:bottom w:val="single" w:sz="4" w:space="0" w:color="auto"/>
              <w:right w:val="single" w:sz="4" w:space="0" w:color="auto"/>
            </w:tcBorders>
            <w:shd w:val="clear" w:color="auto" w:fill="auto"/>
            <w:noWrap/>
            <w:vAlign w:val="center"/>
          </w:tcPr>
          <w:p w14:paraId="3CA7E900" w14:textId="77777777" w:rsidR="00724DDD" w:rsidRPr="00205C60" w:rsidRDefault="00724DDD" w:rsidP="00724DDD">
            <w:pPr>
              <w:rPr>
                <w:rFonts w:ascii="Verdana" w:hAnsi="Verdana" w:cs="Arial"/>
                <w:bCs/>
                <w:sz w:val="22"/>
                <w:szCs w:val="22"/>
              </w:rPr>
            </w:pPr>
            <w:r w:rsidRPr="00205C60">
              <w:rPr>
                <w:rFonts w:ascii="Verdana" w:hAnsi="Verdana" w:cs="Arial"/>
                <w:bCs/>
                <w:sz w:val="22"/>
                <w:szCs w:val="22"/>
              </w:rPr>
              <w:t>Utilidad neta</w:t>
            </w:r>
          </w:p>
        </w:tc>
        <w:tc>
          <w:tcPr>
            <w:tcW w:w="992" w:type="pct"/>
            <w:tcBorders>
              <w:top w:val="single" w:sz="4" w:space="0" w:color="auto"/>
              <w:left w:val="single" w:sz="4" w:space="0" w:color="auto"/>
              <w:bottom w:val="single" w:sz="4" w:space="0" w:color="auto"/>
              <w:right w:val="single" w:sz="4" w:space="0" w:color="auto"/>
            </w:tcBorders>
          </w:tcPr>
          <w:p w14:paraId="3CA7E902" w14:textId="3679B176" w:rsidR="00724DDD" w:rsidRPr="00205C60" w:rsidRDefault="00724DDD" w:rsidP="00724DDD">
            <w:pPr>
              <w:jc w:val="center"/>
              <w:rPr>
                <w:rFonts w:ascii="Verdana" w:hAnsi="Verdana" w:cs="Arial"/>
                <w:bCs/>
                <w:sz w:val="22"/>
                <w:szCs w:val="22"/>
              </w:rPr>
            </w:pPr>
            <w:r w:rsidRPr="00205C60">
              <w:rPr>
                <w:rFonts w:ascii="Verdana" w:hAnsi="Verdana" w:cs="Arial"/>
                <w:bCs/>
                <w:sz w:val="22"/>
                <w:szCs w:val="22"/>
              </w:rPr>
              <w:t>8.344.870</w:t>
            </w:r>
          </w:p>
        </w:tc>
        <w:tc>
          <w:tcPr>
            <w:tcW w:w="963" w:type="pct"/>
            <w:tcBorders>
              <w:top w:val="single" w:sz="4" w:space="0" w:color="auto"/>
              <w:left w:val="single" w:sz="4" w:space="0" w:color="auto"/>
              <w:bottom w:val="single" w:sz="4" w:space="0" w:color="auto"/>
              <w:right w:val="single" w:sz="4" w:space="0" w:color="auto"/>
            </w:tcBorders>
          </w:tcPr>
          <w:p w14:paraId="3CA7E903" w14:textId="25EDFD5D" w:rsidR="00724DDD" w:rsidRPr="00205C60" w:rsidRDefault="00724DDD" w:rsidP="00724DDD">
            <w:pPr>
              <w:jc w:val="center"/>
              <w:rPr>
                <w:rFonts w:ascii="Verdana" w:hAnsi="Verdana" w:cs="Arial"/>
                <w:bCs/>
                <w:sz w:val="22"/>
                <w:szCs w:val="22"/>
              </w:rPr>
            </w:pPr>
            <w:r w:rsidRPr="00205C60">
              <w:rPr>
                <w:rFonts w:ascii="Verdana" w:hAnsi="Verdana" w:cs="Arial"/>
                <w:bCs/>
                <w:sz w:val="22"/>
                <w:szCs w:val="22"/>
              </w:rPr>
              <w:t>(12.195.425)</w:t>
            </w:r>
          </w:p>
        </w:tc>
        <w:tc>
          <w:tcPr>
            <w:tcW w:w="967" w:type="pct"/>
            <w:tcBorders>
              <w:top w:val="single" w:sz="4" w:space="0" w:color="auto"/>
              <w:left w:val="single" w:sz="4" w:space="0" w:color="auto"/>
              <w:bottom w:val="single" w:sz="4" w:space="0" w:color="auto"/>
              <w:right w:val="single" w:sz="4" w:space="0" w:color="auto"/>
            </w:tcBorders>
          </w:tcPr>
          <w:p w14:paraId="55665639" w14:textId="62CD6ADC" w:rsidR="00724DDD" w:rsidRPr="00205C60" w:rsidRDefault="00724DDD" w:rsidP="00724DDD">
            <w:pPr>
              <w:jc w:val="center"/>
              <w:rPr>
                <w:rFonts w:ascii="Verdana" w:hAnsi="Verdana" w:cs="Arial"/>
                <w:bCs/>
                <w:sz w:val="22"/>
                <w:szCs w:val="22"/>
              </w:rPr>
            </w:pPr>
            <w:r w:rsidRPr="00205C60">
              <w:rPr>
                <w:rFonts w:ascii="Verdana" w:hAnsi="Verdana" w:cs="Arial"/>
                <w:bCs/>
                <w:sz w:val="22"/>
                <w:szCs w:val="22"/>
              </w:rPr>
              <w:t>20.343.026</w:t>
            </w:r>
          </w:p>
        </w:tc>
      </w:tr>
      <w:tr w:rsidR="00724DDD" w:rsidRPr="00205C60" w14:paraId="3CA7E909" w14:textId="541DD32F" w:rsidTr="005A3387">
        <w:trPr>
          <w:trHeight w:val="255"/>
          <w:jc w:val="center"/>
        </w:trPr>
        <w:tc>
          <w:tcPr>
            <w:tcW w:w="2078" w:type="pct"/>
            <w:tcBorders>
              <w:top w:val="nil"/>
              <w:left w:val="single" w:sz="8" w:space="0" w:color="auto"/>
              <w:bottom w:val="single" w:sz="4" w:space="0" w:color="auto"/>
              <w:right w:val="single" w:sz="4" w:space="0" w:color="auto"/>
            </w:tcBorders>
            <w:shd w:val="clear" w:color="auto" w:fill="auto"/>
            <w:noWrap/>
            <w:vAlign w:val="center"/>
          </w:tcPr>
          <w:p w14:paraId="3CA7E905" w14:textId="77777777" w:rsidR="00724DDD" w:rsidRPr="00205C60" w:rsidRDefault="00724DDD" w:rsidP="00724DDD">
            <w:pPr>
              <w:rPr>
                <w:rFonts w:ascii="Verdana" w:hAnsi="Verdana" w:cs="Arial"/>
                <w:sz w:val="22"/>
                <w:szCs w:val="22"/>
              </w:rPr>
            </w:pPr>
            <w:r w:rsidRPr="00205C60">
              <w:rPr>
                <w:rFonts w:ascii="Verdana" w:hAnsi="Verdana" w:cs="Arial"/>
                <w:sz w:val="22"/>
                <w:szCs w:val="22"/>
              </w:rPr>
              <w:t>Ingresos totales</w:t>
            </w:r>
          </w:p>
        </w:tc>
        <w:tc>
          <w:tcPr>
            <w:tcW w:w="992" w:type="pct"/>
            <w:tcBorders>
              <w:top w:val="single" w:sz="4" w:space="0" w:color="auto"/>
              <w:left w:val="single" w:sz="4" w:space="0" w:color="auto"/>
              <w:bottom w:val="single" w:sz="4" w:space="0" w:color="auto"/>
              <w:right w:val="single" w:sz="4" w:space="0" w:color="auto"/>
            </w:tcBorders>
          </w:tcPr>
          <w:p w14:paraId="3CA7E907" w14:textId="2A608C8F" w:rsidR="00724DDD" w:rsidRPr="00205C60" w:rsidRDefault="00724DDD" w:rsidP="00724DDD">
            <w:pPr>
              <w:jc w:val="center"/>
              <w:rPr>
                <w:rFonts w:ascii="Verdana" w:hAnsi="Verdana" w:cs="Arial"/>
                <w:sz w:val="22"/>
                <w:szCs w:val="22"/>
              </w:rPr>
            </w:pPr>
            <w:r w:rsidRPr="00205C60">
              <w:rPr>
                <w:rFonts w:ascii="Verdana" w:hAnsi="Verdana" w:cs="Arial"/>
                <w:sz w:val="22"/>
                <w:szCs w:val="22"/>
              </w:rPr>
              <w:t>340.003.558</w:t>
            </w:r>
          </w:p>
        </w:tc>
        <w:tc>
          <w:tcPr>
            <w:tcW w:w="963" w:type="pct"/>
            <w:tcBorders>
              <w:top w:val="single" w:sz="4" w:space="0" w:color="auto"/>
              <w:left w:val="single" w:sz="4" w:space="0" w:color="auto"/>
              <w:bottom w:val="single" w:sz="4" w:space="0" w:color="auto"/>
              <w:right w:val="single" w:sz="4" w:space="0" w:color="auto"/>
            </w:tcBorders>
          </w:tcPr>
          <w:p w14:paraId="3CA7E908" w14:textId="0DB7950B" w:rsidR="00724DDD" w:rsidRPr="00205C60" w:rsidRDefault="00724DDD" w:rsidP="00724DDD">
            <w:pPr>
              <w:jc w:val="center"/>
              <w:rPr>
                <w:rFonts w:ascii="Verdana" w:hAnsi="Verdana" w:cs="Arial"/>
                <w:sz w:val="22"/>
                <w:szCs w:val="22"/>
              </w:rPr>
            </w:pPr>
            <w:r w:rsidRPr="00205C60">
              <w:rPr>
                <w:rFonts w:ascii="Verdana" w:hAnsi="Verdana" w:cs="Arial"/>
                <w:sz w:val="22"/>
                <w:szCs w:val="22"/>
              </w:rPr>
              <w:t>288.065.621</w:t>
            </w:r>
          </w:p>
        </w:tc>
        <w:tc>
          <w:tcPr>
            <w:tcW w:w="967" w:type="pct"/>
            <w:tcBorders>
              <w:top w:val="single" w:sz="4" w:space="0" w:color="auto"/>
              <w:left w:val="single" w:sz="4" w:space="0" w:color="auto"/>
              <w:bottom w:val="single" w:sz="4" w:space="0" w:color="auto"/>
              <w:right w:val="single" w:sz="4" w:space="0" w:color="auto"/>
            </w:tcBorders>
          </w:tcPr>
          <w:p w14:paraId="173B8E17" w14:textId="29FFE786" w:rsidR="00724DDD" w:rsidRPr="00205C60" w:rsidRDefault="00C7049D" w:rsidP="00724DDD">
            <w:pPr>
              <w:jc w:val="center"/>
              <w:rPr>
                <w:rFonts w:ascii="Verdana" w:hAnsi="Verdana" w:cs="Arial"/>
                <w:sz w:val="22"/>
                <w:szCs w:val="22"/>
              </w:rPr>
            </w:pPr>
            <w:r w:rsidRPr="00205C60">
              <w:rPr>
                <w:rFonts w:ascii="Verdana" w:hAnsi="Verdana" w:cs="Arial"/>
                <w:sz w:val="22"/>
                <w:szCs w:val="22"/>
              </w:rPr>
              <w:t>319</w:t>
            </w:r>
            <w:r w:rsidR="00724DDD" w:rsidRPr="00205C60">
              <w:rPr>
                <w:rFonts w:ascii="Verdana" w:hAnsi="Verdana" w:cs="Arial"/>
                <w:sz w:val="22"/>
                <w:szCs w:val="22"/>
              </w:rPr>
              <w:t>.</w:t>
            </w:r>
            <w:r w:rsidRPr="00205C60">
              <w:rPr>
                <w:rFonts w:ascii="Verdana" w:hAnsi="Verdana" w:cs="Arial"/>
                <w:sz w:val="22"/>
                <w:szCs w:val="22"/>
              </w:rPr>
              <w:t>226</w:t>
            </w:r>
            <w:r w:rsidR="00724DDD" w:rsidRPr="00205C60">
              <w:rPr>
                <w:rFonts w:ascii="Verdana" w:hAnsi="Verdana" w:cs="Arial"/>
                <w:sz w:val="22"/>
                <w:szCs w:val="22"/>
              </w:rPr>
              <w:t>.</w:t>
            </w:r>
            <w:r w:rsidRPr="00205C60">
              <w:rPr>
                <w:rFonts w:ascii="Verdana" w:hAnsi="Verdana" w:cs="Arial"/>
                <w:sz w:val="22"/>
                <w:szCs w:val="22"/>
              </w:rPr>
              <w:t>518</w:t>
            </w:r>
          </w:p>
        </w:tc>
      </w:tr>
      <w:tr w:rsidR="00724DDD" w:rsidRPr="00205C60" w14:paraId="3CA7E90E" w14:textId="7928DD0C" w:rsidTr="005A3387">
        <w:trPr>
          <w:trHeight w:val="298"/>
          <w:jc w:val="center"/>
        </w:trPr>
        <w:tc>
          <w:tcPr>
            <w:tcW w:w="2078" w:type="pct"/>
            <w:tcBorders>
              <w:top w:val="nil"/>
              <w:left w:val="single" w:sz="8" w:space="0" w:color="auto"/>
              <w:bottom w:val="single" w:sz="4" w:space="0" w:color="auto"/>
              <w:right w:val="single" w:sz="4" w:space="0" w:color="auto"/>
            </w:tcBorders>
            <w:shd w:val="clear" w:color="auto" w:fill="auto"/>
            <w:noWrap/>
            <w:vAlign w:val="center"/>
          </w:tcPr>
          <w:p w14:paraId="3CA7E90A" w14:textId="77777777" w:rsidR="00724DDD" w:rsidRPr="00205C60" w:rsidRDefault="00724DDD" w:rsidP="00724DDD">
            <w:pPr>
              <w:jc w:val="center"/>
              <w:rPr>
                <w:rFonts w:ascii="Verdana" w:hAnsi="Verdana" w:cs="Arial"/>
                <w:b/>
                <w:sz w:val="22"/>
                <w:szCs w:val="22"/>
              </w:rPr>
            </w:pPr>
            <w:r w:rsidRPr="00205C60">
              <w:rPr>
                <w:rFonts w:ascii="Verdana" w:hAnsi="Verdana" w:cs="Arial"/>
                <w:b/>
                <w:sz w:val="22"/>
                <w:szCs w:val="22"/>
              </w:rPr>
              <w:t>Utilidad neta / Ingresos totales</w:t>
            </w:r>
          </w:p>
        </w:tc>
        <w:tc>
          <w:tcPr>
            <w:tcW w:w="992" w:type="pct"/>
            <w:tcBorders>
              <w:top w:val="single" w:sz="4" w:space="0" w:color="auto"/>
              <w:left w:val="single" w:sz="4" w:space="0" w:color="auto"/>
              <w:bottom w:val="single" w:sz="4" w:space="0" w:color="auto"/>
              <w:right w:val="single" w:sz="4" w:space="0" w:color="auto"/>
            </w:tcBorders>
          </w:tcPr>
          <w:p w14:paraId="3CA7E90C" w14:textId="0879D39A" w:rsidR="00724DDD" w:rsidRPr="00205C60" w:rsidRDefault="00724DDD" w:rsidP="00724DDD">
            <w:pPr>
              <w:jc w:val="center"/>
              <w:rPr>
                <w:rFonts w:ascii="Verdana" w:hAnsi="Verdana" w:cs="Arial"/>
                <w:b/>
                <w:sz w:val="22"/>
                <w:szCs w:val="22"/>
              </w:rPr>
            </w:pPr>
            <w:r w:rsidRPr="00205C60">
              <w:rPr>
                <w:rFonts w:ascii="Verdana" w:hAnsi="Verdana" w:cs="Arial"/>
                <w:b/>
                <w:sz w:val="22"/>
                <w:szCs w:val="22"/>
              </w:rPr>
              <w:t>2,45%</w:t>
            </w:r>
          </w:p>
        </w:tc>
        <w:tc>
          <w:tcPr>
            <w:tcW w:w="963" w:type="pct"/>
            <w:tcBorders>
              <w:top w:val="single" w:sz="4" w:space="0" w:color="auto"/>
              <w:left w:val="single" w:sz="4" w:space="0" w:color="auto"/>
              <w:bottom w:val="single" w:sz="4" w:space="0" w:color="auto"/>
              <w:right w:val="single" w:sz="4" w:space="0" w:color="auto"/>
            </w:tcBorders>
          </w:tcPr>
          <w:p w14:paraId="3CA7E90D" w14:textId="49B85210" w:rsidR="00724DDD" w:rsidRPr="00205C60" w:rsidRDefault="00724DDD" w:rsidP="00724DDD">
            <w:pPr>
              <w:jc w:val="center"/>
              <w:rPr>
                <w:rFonts w:ascii="Verdana" w:hAnsi="Verdana" w:cs="Arial"/>
                <w:b/>
                <w:sz w:val="22"/>
                <w:szCs w:val="22"/>
              </w:rPr>
            </w:pPr>
            <w:r w:rsidRPr="00205C60">
              <w:rPr>
                <w:rFonts w:ascii="Verdana" w:hAnsi="Verdana" w:cs="Arial"/>
                <w:b/>
                <w:sz w:val="22"/>
                <w:szCs w:val="22"/>
              </w:rPr>
              <w:t>(4,23%)</w:t>
            </w:r>
          </w:p>
        </w:tc>
        <w:tc>
          <w:tcPr>
            <w:tcW w:w="967" w:type="pct"/>
            <w:tcBorders>
              <w:top w:val="single" w:sz="4" w:space="0" w:color="auto"/>
              <w:left w:val="single" w:sz="4" w:space="0" w:color="auto"/>
              <w:bottom w:val="single" w:sz="4" w:space="0" w:color="auto"/>
              <w:right w:val="single" w:sz="4" w:space="0" w:color="auto"/>
            </w:tcBorders>
          </w:tcPr>
          <w:p w14:paraId="2FB51484" w14:textId="7DE1A7E8" w:rsidR="00724DDD" w:rsidRPr="00205C60" w:rsidRDefault="00C7049D" w:rsidP="00724DDD">
            <w:pPr>
              <w:jc w:val="center"/>
              <w:rPr>
                <w:rFonts w:ascii="Verdana" w:hAnsi="Verdana" w:cs="Arial"/>
                <w:b/>
                <w:sz w:val="22"/>
                <w:szCs w:val="22"/>
              </w:rPr>
            </w:pPr>
            <w:r w:rsidRPr="00205C60">
              <w:rPr>
                <w:rFonts w:ascii="Verdana" w:hAnsi="Verdana" w:cs="Arial"/>
                <w:b/>
                <w:sz w:val="22"/>
                <w:szCs w:val="22"/>
              </w:rPr>
              <w:t>6</w:t>
            </w:r>
            <w:r w:rsidR="00724DDD" w:rsidRPr="00205C60">
              <w:rPr>
                <w:rFonts w:ascii="Verdana" w:hAnsi="Verdana" w:cs="Arial"/>
                <w:b/>
                <w:sz w:val="22"/>
                <w:szCs w:val="22"/>
              </w:rPr>
              <w:t>,</w:t>
            </w:r>
            <w:r w:rsidRPr="00205C60">
              <w:rPr>
                <w:rFonts w:ascii="Verdana" w:hAnsi="Verdana" w:cs="Arial"/>
                <w:b/>
                <w:sz w:val="22"/>
                <w:szCs w:val="22"/>
              </w:rPr>
              <w:t>37</w:t>
            </w:r>
            <w:r w:rsidR="00724DDD" w:rsidRPr="00205C60">
              <w:rPr>
                <w:rFonts w:ascii="Verdana" w:hAnsi="Verdana" w:cs="Arial"/>
                <w:b/>
                <w:sz w:val="22"/>
                <w:szCs w:val="22"/>
              </w:rPr>
              <w:t>%</w:t>
            </w:r>
          </w:p>
        </w:tc>
      </w:tr>
    </w:tbl>
    <w:p w14:paraId="3CA7E90F" w14:textId="77777777" w:rsidR="00B44125" w:rsidRPr="00205C60" w:rsidRDefault="00B44125">
      <w:pPr>
        <w:rPr>
          <w:rFonts w:ascii="Verdana" w:hAnsi="Verdana" w:cs="Arial"/>
          <w:sz w:val="22"/>
          <w:szCs w:val="22"/>
        </w:rPr>
      </w:pPr>
    </w:p>
    <w:p w14:paraId="3CA7E911" w14:textId="4180C916" w:rsidR="00B21EE6" w:rsidRPr="00205C60" w:rsidRDefault="00E04339" w:rsidP="00E04339">
      <w:pPr>
        <w:jc w:val="both"/>
        <w:rPr>
          <w:rFonts w:ascii="Verdana" w:hAnsi="Verdana" w:cs="Arial"/>
          <w:b/>
          <w:color w:val="C00000"/>
          <w:sz w:val="22"/>
          <w:szCs w:val="22"/>
        </w:rPr>
      </w:pPr>
      <w:r w:rsidRPr="00205C60">
        <w:rPr>
          <w:rFonts w:ascii="Verdana" w:hAnsi="Verdana" w:cs="Arial"/>
          <w:sz w:val="22"/>
          <w:szCs w:val="22"/>
        </w:rPr>
        <w:t>En el año 20</w:t>
      </w:r>
      <w:r w:rsidR="00FF07A3" w:rsidRPr="00205C60">
        <w:rPr>
          <w:rFonts w:ascii="Verdana" w:hAnsi="Verdana" w:cs="Arial"/>
          <w:sz w:val="22"/>
          <w:szCs w:val="22"/>
        </w:rPr>
        <w:t>2</w:t>
      </w:r>
      <w:r w:rsidR="00481A7D" w:rsidRPr="00205C60">
        <w:rPr>
          <w:rFonts w:ascii="Verdana" w:hAnsi="Verdana" w:cs="Arial"/>
          <w:sz w:val="22"/>
          <w:szCs w:val="22"/>
        </w:rPr>
        <w:t>2</w:t>
      </w:r>
      <w:r w:rsidR="00F1580F" w:rsidRPr="00205C60">
        <w:rPr>
          <w:rFonts w:ascii="Verdana" w:hAnsi="Verdana" w:cs="Arial"/>
          <w:sz w:val="22"/>
          <w:szCs w:val="22"/>
        </w:rPr>
        <w:t xml:space="preserve"> </w:t>
      </w:r>
      <w:r w:rsidRPr="00205C60">
        <w:rPr>
          <w:rFonts w:ascii="Verdana" w:hAnsi="Verdana" w:cs="Arial"/>
          <w:sz w:val="22"/>
          <w:szCs w:val="22"/>
        </w:rPr>
        <w:t xml:space="preserve">este indicador </w:t>
      </w:r>
      <w:r w:rsidR="005A53B7" w:rsidRPr="00205C60">
        <w:rPr>
          <w:rFonts w:ascii="Verdana" w:hAnsi="Verdana" w:cs="Arial"/>
          <w:sz w:val="22"/>
          <w:szCs w:val="22"/>
        </w:rPr>
        <w:t>registra un</w:t>
      </w:r>
      <w:r w:rsidR="00A91FC7" w:rsidRPr="00205C60">
        <w:rPr>
          <w:rFonts w:ascii="Verdana" w:hAnsi="Verdana" w:cs="Arial"/>
          <w:sz w:val="22"/>
          <w:szCs w:val="22"/>
        </w:rPr>
        <w:t xml:space="preserve"> </w:t>
      </w:r>
      <w:r w:rsidR="00DD0045" w:rsidRPr="00205C60">
        <w:rPr>
          <w:rFonts w:ascii="Verdana" w:hAnsi="Verdana" w:cs="Arial"/>
          <w:sz w:val="22"/>
          <w:szCs w:val="22"/>
        </w:rPr>
        <w:t>valor positivo,</w:t>
      </w:r>
      <w:r w:rsidR="00C90B56" w:rsidRPr="00205C60">
        <w:rPr>
          <w:rFonts w:ascii="Verdana" w:hAnsi="Verdana" w:cs="Arial"/>
          <w:sz w:val="22"/>
          <w:szCs w:val="22"/>
        </w:rPr>
        <w:t xml:space="preserve"> significativamente</w:t>
      </w:r>
      <w:r w:rsidR="00DD0045" w:rsidRPr="00205C60">
        <w:rPr>
          <w:rFonts w:ascii="Verdana" w:hAnsi="Verdana" w:cs="Arial"/>
          <w:sz w:val="22"/>
          <w:szCs w:val="22"/>
        </w:rPr>
        <w:t xml:space="preserve"> superior </w:t>
      </w:r>
      <w:r w:rsidR="00C90B56" w:rsidRPr="00205C60">
        <w:rPr>
          <w:rFonts w:ascii="Verdana" w:hAnsi="Verdana" w:cs="Arial"/>
          <w:sz w:val="22"/>
          <w:szCs w:val="22"/>
        </w:rPr>
        <w:t>a los resultados del</w:t>
      </w:r>
      <w:r w:rsidR="009B0F2C" w:rsidRPr="00205C60">
        <w:rPr>
          <w:rFonts w:ascii="Verdana" w:hAnsi="Verdana" w:cs="Arial"/>
          <w:sz w:val="22"/>
          <w:szCs w:val="22"/>
        </w:rPr>
        <w:t xml:space="preserve"> año anterior,</w:t>
      </w:r>
      <w:r w:rsidR="00A74241" w:rsidRPr="00205C60">
        <w:rPr>
          <w:rFonts w:ascii="Verdana" w:hAnsi="Verdana" w:cs="Arial"/>
          <w:sz w:val="22"/>
          <w:szCs w:val="22"/>
        </w:rPr>
        <w:t xml:space="preserve"> </w:t>
      </w:r>
      <w:r w:rsidRPr="00205C60">
        <w:rPr>
          <w:rFonts w:ascii="Verdana" w:hAnsi="Verdana" w:cs="Arial"/>
          <w:sz w:val="22"/>
          <w:szCs w:val="22"/>
        </w:rPr>
        <w:t xml:space="preserve">producto </w:t>
      </w:r>
      <w:r w:rsidR="00F1580F" w:rsidRPr="00205C60">
        <w:rPr>
          <w:rFonts w:ascii="Verdana" w:hAnsi="Verdana" w:cs="Arial"/>
          <w:sz w:val="22"/>
          <w:szCs w:val="22"/>
        </w:rPr>
        <w:t xml:space="preserve">básicamente </w:t>
      </w:r>
      <w:r w:rsidR="00A91FC7" w:rsidRPr="00205C60">
        <w:rPr>
          <w:rFonts w:ascii="Verdana" w:hAnsi="Verdana" w:cs="Arial"/>
          <w:sz w:val="22"/>
          <w:szCs w:val="22"/>
        </w:rPr>
        <w:t>de</w:t>
      </w:r>
      <w:r w:rsidR="002E2A1E" w:rsidRPr="00205C60">
        <w:rPr>
          <w:rFonts w:ascii="Verdana" w:hAnsi="Verdana" w:cs="Arial"/>
          <w:sz w:val="22"/>
          <w:szCs w:val="22"/>
        </w:rPr>
        <w:t xml:space="preserve"> </w:t>
      </w:r>
      <w:r w:rsidR="00FF07A3" w:rsidRPr="00205C60">
        <w:rPr>
          <w:rFonts w:ascii="Verdana" w:hAnsi="Verdana" w:cs="Arial"/>
          <w:sz w:val="22"/>
          <w:szCs w:val="22"/>
        </w:rPr>
        <w:t>l</w:t>
      </w:r>
      <w:r w:rsidR="002E2A1E" w:rsidRPr="00205C60">
        <w:rPr>
          <w:rFonts w:ascii="Verdana" w:hAnsi="Verdana" w:cs="Arial"/>
          <w:sz w:val="22"/>
          <w:szCs w:val="22"/>
        </w:rPr>
        <w:t>a recuperación</w:t>
      </w:r>
      <w:r w:rsidR="004510A5" w:rsidRPr="00205C60">
        <w:rPr>
          <w:rFonts w:ascii="Verdana" w:hAnsi="Verdana" w:cs="Arial"/>
          <w:sz w:val="22"/>
          <w:szCs w:val="22"/>
        </w:rPr>
        <w:t xml:space="preserve"> </w:t>
      </w:r>
      <w:r w:rsidR="00FF07A3" w:rsidRPr="00205C60">
        <w:rPr>
          <w:rFonts w:ascii="Verdana" w:hAnsi="Verdana" w:cs="Arial"/>
          <w:sz w:val="22"/>
          <w:szCs w:val="22"/>
        </w:rPr>
        <w:t>en la utilidad neta</w:t>
      </w:r>
      <w:r w:rsidR="000654A5" w:rsidRPr="00205C60">
        <w:rPr>
          <w:rFonts w:ascii="Verdana" w:hAnsi="Verdana" w:cs="Arial"/>
          <w:sz w:val="22"/>
          <w:szCs w:val="22"/>
          <w:lang w:val="es-CR"/>
        </w:rPr>
        <w:t>, esto</w:t>
      </w:r>
      <w:r w:rsidR="00A75926" w:rsidRPr="00205C60">
        <w:rPr>
          <w:rFonts w:ascii="Verdana" w:hAnsi="Verdana" w:cs="Arial"/>
          <w:sz w:val="22"/>
          <w:szCs w:val="22"/>
        </w:rPr>
        <w:t xml:space="preserve"> por</w:t>
      </w:r>
      <w:r w:rsidR="000654A5" w:rsidRPr="00205C60">
        <w:rPr>
          <w:rFonts w:ascii="Verdana" w:hAnsi="Verdana" w:cs="Arial"/>
          <w:sz w:val="22"/>
          <w:szCs w:val="22"/>
        </w:rPr>
        <w:t xml:space="preserve"> el</w:t>
      </w:r>
      <w:r w:rsidR="00A75926" w:rsidRPr="00205C60">
        <w:rPr>
          <w:rFonts w:ascii="Verdana" w:hAnsi="Verdana" w:cs="Arial"/>
          <w:sz w:val="22"/>
          <w:szCs w:val="22"/>
        </w:rPr>
        <w:t xml:space="preserve"> efecto </w:t>
      </w:r>
      <w:r w:rsidR="009E5AB5" w:rsidRPr="00205C60">
        <w:rPr>
          <w:rFonts w:ascii="Verdana" w:hAnsi="Verdana" w:cs="Arial"/>
          <w:sz w:val="22"/>
          <w:szCs w:val="22"/>
        </w:rPr>
        <w:t xml:space="preserve">directo </w:t>
      </w:r>
      <w:r w:rsidR="000654A5" w:rsidRPr="00205C60">
        <w:rPr>
          <w:rFonts w:ascii="Verdana" w:hAnsi="Verdana" w:cs="Arial"/>
          <w:sz w:val="22"/>
          <w:szCs w:val="22"/>
        </w:rPr>
        <w:t>de</w:t>
      </w:r>
      <w:r w:rsidR="002E2A1E" w:rsidRPr="00205C60">
        <w:rPr>
          <w:rFonts w:ascii="Verdana" w:hAnsi="Verdana" w:cs="Arial"/>
          <w:sz w:val="22"/>
          <w:szCs w:val="22"/>
        </w:rPr>
        <w:t xml:space="preserve"> las tres variables indicadas anter</w:t>
      </w:r>
      <w:r w:rsidR="0019745E" w:rsidRPr="00205C60">
        <w:rPr>
          <w:rFonts w:ascii="Verdana" w:hAnsi="Verdana" w:cs="Arial"/>
          <w:sz w:val="22"/>
          <w:szCs w:val="22"/>
        </w:rPr>
        <w:t>iormente en el inciso a)</w:t>
      </w:r>
      <w:r w:rsidR="000D1220" w:rsidRPr="00205C60">
        <w:rPr>
          <w:rFonts w:ascii="Verdana" w:hAnsi="Verdana" w:cs="Arial"/>
          <w:sz w:val="22"/>
          <w:szCs w:val="22"/>
        </w:rPr>
        <w:t>.</w:t>
      </w:r>
    </w:p>
    <w:p w14:paraId="3CA7E912" w14:textId="77777777" w:rsidR="00E04339" w:rsidRPr="00205C60" w:rsidRDefault="00E04339">
      <w:pPr>
        <w:rPr>
          <w:rFonts w:ascii="Verdana" w:hAnsi="Verdana" w:cs="Arial"/>
          <w:sz w:val="22"/>
          <w:szCs w:val="22"/>
        </w:rPr>
      </w:pPr>
    </w:p>
    <w:p w14:paraId="3CA7E913" w14:textId="77777777" w:rsidR="007936B6" w:rsidRPr="00205C60" w:rsidRDefault="007936B6">
      <w:pPr>
        <w:rPr>
          <w:rFonts w:ascii="Verdana" w:hAnsi="Verdana" w:cs="Arial"/>
          <w:sz w:val="22"/>
          <w:szCs w:val="22"/>
        </w:rPr>
      </w:pPr>
    </w:p>
    <w:p w14:paraId="3CA7E914" w14:textId="77777777" w:rsidR="00B44125" w:rsidRPr="00205C60" w:rsidRDefault="00B44125" w:rsidP="00882F32">
      <w:pPr>
        <w:pStyle w:val="Prrafodelista"/>
        <w:numPr>
          <w:ilvl w:val="0"/>
          <w:numId w:val="26"/>
        </w:numPr>
        <w:rPr>
          <w:rFonts w:ascii="Verdana" w:hAnsi="Verdana" w:cs="Arial"/>
          <w:b/>
          <w:sz w:val="22"/>
          <w:szCs w:val="22"/>
        </w:rPr>
      </w:pPr>
      <w:r w:rsidRPr="00205C60">
        <w:rPr>
          <w:rFonts w:ascii="Verdana" w:hAnsi="Verdana" w:cs="Arial"/>
          <w:b/>
          <w:sz w:val="22"/>
          <w:szCs w:val="22"/>
        </w:rPr>
        <w:t>Utilidad neta a patrimonio promedio</w:t>
      </w:r>
    </w:p>
    <w:p w14:paraId="3CA7E915" w14:textId="77777777" w:rsidR="007936B6" w:rsidRPr="00205C60" w:rsidRDefault="007936B6" w:rsidP="007936B6">
      <w:pPr>
        <w:pStyle w:val="Prrafodelista"/>
        <w:ind w:left="1066"/>
        <w:rPr>
          <w:rFonts w:ascii="Verdana" w:hAnsi="Verdana" w:cs="Arial"/>
          <w:b/>
          <w:sz w:val="22"/>
          <w:szCs w:val="22"/>
        </w:rPr>
      </w:pPr>
    </w:p>
    <w:p w14:paraId="3CA7E916" w14:textId="147F6C40" w:rsidR="00B44125" w:rsidRPr="00205C60" w:rsidRDefault="00B44125">
      <w:pPr>
        <w:rPr>
          <w:rFonts w:ascii="Verdana" w:hAnsi="Verdana" w:cs="Arial"/>
          <w:sz w:val="22"/>
          <w:szCs w:val="22"/>
        </w:rPr>
      </w:pPr>
      <w:r w:rsidRPr="00205C60">
        <w:rPr>
          <w:rFonts w:ascii="Verdana" w:hAnsi="Verdana" w:cs="Arial"/>
          <w:sz w:val="22"/>
          <w:szCs w:val="22"/>
        </w:rPr>
        <w:t>Esta razón evalúa la retribución económica de los accionistas por su inversión</w:t>
      </w:r>
      <w:r w:rsidR="002546BE" w:rsidRPr="00205C60">
        <w:rPr>
          <w:rFonts w:ascii="Verdana" w:hAnsi="Verdana" w:cs="Arial"/>
          <w:sz w:val="22"/>
          <w:szCs w:val="22"/>
        </w:rPr>
        <w:t>:</w:t>
      </w:r>
    </w:p>
    <w:p w14:paraId="77688932" w14:textId="00643AFB" w:rsidR="00756EC2" w:rsidRPr="00205C60" w:rsidRDefault="00756EC2">
      <w:pPr>
        <w:rPr>
          <w:rFonts w:ascii="Verdana" w:hAnsi="Verdana" w:cs="Arial"/>
          <w:sz w:val="22"/>
          <w:szCs w:val="22"/>
        </w:rPr>
      </w:pPr>
    </w:p>
    <w:tbl>
      <w:tblPr>
        <w:tblW w:w="4395" w:type="pct"/>
        <w:jc w:val="center"/>
        <w:tblCellMar>
          <w:left w:w="30" w:type="dxa"/>
          <w:right w:w="30" w:type="dxa"/>
        </w:tblCellMar>
        <w:tblLook w:val="0000" w:firstRow="0" w:lastRow="0" w:firstColumn="0" w:lastColumn="0" w:noHBand="0" w:noVBand="0"/>
      </w:tblPr>
      <w:tblGrid>
        <w:gridCol w:w="1140"/>
        <w:gridCol w:w="1709"/>
        <w:gridCol w:w="257"/>
        <w:gridCol w:w="1941"/>
        <w:gridCol w:w="333"/>
        <w:gridCol w:w="359"/>
        <w:gridCol w:w="241"/>
        <w:gridCol w:w="2036"/>
      </w:tblGrid>
      <w:tr w:rsidR="00B44125" w:rsidRPr="00205C60" w14:paraId="3CA7E919" w14:textId="77777777" w:rsidTr="0031358E">
        <w:trPr>
          <w:trHeight w:val="445"/>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14:paraId="3CA7E918" w14:textId="77777777" w:rsidR="00B44125" w:rsidRPr="00205C60" w:rsidRDefault="00B44125" w:rsidP="00974C58">
            <w:pPr>
              <w:jc w:val="center"/>
              <w:rPr>
                <w:rFonts w:ascii="Verdana" w:hAnsi="Verdana" w:cs="Arial"/>
                <w:b/>
                <w:bCs/>
                <w:snapToGrid w:val="0"/>
                <w:sz w:val="22"/>
                <w:szCs w:val="22"/>
              </w:rPr>
            </w:pPr>
            <w:r w:rsidRPr="00205C60">
              <w:rPr>
                <w:rFonts w:ascii="Verdana" w:hAnsi="Verdana" w:cs="Arial"/>
                <w:b/>
                <w:sz w:val="22"/>
                <w:szCs w:val="22"/>
              </w:rPr>
              <w:t>C</w:t>
            </w:r>
            <w:r w:rsidR="006E18E7" w:rsidRPr="00205C60">
              <w:rPr>
                <w:rFonts w:ascii="Verdana" w:hAnsi="Verdana" w:cs="Arial"/>
                <w:b/>
                <w:sz w:val="22"/>
                <w:szCs w:val="22"/>
              </w:rPr>
              <w:t>á</w:t>
            </w:r>
            <w:r w:rsidRPr="00205C60">
              <w:rPr>
                <w:rFonts w:ascii="Verdana" w:hAnsi="Verdana" w:cs="Arial"/>
                <w:b/>
                <w:sz w:val="22"/>
                <w:szCs w:val="22"/>
              </w:rPr>
              <w:t>lculo del Promedio de Patrimonio (en miles de colones)</w:t>
            </w:r>
          </w:p>
        </w:tc>
      </w:tr>
      <w:tr w:rsidR="00B44125" w:rsidRPr="00205C60" w14:paraId="3CA7E920" w14:textId="77777777" w:rsidTr="00545AA2">
        <w:trPr>
          <w:trHeight w:val="298"/>
          <w:jc w:val="center"/>
        </w:trPr>
        <w:tc>
          <w:tcPr>
            <w:tcW w:w="711" w:type="pct"/>
            <w:tcBorders>
              <w:top w:val="single" w:sz="4" w:space="0" w:color="auto"/>
              <w:left w:val="single" w:sz="4" w:space="0" w:color="auto"/>
              <w:bottom w:val="single" w:sz="4" w:space="0" w:color="auto"/>
              <w:right w:val="single" w:sz="4" w:space="0" w:color="auto"/>
            </w:tcBorders>
            <w:vAlign w:val="center"/>
          </w:tcPr>
          <w:p w14:paraId="3CA7E91A" w14:textId="77777777" w:rsidR="00B44125" w:rsidRPr="00205C60" w:rsidRDefault="00B44125" w:rsidP="006E18E7">
            <w:pPr>
              <w:jc w:val="center"/>
              <w:rPr>
                <w:rFonts w:ascii="Verdana" w:hAnsi="Verdana" w:cs="Arial"/>
                <w:b/>
                <w:bCs/>
                <w:snapToGrid w:val="0"/>
                <w:sz w:val="22"/>
                <w:szCs w:val="22"/>
              </w:rPr>
            </w:pPr>
            <w:r w:rsidRPr="00205C60">
              <w:rPr>
                <w:rFonts w:ascii="Verdana" w:hAnsi="Verdana" w:cs="Arial"/>
                <w:b/>
                <w:bCs/>
                <w:snapToGrid w:val="0"/>
                <w:sz w:val="22"/>
                <w:szCs w:val="22"/>
              </w:rPr>
              <w:lastRenderedPageBreak/>
              <w:t>Año</w:t>
            </w:r>
          </w:p>
        </w:tc>
        <w:tc>
          <w:tcPr>
            <w:tcW w:w="1066" w:type="pct"/>
            <w:tcBorders>
              <w:top w:val="single" w:sz="4" w:space="0" w:color="auto"/>
              <w:left w:val="single" w:sz="4" w:space="0" w:color="auto"/>
              <w:bottom w:val="single" w:sz="4" w:space="0" w:color="auto"/>
              <w:right w:val="nil"/>
            </w:tcBorders>
            <w:shd w:val="solid" w:color="FFFFFF" w:fill="auto"/>
            <w:vAlign w:val="center"/>
          </w:tcPr>
          <w:p w14:paraId="3CA7E91B" w14:textId="77777777" w:rsidR="00B44125" w:rsidRPr="00205C60" w:rsidRDefault="00B44125" w:rsidP="006E18E7">
            <w:pPr>
              <w:jc w:val="center"/>
              <w:rPr>
                <w:rFonts w:ascii="Verdana" w:hAnsi="Verdana" w:cs="Arial"/>
                <w:b/>
                <w:bCs/>
                <w:snapToGrid w:val="0"/>
                <w:sz w:val="22"/>
                <w:szCs w:val="22"/>
              </w:rPr>
            </w:pPr>
            <w:r w:rsidRPr="00205C60">
              <w:rPr>
                <w:rFonts w:ascii="Verdana" w:hAnsi="Verdana" w:cs="Arial"/>
                <w:b/>
                <w:bCs/>
                <w:snapToGrid w:val="0"/>
                <w:sz w:val="22"/>
                <w:szCs w:val="22"/>
              </w:rPr>
              <w:t>Patrimonio</w:t>
            </w:r>
          </w:p>
        </w:tc>
        <w:tc>
          <w:tcPr>
            <w:tcW w:w="160" w:type="pct"/>
            <w:tcBorders>
              <w:top w:val="single" w:sz="4" w:space="0" w:color="auto"/>
              <w:left w:val="nil"/>
              <w:bottom w:val="single" w:sz="4" w:space="0" w:color="auto"/>
              <w:right w:val="single" w:sz="4" w:space="0" w:color="auto"/>
            </w:tcBorders>
            <w:vAlign w:val="center"/>
          </w:tcPr>
          <w:p w14:paraId="3CA7E91C" w14:textId="77777777" w:rsidR="00B44125" w:rsidRPr="00205C60" w:rsidRDefault="00B44125" w:rsidP="006E18E7">
            <w:pPr>
              <w:jc w:val="center"/>
              <w:rPr>
                <w:rFonts w:ascii="Verdana" w:hAnsi="Verdana" w:cs="Arial"/>
                <w:b/>
                <w:bCs/>
                <w:snapToGrid w:val="0"/>
                <w:sz w:val="22"/>
                <w:szCs w:val="22"/>
              </w:rPr>
            </w:pPr>
          </w:p>
        </w:tc>
        <w:tc>
          <w:tcPr>
            <w:tcW w:w="1211" w:type="pct"/>
            <w:tcBorders>
              <w:top w:val="single" w:sz="4" w:space="0" w:color="auto"/>
              <w:left w:val="single" w:sz="4" w:space="0" w:color="auto"/>
              <w:bottom w:val="single" w:sz="4" w:space="0" w:color="auto"/>
              <w:right w:val="nil"/>
            </w:tcBorders>
            <w:vAlign w:val="center"/>
          </w:tcPr>
          <w:p w14:paraId="3CA7E91D" w14:textId="77777777" w:rsidR="00B44125" w:rsidRPr="00205C60" w:rsidRDefault="00B44125" w:rsidP="006E18E7">
            <w:pPr>
              <w:jc w:val="center"/>
              <w:rPr>
                <w:rFonts w:ascii="Verdana" w:hAnsi="Verdana" w:cs="Arial"/>
                <w:b/>
                <w:bCs/>
                <w:snapToGrid w:val="0"/>
                <w:sz w:val="22"/>
                <w:szCs w:val="22"/>
              </w:rPr>
            </w:pPr>
            <w:r w:rsidRPr="00205C60">
              <w:rPr>
                <w:rFonts w:ascii="Verdana" w:hAnsi="Verdana" w:cs="Arial"/>
                <w:b/>
                <w:bCs/>
                <w:snapToGrid w:val="0"/>
                <w:sz w:val="22"/>
                <w:szCs w:val="22"/>
              </w:rPr>
              <w:t>Suma dos periodos</w:t>
            </w:r>
          </w:p>
        </w:tc>
        <w:tc>
          <w:tcPr>
            <w:tcW w:w="208" w:type="pct"/>
            <w:tcBorders>
              <w:top w:val="single" w:sz="4" w:space="0" w:color="auto"/>
              <w:left w:val="nil"/>
              <w:bottom w:val="single" w:sz="4" w:space="0" w:color="auto"/>
              <w:right w:val="single" w:sz="4" w:space="0" w:color="auto"/>
            </w:tcBorders>
            <w:vAlign w:val="center"/>
          </w:tcPr>
          <w:p w14:paraId="3CA7E91E" w14:textId="77777777" w:rsidR="00B44125" w:rsidRPr="00205C60" w:rsidRDefault="00B44125" w:rsidP="006E18E7">
            <w:pPr>
              <w:jc w:val="center"/>
              <w:rPr>
                <w:rFonts w:ascii="Verdana" w:hAnsi="Verdana" w:cs="Arial"/>
                <w:b/>
                <w:bCs/>
                <w:snapToGrid w:val="0"/>
                <w:sz w:val="22"/>
                <w:szCs w:val="22"/>
              </w:rPr>
            </w:pPr>
          </w:p>
        </w:tc>
        <w:tc>
          <w:tcPr>
            <w:tcW w:w="1644" w:type="pct"/>
            <w:gridSpan w:val="3"/>
            <w:tcBorders>
              <w:top w:val="single" w:sz="4" w:space="0" w:color="auto"/>
              <w:left w:val="single" w:sz="4" w:space="0" w:color="auto"/>
              <w:bottom w:val="single" w:sz="4" w:space="0" w:color="auto"/>
              <w:right w:val="single" w:sz="4" w:space="0" w:color="auto"/>
            </w:tcBorders>
            <w:vAlign w:val="center"/>
          </w:tcPr>
          <w:p w14:paraId="3CA7E91F" w14:textId="77777777" w:rsidR="00B44125" w:rsidRPr="00205C60" w:rsidRDefault="00B44125" w:rsidP="006E18E7">
            <w:pPr>
              <w:jc w:val="center"/>
              <w:rPr>
                <w:rFonts w:ascii="Verdana" w:hAnsi="Verdana" w:cs="Arial"/>
                <w:b/>
                <w:bCs/>
                <w:snapToGrid w:val="0"/>
                <w:sz w:val="22"/>
                <w:szCs w:val="22"/>
              </w:rPr>
            </w:pPr>
            <w:r w:rsidRPr="00205C60">
              <w:rPr>
                <w:rFonts w:ascii="Verdana" w:hAnsi="Verdana" w:cs="Arial"/>
                <w:b/>
                <w:bCs/>
                <w:snapToGrid w:val="0"/>
                <w:sz w:val="22"/>
                <w:szCs w:val="22"/>
              </w:rPr>
              <w:t>Promedio</w:t>
            </w:r>
          </w:p>
        </w:tc>
      </w:tr>
      <w:tr w:rsidR="00C95293" w:rsidRPr="00205C60" w14:paraId="3CA7E92E" w14:textId="77777777" w:rsidTr="00545AA2">
        <w:trPr>
          <w:trHeight w:val="257"/>
          <w:jc w:val="center"/>
        </w:trPr>
        <w:tc>
          <w:tcPr>
            <w:tcW w:w="711" w:type="pct"/>
            <w:tcBorders>
              <w:top w:val="single" w:sz="4" w:space="0" w:color="auto"/>
              <w:left w:val="single" w:sz="4" w:space="0" w:color="auto"/>
              <w:bottom w:val="single" w:sz="4" w:space="0" w:color="auto"/>
              <w:right w:val="single" w:sz="4" w:space="0" w:color="auto"/>
            </w:tcBorders>
            <w:vAlign w:val="center"/>
          </w:tcPr>
          <w:p w14:paraId="3CA7E928" w14:textId="645E795B" w:rsidR="00C95293" w:rsidRPr="00205C60" w:rsidRDefault="00C95293" w:rsidP="00C95293">
            <w:pPr>
              <w:jc w:val="center"/>
              <w:rPr>
                <w:rFonts w:ascii="Verdana" w:hAnsi="Verdana" w:cs="Arial"/>
                <w:snapToGrid w:val="0"/>
                <w:sz w:val="22"/>
                <w:szCs w:val="22"/>
              </w:rPr>
            </w:pPr>
            <w:r w:rsidRPr="00205C60">
              <w:rPr>
                <w:rFonts w:ascii="Verdana" w:hAnsi="Verdana" w:cs="Arial"/>
                <w:snapToGrid w:val="0"/>
                <w:sz w:val="22"/>
                <w:szCs w:val="22"/>
              </w:rPr>
              <w:t>2019</w:t>
            </w:r>
          </w:p>
        </w:tc>
        <w:tc>
          <w:tcPr>
            <w:tcW w:w="1066" w:type="pct"/>
            <w:tcBorders>
              <w:top w:val="single" w:sz="4" w:space="0" w:color="auto"/>
              <w:left w:val="single" w:sz="4" w:space="0" w:color="auto"/>
              <w:bottom w:val="single" w:sz="4" w:space="0" w:color="auto"/>
              <w:right w:val="nil"/>
            </w:tcBorders>
            <w:vAlign w:val="center"/>
          </w:tcPr>
          <w:p w14:paraId="3CA7E929" w14:textId="371CF1B3" w:rsidR="00C95293" w:rsidRPr="00205C60" w:rsidRDefault="00C95293" w:rsidP="00C95293">
            <w:pPr>
              <w:jc w:val="center"/>
              <w:rPr>
                <w:rFonts w:ascii="Verdana" w:hAnsi="Verdana" w:cs="Arial"/>
                <w:sz w:val="22"/>
                <w:szCs w:val="22"/>
              </w:rPr>
            </w:pPr>
            <w:r w:rsidRPr="00205C60">
              <w:rPr>
                <w:rFonts w:ascii="Verdana" w:hAnsi="Verdana" w:cs="Arial"/>
                <w:sz w:val="22"/>
                <w:szCs w:val="22"/>
              </w:rPr>
              <w:t>400.556.056</w:t>
            </w:r>
          </w:p>
        </w:tc>
        <w:tc>
          <w:tcPr>
            <w:tcW w:w="160" w:type="pct"/>
            <w:tcBorders>
              <w:top w:val="single" w:sz="4" w:space="0" w:color="auto"/>
              <w:left w:val="nil"/>
              <w:bottom w:val="single" w:sz="4" w:space="0" w:color="auto"/>
              <w:right w:val="single" w:sz="4" w:space="0" w:color="auto"/>
            </w:tcBorders>
            <w:vAlign w:val="center"/>
          </w:tcPr>
          <w:p w14:paraId="3CA7E92A" w14:textId="77777777" w:rsidR="00C95293" w:rsidRPr="00205C60" w:rsidRDefault="00C95293" w:rsidP="00C95293">
            <w:pPr>
              <w:jc w:val="center"/>
              <w:rPr>
                <w:rFonts w:ascii="Verdana" w:hAnsi="Verdana" w:cs="Arial"/>
                <w:snapToGrid w:val="0"/>
                <w:sz w:val="22"/>
                <w:szCs w:val="22"/>
              </w:rPr>
            </w:pPr>
          </w:p>
        </w:tc>
        <w:tc>
          <w:tcPr>
            <w:tcW w:w="1211" w:type="pct"/>
            <w:tcBorders>
              <w:top w:val="single" w:sz="4" w:space="0" w:color="auto"/>
              <w:left w:val="single" w:sz="4" w:space="0" w:color="auto"/>
              <w:bottom w:val="single" w:sz="4" w:space="0" w:color="auto"/>
              <w:right w:val="nil"/>
            </w:tcBorders>
            <w:vAlign w:val="center"/>
          </w:tcPr>
          <w:p w14:paraId="3CA7E92B" w14:textId="6C7142A1" w:rsidR="00C95293" w:rsidRPr="00205C60" w:rsidRDefault="00C95293" w:rsidP="00C95293">
            <w:pPr>
              <w:jc w:val="center"/>
              <w:rPr>
                <w:rFonts w:ascii="Verdana" w:hAnsi="Verdana" w:cs="Arial"/>
                <w:sz w:val="22"/>
                <w:szCs w:val="22"/>
              </w:rPr>
            </w:pPr>
            <w:r w:rsidRPr="00205C60">
              <w:rPr>
                <w:rFonts w:ascii="Verdana" w:hAnsi="Verdana" w:cs="Arial"/>
                <w:sz w:val="22"/>
                <w:szCs w:val="22"/>
              </w:rPr>
              <w:t>825.923.177</w:t>
            </w:r>
          </w:p>
        </w:tc>
        <w:tc>
          <w:tcPr>
            <w:tcW w:w="208" w:type="pct"/>
            <w:tcBorders>
              <w:top w:val="single" w:sz="4" w:space="0" w:color="auto"/>
              <w:left w:val="nil"/>
              <w:bottom w:val="single" w:sz="4" w:space="0" w:color="auto"/>
              <w:right w:val="single" w:sz="4" w:space="0" w:color="auto"/>
            </w:tcBorders>
            <w:vAlign w:val="center"/>
          </w:tcPr>
          <w:p w14:paraId="3CA7E92C" w14:textId="77777777" w:rsidR="00C95293" w:rsidRPr="00205C60" w:rsidRDefault="00C95293" w:rsidP="00C95293">
            <w:pPr>
              <w:jc w:val="center"/>
              <w:rPr>
                <w:rFonts w:ascii="Verdana" w:hAnsi="Verdana" w:cs="Arial"/>
                <w:snapToGrid w:val="0"/>
                <w:sz w:val="22"/>
                <w:szCs w:val="22"/>
              </w:rPr>
            </w:pPr>
          </w:p>
        </w:tc>
        <w:tc>
          <w:tcPr>
            <w:tcW w:w="1644" w:type="pct"/>
            <w:gridSpan w:val="3"/>
            <w:tcBorders>
              <w:top w:val="single" w:sz="4" w:space="0" w:color="auto"/>
              <w:left w:val="single" w:sz="4" w:space="0" w:color="auto"/>
              <w:bottom w:val="single" w:sz="4" w:space="0" w:color="auto"/>
              <w:right w:val="single" w:sz="4" w:space="0" w:color="auto"/>
            </w:tcBorders>
            <w:vAlign w:val="center"/>
          </w:tcPr>
          <w:p w14:paraId="3CA7E92D" w14:textId="50161C30" w:rsidR="00C95293" w:rsidRPr="00205C60" w:rsidRDefault="00C95293" w:rsidP="00C95293">
            <w:pPr>
              <w:jc w:val="center"/>
              <w:rPr>
                <w:rFonts w:ascii="Verdana" w:hAnsi="Verdana" w:cs="Arial"/>
                <w:sz w:val="22"/>
                <w:szCs w:val="22"/>
              </w:rPr>
            </w:pPr>
            <w:r w:rsidRPr="00205C60">
              <w:rPr>
                <w:rFonts w:ascii="Verdana" w:hAnsi="Verdana" w:cs="Arial"/>
                <w:sz w:val="22"/>
                <w:szCs w:val="22"/>
              </w:rPr>
              <w:t>412.961.589</w:t>
            </w:r>
          </w:p>
        </w:tc>
      </w:tr>
      <w:tr w:rsidR="00C95293" w:rsidRPr="00205C60" w14:paraId="3CA7E935" w14:textId="77777777" w:rsidTr="00545AA2">
        <w:trPr>
          <w:trHeight w:val="257"/>
          <w:jc w:val="center"/>
        </w:trPr>
        <w:tc>
          <w:tcPr>
            <w:tcW w:w="711" w:type="pct"/>
            <w:tcBorders>
              <w:top w:val="single" w:sz="4" w:space="0" w:color="auto"/>
              <w:left w:val="single" w:sz="4" w:space="0" w:color="auto"/>
              <w:bottom w:val="single" w:sz="4" w:space="0" w:color="auto"/>
              <w:right w:val="single" w:sz="4" w:space="0" w:color="auto"/>
            </w:tcBorders>
            <w:vAlign w:val="center"/>
          </w:tcPr>
          <w:p w14:paraId="3CA7E92F" w14:textId="05765489" w:rsidR="00C95293" w:rsidRPr="00205C60" w:rsidRDefault="00C95293" w:rsidP="00C95293">
            <w:pPr>
              <w:jc w:val="center"/>
              <w:rPr>
                <w:rFonts w:ascii="Verdana" w:hAnsi="Verdana" w:cs="Arial"/>
                <w:snapToGrid w:val="0"/>
                <w:sz w:val="22"/>
                <w:szCs w:val="22"/>
              </w:rPr>
            </w:pPr>
            <w:r w:rsidRPr="00205C60">
              <w:rPr>
                <w:rFonts w:ascii="Verdana" w:hAnsi="Verdana" w:cs="Arial"/>
                <w:snapToGrid w:val="0"/>
                <w:sz w:val="22"/>
                <w:szCs w:val="22"/>
              </w:rPr>
              <w:t>2020</w:t>
            </w:r>
          </w:p>
        </w:tc>
        <w:tc>
          <w:tcPr>
            <w:tcW w:w="1066" w:type="pct"/>
            <w:tcBorders>
              <w:top w:val="single" w:sz="4" w:space="0" w:color="auto"/>
              <w:left w:val="single" w:sz="4" w:space="0" w:color="auto"/>
              <w:bottom w:val="single" w:sz="4" w:space="0" w:color="auto"/>
              <w:right w:val="nil"/>
            </w:tcBorders>
            <w:vAlign w:val="center"/>
          </w:tcPr>
          <w:p w14:paraId="3CA7E930" w14:textId="35A03387" w:rsidR="00C95293" w:rsidRPr="00205C60" w:rsidRDefault="00C95293" w:rsidP="00C95293">
            <w:pPr>
              <w:jc w:val="center"/>
              <w:rPr>
                <w:rFonts w:ascii="Verdana" w:hAnsi="Verdana" w:cs="Arial"/>
                <w:sz w:val="22"/>
                <w:szCs w:val="22"/>
              </w:rPr>
            </w:pPr>
            <w:r w:rsidRPr="00205C60">
              <w:rPr>
                <w:rFonts w:ascii="Verdana" w:hAnsi="Verdana" w:cs="Arial"/>
                <w:sz w:val="22"/>
                <w:szCs w:val="22"/>
              </w:rPr>
              <w:t>409.887.227</w:t>
            </w:r>
          </w:p>
        </w:tc>
        <w:tc>
          <w:tcPr>
            <w:tcW w:w="160" w:type="pct"/>
            <w:tcBorders>
              <w:top w:val="single" w:sz="4" w:space="0" w:color="auto"/>
              <w:left w:val="nil"/>
              <w:bottom w:val="single" w:sz="4" w:space="0" w:color="auto"/>
              <w:right w:val="single" w:sz="4" w:space="0" w:color="auto"/>
            </w:tcBorders>
            <w:vAlign w:val="center"/>
          </w:tcPr>
          <w:p w14:paraId="3CA7E931" w14:textId="77777777" w:rsidR="00C95293" w:rsidRPr="00205C60" w:rsidRDefault="00C95293" w:rsidP="00C95293">
            <w:pPr>
              <w:jc w:val="center"/>
              <w:rPr>
                <w:rFonts w:ascii="Verdana" w:hAnsi="Verdana" w:cs="Arial"/>
                <w:snapToGrid w:val="0"/>
                <w:sz w:val="22"/>
                <w:szCs w:val="22"/>
              </w:rPr>
            </w:pPr>
          </w:p>
        </w:tc>
        <w:tc>
          <w:tcPr>
            <w:tcW w:w="1211" w:type="pct"/>
            <w:tcBorders>
              <w:top w:val="single" w:sz="4" w:space="0" w:color="auto"/>
              <w:left w:val="single" w:sz="4" w:space="0" w:color="auto"/>
              <w:bottom w:val="single" w:sz="4" w:space="0" w:color="auto"/>
              <w:right w:val="nil"/>
            </w:tcBorders>
            <w:vAlign w:val="center"/>
          </w:tcPr>
          <w:p w14:paraId="3CA7E932" w14:textId="4A3E59EE" w:rsidR="00C95293" w:rsidRPr="00205C60" w:rsidRDefault="00C95293" w:rsidP="00C95293">
            <w:pPr>
              <w:jc w:val="center"/>
              <w:rPr>
                <w:rFonts w:ascii="Verdana" w:hAnsi="Verdana" w:cs="Arial"/>
                <w:sz w:val="22"/>
                <w:szCs w:val="22"/>
              </w:rPr>
            </w:pPr>
            <w:r w:rsidRPr="00205C60">
              <w:rPr>
                <w:rFonts w:ascii="Verdana" w:hAnsi="Verdana" w:cs="Arial"/>
                <w:sz w:val="22"/>
                <w:szCs w:val="22"/>
              </w:rPr>
              <w:t>810.443.283</w:t>
            </w:r>
          </w:p>
        </w:tc>
        <w:tc>
          <w:tcPr>
            <w:tcW w:w="208" w:type="pct"/>
            <w:tcBorders>
              <w:top w:val="single" w:sz="4" w:space="0" w:color="auto"/>
              <w:left w:val="nil"/>
              <w:bottom w:val="single" w:sz="4" w:space="0" w:color="auto"/>
              <w:right w:val="single" w:sz="4" w:space="0" w:color="auto"/>
            </w:tcBorders>
            <w:vAlign w:val="center"/>
          </w:tcPr>
          <w:p w14:paraId="3CA7E933" w14:textId="77777777" w:rsidR="00C95293" w:rsidRPr="00205C60" w:rsidRDefault="00C95293" w:rsidP="00C95293">
            <w:pPr>
              <w:jc w:val="center"/>
              <w:rPr>
                <w:rFonts w:ascii="Verdana" w:hAnsi="Verdana" w:cs="Arial"/>
                <w:snapToGrid w:val="0"/>
                <w:sz w:val="22"/>
                <w:szCs w:val="22"/>
              </w:rPr>
            </w:pPr>
          </w:p>
        </w:tc>
        <w:tc>
          <w:tcPr>
            <w:tcW w:w="1644" w:type="pct"/>
            <w:gridSpan w:val="3"/>
            <w:tcBorders>
              <w:top w:val="single" w:sz="4" w:space="0" w:color="auto"/>
              <w:left w:val="single" w:sz="4" w:space="0" w:color="auto"/>
              <w:bottom w:val="single" w:sz="4" w:space="0" w:color="auto"/>
              <w:right w:val="single" w:sz="4" w:space="0" w:color="auto"/>
            </w:tcBorders>
            <w:vAlign w:val="center"/>
          </w:tcPr>
          <w:p w14:paraId="3CA7E934" w14:textId="6C1E0C6E" w:rsidR="00C95293" w:rsidRPr="00205C60" w:rsidRDefault="00C95293" w:rsidP="00C95293">
            <w:pPr>
              <w:jc w:val="center"/>
              <w:rPr>
                <w:rFonts w:ascii="Verdana" w:hAnsi="Verdana" w:cs="Arial"/>
                <w:sz w:val="22"/>
                <w:szCs w:val="22"/>
              </w:rPr>
            </w:pPr>
            <w:r w:rsidRPr="00205C60">
              <w:rPr>
                <w:rFonts w:ascii="Verdana" w:hAnsi="Verdana" w:cs="Arial"/>
                <w:sz w:val="22"/>
                <w:szCs w:val="22"/>
              </w:rPr>
              <w:t>405.221.641</w:t>
            </w:r>
          </w:p>
        </w:tc>
      </w:tr>
      <w:tr w:rsidR="00C95293" w:rsidRPr="00205C60" w14:paraId="3CA7E93C" w14:textId="77777777" w:rsidTr="00545AA2">
        <w:trPr>
          <w:trHeight w:val="257"/>
          <w:jc w:val="center"/>
        </w:trPr>
        <w:tc>
          <w:tcPr>
            <w:tcW w:w="711" w:type="pct"/>
            <w:tcBorders>
              <w:top w:val="single" w:sz="4" w:space="0" w:color="auto"/>
              <w:left w:val="single" w:sz="4" w:space="0" w:color="auto"/>
              <w:bottom w:val="single" w:sz="4" w:space="0" w:color="auto"/>
              <w:right w:val="single" w:sz="4" w:space="0" w:color="auto"/>
            </w:tcBorders>
            <w:vAlign w:val="center"/>
          </w:tcPr>
          <w:p w14:paraId="3CA7E936" w14:textId="5B205AF4" w:rsidR="00C95293" w:rsidRPr="00205C60" w:rsidRDefault="00C95293" w:rsidP="00C95293">
            <w:pPr>
              <w:jc w:val="center"/>
              <w:rPr>
                <w:rFonts w:ascii="Verdana" w:hAnsi="Verdana" w:cs="Arial"/>
                <w:snapToGrid w:val="0"/>
                <w:sz w:val="22"/>
                <w:szCs w:val="22"/>
              </w:rPr>
            </w:pPr>
            <w:r w:rsidRPr="00205C60">
              <w:rPr>
                <w:rFonts w:ascii="Verdana" w:hAnsi="Verdana" w:cs="Arial"/>
                <w:snapToGrid w:val="0"/>
                <w:sz w:val="22"/>
                <w:szCs w:val="22"/>
              </w:rPr>
              <w:t>2021</w:t>
            </w:r>
          </w:p>
        </w:tc>
        <w:tc>
          <w:tcPr>
            <w:tcW w:w="1066" w:type="pct"/>
            <w:tcBorders>
              <w:top w:val="single" w:sz="4" w:space="0" w:color="auto"/>
              <w:left w:val="single" w:sz="4" w:space="0" w:color="auto"/>
              <w:bottom w:val="single" w:sz="4" w:space="0" w:color="auto"/>
              <w:right w:val="nil"/>
            </w:tcBorders>
            <w:vAlign w:val="center"/>
          </w:tcPr>
          <w:p w14:paraId="3CA7E937" w14:textId="674B44FB" w:rsidR="00C95293" w:rsidRPr="00205C60" w:rsidRDefault="00C95293" w:rsidP="00C95293">
            <w:pPr>
              <w:jc w:val="center"/>
              <w:rPr>
                <w:rFonts w:ascii="Verdana" w:hAnsi="Verdana" w:cs="Arial"/>
                <w:sz w:val="22"/>
                <w:szCs w:val="22"/>
              </w:rPr>
            </w:pPr>
            <w:r w:rsidRPr="00205C60">
              <w:rPr>
                <w:rFonts w:ascii="Verdana" w:hAnsi="Verdana" w:cs="Arial"/>
                <w:sz w:val="22"/>
                <w:szCs w:val="22"/>
              </w:rPr>
              <w:t>394.219.446</w:t>
            </w:r>
          </w:p>
        </w:tc>
        <w:tc>
          <w:tcPr>
            <w:tcW w:w="160" w:type="pct"/>
            <w:tcBorders>
              <w:top w:val="single" w:sz="4" w:space="0" w:color="auto"/>
              <w:left w:val="nil"/>
              <w:bottom w:val="single" w:sz="4" w:space="0" w:color="auto"/>
              <w:right w:val="single" w:sz="4" w:space="0" w:color="auto"/>
            </w:tcBorders>
            <w:vAlign w:val="center"/>
          </w:tcPr>
          <w:p w14:paraId="3CA7E938" w14:textId="77777777" w:rsidR="00C95293" w:rsidRPr="00205C60" w:rsidRDefault="00C95293" w:rsidP="00C95293">
            <w:pPr>
              <w:jc w:val="center"/>
              <w:rPr>
                <w:rFonts w:ascii="Verdana" w:hAnsi="Verdana" w:cs="Arial"/>
                <w:snapToGrid w:val="0"/>
                <w:sz w:val="22"/>
                <w:szCs w:val="22"/>
              </w:rPr>
            </w:pPr>
          </w:p>
        </w:tc>
        <w:tc>
          <w:tcPr>
            <w:tcW w:w="1211" w:type="pct"/>
            <w:tcBorders>
              <w:top w:val="single" w:sz="4" w:space="0" w:color="auto"/>
              <w:left w:val="single" w:sz="4" w:space="0" w:color="auto"/>
              <w:bottom w:val="single" w:sz="4" w:space="0" w:color="auto"/>
              <w:right w:val="nil"/>
            </w:tcBorders>
            <w:vAlign w:val="center"/>
          </w:tcPr>
          <w:p w14:paraId="3CA7E939" w14:textId="6652D490" w:rsidR="00C95293" w:rsidRPr="00205C60" w:rsidRDefault="00C95293" w:rsidP="00C95293">
            <w:pPr>
              <w:jc w:val="center"/>
              <w:rPr>
                <w:rFonts w:ascii="Verdana" w:hAnsi="Verdana" w:cs="Arial"/>
                <w:sz w:val="22"/>
                <w:szCs w:val="22"/>
              </w:rPr>
            </w:pPr>
            <w:r w:rsidRPr="00205C60">
              <w:rPr>
                <w:rFonts w:ascii="Verdana" w:hAnsi="Verdana" w:cs="Arial"/>
                <w:sz w:val="22"/>
                <w:szCs w:val="22"/>
              </w:rPr>
              <w:t>804.106.673</w:t>
            </w:r>
          </w:p>
        </w:tc>
        <w:tc>
          <w:tcPr>
            <w:tcW w:w="208" w:type="pct"/>
            <w:tcBorders>
              <w:top w:val="single" w:sz="4" w:space="0" w:color="auto"/>
              <w:left w:val="nil"/>
              <w:bottom w:val="single" w:sz="4" w:space="0" w:color="auto"/>
              <w:right w:val="single" w:sz="4" w:space="0" w:color="auto"/>
            </w:tcBorders>
            <w:vAlign w:val="center"/>
          </w:tcPr>
          <w:p w14:paraId="3CA7E93A" w14:textId="77777777" w:rsidR="00C95293" w:rsidRPr="00205C60" w:rsidRDefault="00C95293" w:rsidP="00C95293">
            <w:pPr>
              <w:jc w:val="center"/>
              <w:rPr>
                <w:rFonts w:ascii="Verdana" w:hAnsi="Verdana" w:cs="Arial"/>
                <w:snapToGrid w:val="0"/>
                <w:sz w:val="22"/>
                <w:szCs w:val="22"/>
              </w:rPr>
            </w:pPr>
          </w:p>
        </w:tc>
        <w:tc>
          <w:tcPr>
            <w:tcW w:w="1644" w:type="pct"/>
            <w:gridSpan w:val="3"/>
            <w:tcBorders>
              <w:top w:val="single" w:sz="4" w:space="0" w:color="auto"/>
              <w:left w:val="single" w:sz="4" w:space="0" w:color="auto"/>
              <w:bottom w:val="single" w:sz="4" w:space="0" w:color="auto"/>
              <w:right w:val="single" w:sz="4" w:space="0" w:color="auto"/>
            </w:tcBorders>
            <w:vAlign w:val="center"/>
          </w:tcPr>
          <w:p w14:paraId="3CA7E93B" w14:textId="3D6688FA" w:rsidR="00C95293" w:rsidRPr="00205C60" w:rsidRDefault="00C95293" w:rsidP="00C95293">
            <w:pPr>
              <w:jc w:val="center"/>
              <w:rPr>
                <w:rFonts w:ascii="Verdana" w:hAnsi="Verdana" w:cs="Arial"/>
                <w:sz w:val="22"/>
                <w:szCs w:val="22"/>
              </w:rPr>
            </w:pPr>
            <w:r w:rsidRPr="00205C60">
              <w:rPr>
                <w:rFonts w:ascii="Verdana" w:hAnsi="Verdana" w:cs="Arial"/>
                <w:sz w:val="22"/>
                <w:szCs w:val="22"/>
              </w:rPr>
              <w:t>402.053.336</w:t>
            </w:r>
          </w:p>
        </w:tc>
      </w:tr>
      <w:tr w:rsidR="00E4595A" w:rsidRPr="00205C60" w14:paraId="55715354" w14:textId="77777777" w:rsidTr="00545AA2">
        <w:trPr>
          <w:trHeight w:val="257"/>
          <w:jc w:val="center"/>
        </w:trPr>
        <w:tc>
          <w:tcPr>
            <w:tcW w:w="711" w:type="pct"/>
            <w:tcBorders>
              <w:top w:val="single" w:sz="4" w:space="0" w:color="auto"/>
              <w:left w:val="single" w:sz="4" w:space="0" w:color="auto"/>
              <w:bottom w:val="single" w:sz="4" w:space="0" w:color="auto"/>
              <w:right w:val="single" w:sz="4" w:space="0" w:color="auto"/>
            </w:tcBorders>
            <w:vAlign w:val="center"/>
          </w:tcPr>
          <w:p w14:paraId="05B04282" w14:textId="5A23BB30" w:rsidR="00E4595A" w:rsidRPr="00205C60" w:rsidRDefault="00E4595A" w:rsidP="006E18E7">
            <w:pPr>
              <w:jc w:val="center"/>
              <w:rPr>
                <w:rFonts w:ascii="Verdana" w:hAnsi="Verdana" w:cs="Arial"/>
                <w:snapToGrid w:val="0"/>
                <w:sz w:val="22"/>
                <w:szCs w:val="22"/>
              </w:rPr>
            </w:pPr>
            <w:r w:rsidRPr="00205C60">
              <w:rPr>
                <w:rFonts w:ascii="Verdana" w:hAnsi="Verdana" w:cs="Arial"/>
                <w:snapToGrid w:val="0"/>
                <w:sz w:val="22"/>
                <w:szCs w:val="22"/>
              </w:rPr>
              <w:t>202</w:t>
            </w:r>
            <w:r w:rsidR="002F50CB" w:rsidRPr="00205C60">
              <w:rPr>
                <w:rFonts w:ascii="Verdana" w:hAnsi="Verdana" w:cs="Arial"/>
                <w:snapToGrid w:val="0"/>
                <w:sz w:val="22"/>
                <w:szCs w:val="22"/>
              </w:rPr>
              <w:t>2</w:t>
            </w:r>
          </w:p>
        </w:tc>
        <w:tc>
          <w:tcPr>
            <w:tcW w:w="1066" w:type="pct"/>
            <w:tcBorders>
              <w:top w:val="single" w:sz="4" w:space="0" w:color="auto"/>
              <w:left w:val="single" w:sz="4" w:space="0" w:color="auto"/>
              <w:bottom w:val="single" w:sz="4" w:space="0" w:color="auto"/>
              <w:right w:val="nil"/>
            </w:tcBorders>
            <w:vAlign w:val="center"/>
          </w:tcPr>
          <w:p w14:paraId="55F42A5A" w14:textId="45E07963" w:rsidR="00E4595A" w:rsidRPr="00205C60" w:rsidRDefault="00074EF3" w:rsidP="006E18E7">
            <w:pPr>
              <w:jc w:val="center"/>
              <w:rPr>
                <w:rFonts w:ascii="Verdana" w:hAnsi="Verdana" w:cs="Arial"/>
                <w:sz w:val="22"/>
                <w:szCs w:val="22"/>
              </w:rPr>
            </w:pPr>
            <w:r w:rsidRPr="00205C60">
              <w:rPr>
                <w:rFonts w:ascii="Verdana" w:hAnsi="Verdana" w:cs="Arial"/>
                <w:sz w:val="22"/>
                <w:szCs w:val="22"/>
              </w:rPr>
              <w:t>419</w:t>
            </w:r>
            <w:r w:rsidR="00D2060C" w:rsidRPr="00205C60">
              <w:rPr>
                <w:rFonts w:ascii="Verdana" w:hAnsi="Verdana" w:cs="Arial"/>
                <w:sz w:val="22"/>
                <w:szCs w:val="22"/>
              </w:rPr>
              <w:t>.</w:t>
            </w:r>
            <w:r w:rsidRPr="00205C60">
              <w:rPr>
                <w:rFonts w:ascii="Verdana" w:hAnsi="Verdana" w:cs="Arial"/>
                <w:sz w:val="22"/>
                <w:szCs w:val="22"/>
              </w:rPr>
              <w:t>943</w:t>
            </w:r>
            <w:r w:rsidR="00D2060C" w:rsidRPr="00205C60">
              <w:rPr>
                <w:rFonts w:ascii="Verdana" w:hAnsi="Verdana" w:cs="Arial"/>
                <w:sz w:val="22"/>
                <w:szCs w:val="22"/>
              </w:rPr>
              <w:t>.</w:t>
            </w:r>
            <w:r w:rsidRPr="00205C60">
              <w:rPr>
                <w:rFonts w:ascii="Verdana" w:hAnsi="Verdana" w:cs="Arial"/>
                <w:sz w:val="22"/>
                <w:szCs w:val="22"/>
              </w:rPr>
              <w:t>530</w:t>
            </w:r>
          </w:p>
        </w:tc>
        <w:tc>
          <w:tcPr>
            <w:tcW w:w="160" w:type="pct"/>
            <w:tcBorders>
              <w:top w:val="single" w:sz="4" w:space="0" w:color="auto"/>
              <w:left w:val="nil"/>
              <w:bottom w:val="single" w:sz="4" w:space="0" w:color="auto"/>
              <w:right w:val="single" w:sz="4" w:space="0" w:color="auto"/>
            </w:tcBorders>
            <w:vAlign w:val="center"/>
          </w:tcPr>
          <w:p w14:paraId="13099038" w14:textId="77777777" w:rsidR="00E4595A" w:rsidRPr="00205C60" w:rsidRDefault="00E4595A" w:rsidP="006E18E7">
            <w:pPr>
              <w:jc w:val="center"/>
              <w:rPr>
                <w:rFonts w:ascii="Verdana" w:hAnsi="Verdana" w:cs="Arial"/>
                <w:snapToGrid w:val="0"/>
                <w:sz w:val="22"/>
                <w:szCs w:val="22"/>
              </w:rPr>
            </w:pPr>
          </w:p>
        </w:tc>
        <w:tc>
          <w:tcPr>
            <w:tcW w:w="1211" w:type="pct"/>
            <w:tcBorders>
              <w:top w:val="single" w:sz="4" w:space="0" w:color="auto"/>
              <w:left w:val="single" w:sz="4" w:space="0" w:color="auto"/>
              <w:bottom w:val="single" w:sz="4" w:space="0" w:color="auto"/>
              <w:right w:val="nil"/>
            </w:tcBorders>
            <w:vAlign w:val="center"/>
          </w:tcPr>
          <w:p w14:paraId="70EE7FCB" w14:textId="645FE0C4" w:rsidR="00E4595A" w:rsidRPr="00205C60" w:rsidRDefault="00074EF3" w:rsidP="00BD7B22">
            <w:pPr>
              <w:jc w:val="center"/>
              <w:rPr>
                <w:rFonts w:ascii="Verdana" w:hAnsi="Verdana" w:cs="Arial"/>
                <w:sz w:val="22"/>
                <w:szCs w:val="22"/>
              </w:rPr>
            </w:pPr>
            <w:r w:rsidRPr="00205C60">
              <w:rPr>
                <w:rFonts w:ascii="Verdana" w:hAnsi="Verdana" w:cs="Arial"/>
                <w:sz w:val="22"/>
                <w:szCs w:val="22"/>
              </w:rPr>
              <w:t>814</w:t>
            </w:r>
            <w:r w:rsidR="0027762C" w:rsidRPr="00205C60">
              <w:rPr>
                <w:rFonts w:ascii="Verdana" w:hAnsi="Verdana" w:cs="Arial"/>
                <w:sz w:val="22"/>
                <w:szCs w:val="22"/>
              </w:rPr>
              <w:t>.1</w:t>
            </w:r>
            <w:r w:rsidRPr="00205C60">
              <w:rPr>
                <w:rFonts w:ascii="Verdana" w:hAnsi="Verdana" w:cs="Arial"/>
                <w:sz w:val="22"/>
                <w:szCs w:val="22"/>
              </w:rPr>
              <w:t>62</w:t>
            </w:r>
            <w:r w:rsidR="0027762C" w:rsidRPr="00205C60">
              <w:rPr>
                <w:rFonts w:ascii="Verdana" w:hAnsi="Verdana" w:cs="Arial"/>
                <w:sz w:val="22"/>
                <w:szCs w:val="22"/>
              </w:rPr>
              <w:t>.</w:t>
            </w:r>
            <w:r w:rsidRPr="00205C60">
              <w:rPr>
                <w:rFonts w:ascii="Verdana" w:hAnsi="Verdana" w:cs="Arial"/>
                <w:sz w:val="22"/>
                <w:szCs w:val="22"/>
              </w:rPr>
              <w:t>976</w:t>
            </w:r>
          </w:p>
        </w:tc>
        <w:tc>
          <w:tcPr>
            <w:tcW w:w="208" w:type="pct"/>
            <w:tcBorders>
              <w:top w:val="single" w:sz="4" w:space="0" w:color="auto"/>
              <w:left w:val="nil"/>
              <w:bottom w:val="single" w:sz="4" w:space="0" w:color="auto"/>
              <w:right w:val="single" w:sz="4" w:space="0" w:color="auto"/>
            </w:tcBorders>
            <w:vAlign w:val="center"/>
          </w:tcPr>
          <w:p w14:paraId="08A98B95" w14:textId="77777777" w:rsidR="00E4595A" w:rsidRPr="00205C60" w:rsidRDefault="00E4595A" w:rsidP="006E18E7">
            <w:pPr>
              <w:jc w:val="center"/>
              <w:rPr>
                <w:rFonts w:ascii="Verdana" w:hAnsi="Verdana" w:cs="Arial"/>
                <w:snapToGrid w:val="0"/>
                <w:sz w:val="22"/>
                <w:szCs w:val="22"/>
              </w:rPr>
            </w:pPr>
          </w:p>
        </w:tc>
        <w:tc>
          <w:tcPr>
            <w:tcW w:w="1644" w:type="pct"/>
            <w:gridSpan w:val="3"/>
            <w:tcBorders>
              <w:top w:val="single" w:sz="4" w:space="0" w:color="auto"/>
              <w:left w:val="single" w:sz="4" w:space="0" w:color="auto"/>
              <w:bottom w:val="single" w:sz="4" w:space="0" w:color="auto"/>
              <w:right w:val="single" w:sz="4" w:space="0" w:color="auto"/>
            </w:tcBorders>
            <w:vAlign w:val="center"/>
          </w:tcPr>
          <w:p w14:paraId="6B5C77EB" w14:textId="77E0CC74" w:rsidR="00E4595A" w:rsidRPr="00205C60" w:rsidRDefault="0027762C" w:rsidP="00BD7B22">
            <w:pPr>
              <w:jc w:val="center"/>
              <w:rPr>
                <w:rFonts w:ascii="Verdana" w:hAnsi="Verdana" w:cs="Arial"/>
                <w:sz w:val="22"/>
                <w:szCs w:val="22"/>
              </w:rPr>
            </w:pPr>
            <w:r w:rsidRPr="00205C60">
              <w:rPr>
                <w:rFonts w:ascii="Verdana" w:hAnsi="Verdana" w:cs="Arial"/>
                <w:sz w:val="22"/>
                <w:szCs w:val="22"/>
              </w:rPr>
              <w:t>40</w:t>
            </w:r>
            <w:r w:rsidR="00074EF3" w:rsidRPr="00205C60">
              <w:rPr>
                <w:rFonts w:ascii="Verdana" w:hAnsi="Verdana" w:cs="Arial"/>
                <w:sz w:val="22"/>
                <w:szCs w:val="22"/>
              </w:rPr>
              <w:t>7</w:t>
            </w:r>
            <w:r w:rsidRPr="00205C60">
              <w:rPr>
                <w:rFonts w:ascii="Verdana" w:hAnsi="Verdana" w:cs="Arial"/>
                <w:sz w:val="22"/>
                <w:szCs w:val="22"/>
              </w:rPr>
              <w:t>.0</w:t>
            </w:r>
            <w:r w:rsidR="00074EF3" w:rsidRPr="00205C60">
              <w:rPr>
                <w:rFonts w:ascii="Verdana" w:hAnsi="Verdana" w:cs="Arial"/>
                <w:sz w:val="22"/>
                <w:szCs w:val="22"/>
              </w:rPr>
              <w:t>81</w:t>
            </w:r>
            <w:r w:rsidRPr="00205C60">
              <w:rPr>
                <w:rFonts w:ascii="Verdana" w:hAnsi="Verdana" w:cs="Arial"/>
                <w:sz w:val="22"/>
                <w:szCs w:val="22"/>
              </w:rPr>
              <w:t>.</w:t>
            </w:r>
            <w:r w:rsidR="00074EF3" w:rsidRPr="00205C60">
              <w:rPr>
                <w:rFonts w:ascii="Verdana" w:hAnsi="Verdana" w:cs="Arial"/>
                <w:sz w:val="22"/>
                <w:szCs w:val="22"/>
              </w:rPr>
              <w:t>488</w:t>
            </w:r>
          </w:p>
        </w:tc>
      </w:tr>
      <w:tr w:rsidR="00B21EE6" w:rsidRPr="00205C60" w14:paraId="3CA7E944" w14:textId="77777777" w:rsidTr="00545AA2">
        <w:trPr>
          <w:trHeight w:val="257"/>
          <w:jc w:val="center"/>
        </w:trPr>
        <w:tc>
          <w:tcPr>
            <w:tcW w:w="711" w:type="pct"/>
            <w:tcBorders>
              <w:top w:val="single" w:sz="4" w:space="0" w:color="auto"/>
              <w:bottom w:val="single" w:sz="4" w:space="0" w:color="auto"/>
            </w:tcBorders>
            <w:vAlign w:val="center"/>
          </w:tcPr>
          <w:p w14:paraId="3CA7E93D" w14:textId="77777777" w:rsidR="00B21EE6" w:rsidRPr="00205C60" w:rsidRDefault="00B21EE6" w:rsidP="006E18E7">
            <w:pPr>
              <w:jc w:val="center"/>
              <w:rPr>
                <w:rFonts w:ascii="Verdana" w:hAnsi="Verdana" w:cs="Arial"/>
                <w:snapToGrid w:val="0"/>
                <w:sz w:val="22"/>
                <w:szCs w:val="22"/>
              </w:rPr>
            </w:pPr>
          </w:p>
          <w:p w14:paraId="3CA7E93E" w14:textId="77777777" w:rsidR="00CD5E4F" w:rsidRPr="00205C60" w:rsidRDefault="00CD5E4F" w:rsidP="006E18E7">
            <w:pPr>
              <w:jc w:val="center"/>
              <w:rPr>
                <w:rFonts w:ascii="Verdana" w:hAnsi="Verdana" w:cs="Arial"/>
                <w:snapToGrid w:val="0"/>
                <w:sz w:val="22"/>
                <w:szCs w:val="22"/>
              </w:rPr>
            </w:pPr>
          </w:p>
        </w:tc>
        <w:tc>
          <w:tcPr>
            <w:tcW w:w="1066" w:type="pct"/>
            <w:tcBorders>
              <w:top w:val="single" w:sz="4" w:space="0" w:color="auto"/>
              <w:left w:val="nil"/>
              <w:bottom w:val="single" w:sz="4" w:space="0" w:color="auto"/>
            </w:tcBorders>
            <w:vAlign w:val="center"/>
          </w:tcPr>
          <w:p w14:paraId="3CA7E93F" w14:textId="77777777" w:rsidR="00B21EE6" w:rsidRPr="00205C60" w:rsidRDefault="00B21EE6" w:rsidP="006E18E7">
            <w:pPr>
              <w:jc w:val="center"/>
              <w:rPr>
                <w:rFonts w:ascii="Verdana" w:hAnsi="Verdana" w:cs="Arial"/>
                <w:sz w:val="22"/>
                <w:szCs w:val="22"/>
              </w:rPr>
            </w:pPr>
          </w:p>
        </w:tc>
        <w:tc>
          <w:tcPr>
            <w:tcW w:w="160" w:type="pct"/>
            <w:tcBorders>
              <w:top w:val="single" w:sz="4" w:space="0" w:color="auto"/>
              <w:bottom w:val="single" w:sz="4" w:space="0" w:color="auto"/>
            </w:tcBorders>
            <w:vAlign w:val="center"/>
          </w:tcPr>
          <w:p w14:paraId="3CA7E940" w14:textId="77777777" w:rsidR="00B21EE6" w:rsidRPr="00205C60" w:rsidRDefault="00B21EE6" w:rsidP="006E18E7">
            <w:pPr>
              <w:jc w:val="center"/>
              <w:rPr>
                <w:rFonts w:ascii="Verdana" w:hAnsi="Verdana" w:cs="Arial"/>
                <w:snapToGrid w:val="0"/>
                <w:sz w:val="22"/>
                <w:szCs w:val="22"/>
              </w:rPr>
            </w:pPr>
          </w:p>
        </w:tc>
        <w:tc>
          <w:tcPr>
            <w:tcW w:w="1211" w:type="pct"/>
            <w:tcBorders>
              <w:top w:val="single" w:sz="4" w:space="0" w:color="auto"/>
              <w:bottom w:val="single" w:sz="4" w:space="0" w:color="auto"/>
            </w:tcBorders>
            <w:vAlign w:val="center"/>
          </w:tcPr>
          <w:p w14:paraId="3CA7E941" w14:textId="77777777" w:rsidR="00B21EE6" w:rsidRPr="00205C60" w:rsidRDefault="00B21EE6" w:rsidP="00BD7B22">
            <w:pPr>
              <w:jc w:val="center"/>
              <w:rPr>
                <w:rFonts w:ascii="Verdana" w:hAnsi="Verdana" w:cs="Arial"/>
                <w:sz w:val="22"/>
                <w:szCs w:val="22"/>
              </w:rPr>
            </w:pPr>
          </w:p>
        </w:tc>
        <w:tc>
          <w:tcPr>
            <w:tcW w:w="208" w:type="pct"/>
            <w:tcBorders>
              <w:top w:val="single" w:sz="4" w:space="0" w:color="auto"/>
              <w:left w:val="nil"/>
              <w:bottom w:val="single" w:sz="4" w:space="0" w:color="auto"/>
            </w:tcBorders>
            <w:vAlign w:val="center"/>
          </w:tcPr>
          <w:p w14:paraId="3CA7E942" w14:textId="77777777" w:rsidR="00B21EE6" w:rsidRPr="00205C60" w:rsidRDefault="00B21EE6" w:rsidP="006E18E7">
            <w:pPr>
              <w:jc w:val="center"/>
              <w:rPr>
                <w:rFonts w:ascii="Verdana" w:hAnsi="Verdana" w:cs="Arial"/>
                <w:snapToGrid w:val="0"/>
                <w:sz w:val="22"/>
                <w:szCs w:val="22"/>
              </w:rPr>
            </w:pPr>
          </w:p>
        </w:tc>
        <w:tc>
          <w:tcPr>
            <w:tcW w:w="1644" w:type="pct"/>
            <w:gridSpan w:val="3"/>
            <w:tcBorders>
              <w:top w:val="single" w:sz="4" w:space="0" w:color="auto"/>
              <w:bottom w:val="single" w:sz="4" w:space="0" w:color="auto"/>
            </w:tcBorders>
            <w:vAlign w:val="center"/>
          </w:tcPr>
          <w:p w14:paraId="3CA7E943" w14:textId="77777777" w:rsidR="00B21EE6" w:rsidRPr="00205C60" w:rsidRDefault="00B21EE6" w:rsidP="00BD7B22">
            <w:pPr>
              <w:jc w:val="center"/>
              <w:rPr>
                <w:rFonts w:ascii="Verdana" w:hAnsi="Verdana" w:cs="Arial"/>
                <w:sz w:val="22"/>
                <w:szCs w:val="22"/>
              </w:rPr>
            </w:pPr>
          </w:p>
        </w:tc>
      </w:tr>
      <w:tr w:rsidR="00BF0257" w:rsidRPr="00205C60" w14:paraId="3CA7E948" w14:textId="77777777" w:rsidTr="00D4574D">
        <w:trPr>
          <w:cantSplit/>
          <w:trHeight w:val="444"/>
          <w:jc w:val="center"/>
        </w:trPr>
        <w:tc>
          <w:tcPr>
            <w:tcW w:w="3580" w:type="pct"/>
            <w:gridSpan w:val="6"/>
            <w:tcBorders>
              <w:top w:val="single" w:sz="4" w:space="0" w:color="auto"/>
              <w:left w:val="single" w:sz="4" w:space="0" w:color="auto"/>
              <w:bottom w:val="single" w:sz="4" w:space="0" w:color="auto"/>
              <w:right w:val="nil"/>
            </w:tcBorders>
            <w:shd w:val="solid" w:color="FFFFFF" w:fill="auto"/>
            <w:vAlign w:val="center"/>
          </w:tcPr>
          <w:p w14:paraId="3CA7E945" w14:textId="77777777" w:rsidR="00BF0257" w:rsidRPr="00205C60" w:rsidRDefault="00BF0257" w:rsidP="006E18E7">
            <w:pPr>
              <w:jc w:val="center"/>
              <w:rPr>
                <w:rFonts w:ascii="Verdana" w:hAnsi="Verdana" w:cs="Arial"/>
                <w:b/>
                <w:snapToGrid w:val="0"/>
                <w:sz w:val="22"/>
                <w:szCs w:val="22"/>
              </w:rPr>
            </w:pPr>
            <w:r w:rsidRPr="00205C60">
              <w:rPr>
                <w:rFonts w:ascii="Verdana" w:hAnsi="Verdana" w:cs="Arial"/>
                <w:b/>
                <w:snapToGrid w:val="0"/>
                <w:sz w:val="22"/>
                <w:szCs w:val="22"/>
              </w:rPr>
              <w:t>Cálculo del Indicador</w:t>
            </w:r>
          </w:p>
        </w:tc>
        <w:tc>
          <w:tcPr>
            <w:tcW w:w="150" w:type="pct"/>
            <w:tcBorders>
              <w:top w:val="single" w:sz="4" w:space="0" w:color="auto"/>
              <w:left w:val="nil"/>
              <w:bottom w:val="single" w:sz="4" w:space="0" w:color="auto"/>
            </w:tcBorders>
            <w:shd w:val="solid" w:color="FFFFFF" w:fill="auto"/>
            <w:vAlign w:val="center"/>
          </w:tcPr>
          <w:p w14:paraId="3CA7E946" w14:textId="77777777" w:rsidR="00BF0257" w:rsidRPr="00205C60" w:rsidRDefault="00BF0257" w:rsidP="006E18E7">
            <w:pPr>
              <w:jc w:val="center"/>
              <w:rPr>
                <w:rFonts w:ascii="Verdana" w:hAnsi="Verdana" w:cs="Arial"/>
                <w:b/>
                <w:snapToGrid w:val="0"/>
                <w:sz w:val="22"/>
                <w:szCs w:val="22"/>
              </w:rPr>
            </w:pPr>
          </w:p>
        </w:tc>
        <w:tc>
          <w:tcPr>
            <w:tcW w:w="1270" w:type="pct"/>
            <w:tcBorders>
              <w:top w:val="single" w:sz="4" w:space="0" w:color="auto"/>
              <w:bottom w:val="single" w:sz="4" w:space="0" w:color="auto"/>
              <w:right w:val="single" w:sz="4" w:space="0" w:color="auto"/>
            </w:tcBorders>
            <w:shd w:val="solid" w:color="FFFFFF" w:fill="auto"/>
            <w:vAlign w:val="center"/>
          </w:tcPr>
          <w:p w14:paraId="3CA7E947" w14:textId="77777777" w:rsidR="00BF0257" w:rsidRPr="00205C60" w:rsidRDefault="00BF0257" w:rsidP="006E18E7">
            <w:pPr>
              <w:jc w:val="center"/>
              <w:rPr>
                <w:rFonts w:ascii="Verdana" w:hAnsi="Verdana" w:cs="Arial"/>
                <w:b/>
                <w:snapToGrid w:val="0"/>
                <w:sz w:val="22"/>
                <w:szCs w:val="22"/>
              </w:rPr>
            </w:pPr>
            <w:r w:rsidRPr="00205C60">
              <w:rPr>
                <w:rFonts w:ascii="Verdana" w:hAnsi="Verdana" w:cs="Arial"/>
                <w:b/>
                <w:snapToGrid w:val="0"/>
                <w:sz w:val="22"/>
                <w:szCs w:val="22"/>
              </w:rPr>
              <w:t>Resultados</w:t>
            </w:r>
          </w:p>
        </w:tc>
      </w:tr>
      <w:tr w:rsidR="00BF0257" w:rsidRPr="00205C60" w14:paraId="3CA7E94F" w14:textId="77777777" w:rsidTr="00D4574D">
        <w:trPr>
          <w:trHeight w:val="341"/>
          <w:jc w:val="center"/>
        </w:trPr>
        <w:tc>
          <w:tcPr>
            <w:tcW w:w="711" w:type="pct"/>
            <w:tcBorders>
              <w:top w:val="single" w:sz="4" w:space="0" w:color="auto"/>
              <w:left w:val="single" w:sz="4" w:space="0" w:color="auto"/>
              <w:bottom w:val="single" w:sz="4" w:space="0" w:color="auto"/>
              <w:right w:val="single" w:sz="4" w:space="0" w:color="auto"/>
            </w:tcBorders>
            <w:shd w:val="solid" w:color="FFFFFF" w:fill="auto"/>
            <w:vAlign w:val="center"/>
          </w:tcPr>
          <w:p w14:paraId="3CA7E949" w14:textId="77777777" w:rsidR="00BF0257" w:rsidRPr="00205C60" w:rsidRDefault="00BF0257" w:rsidP="006E18E7">
            <w:pPr>
              <w:jc w:val="center"/>
              <w:rPr>
                <w:rFonts w:ascii="Verdana" w:hAnsi="Verdana" w:cs="Arial"/>
                <w:b/>
                <w:bCs/>
                <w:snapToGrid w:val="0"/>
                <w:sz w:val="22"/>
                <w:szCs w:val="22"/>
              </w:rPr>
            </w:pPr>
            <w:r w:rsidRPr="00205C60">
              <w:rPr>
                <w:rFonts w:ascii="Verdana" w:hAnsi="Verdana" w:cs="Arial"/>
                <w:b/>
                <w:bCs/>
                <w:snapToGrid w:val="0"/>
                <w:sz w:val="22"/>
                <w:szCs w:val="22"/>
              </w:rPr>
              <w:t>Año</w:t>
            </w:r>
          </w:p>
        </w:tc>
        <w:tc>
          <w:tcPr>
            <w:tcW w:w="1066" w:type="pct"/>
            <w:tcBorders>
              <w:top w:val="single" w:sz="4" w:space="0" w:color="auto"/>
              <w:left w:val="single" w:sz="4" w:space="0" w:color="auto"/>
              <w:bottom w:val="single" w:sz="4" w:space="0" w:color="auto"/>
              <w:right w:val="nil"/>
            </w:tcBorders>
            <w:shd w:val="solid" w:color="FFFFFF" w:fill="auto"/>
            <w:vAlign w:val="center"/>
          </w:tcPr>
          <w:p w14:paraId="3CA7E94A" w14:textId="77777777" w:rsidR="00BF0257" w:rsidRPr="00205C60" w:rsidRDefault="00BF0257" w:rsidP="006E18E7">
            <w:pPr>
              <w:jc w:val="center"/>
              <w:rPr>
                <w:rFonts w:ascii="Verdana" w:hAnsi="Verdana" w:cs="Arial"/>
                <w:b/>
                <w:bCs/>
                <w:snapToGrid w:val="0"/>
                <w:sz w:val="22"/>
                <w:szCs w:val="22"/>
              </w:rPr>
            </w:pPr>
            <w:r w:rsidRPr="00205C60">
              <w:rPr>
                <w:rFonts w:ascii="Verdana" w:hAnsi="Verdana" w:cs="Arial"/>
                <w:b/>
                <w:bCs/>
                <w:snapToGrid w:val="0"/>
                <w:sz w:val="22"/>
                <w:szCs w:val="22"/>
              </w:rPr>
              <w:t>Utilidad neta</w:t>
            </w:r>
          </w:p>
        </w:tc>
        <w:tc>
          <w:tcPr>
            <w:tcW w:w="160" w:type="pct"/>
            <w:tcBorders>
              <w:top w:val="single" w:sz="4" w:space="0" w:color="auto"/>
              <w:left w:val="nil"/>
              <w:bottom w:val="single" w:sz="4" w:space="0" w:color="auto"/>
              <w:right w:val="nil"/>
            </w:tcBorders>
            <w:shd w:val="solid" w:color="FFFFFF" w:fill="auto"/>
            <w:vAlign w:val="center"/>
          </w:tcPr>
          <w:p w14:paraId="3CA7E94B" w14:textId="77777777" w:rsidR="00BF0257" w:rsidRPr="00205C60" w:rsidRDefault="00BF0257" w:rsidP="006E18E7">
            <w:pPr>
              <w:jc w:val="center"/>
              <w:rPr>
                <w:rFonts w:ascii="Verdana" w:hAnsi="Verdana" w:cs="Arial"/>
                <w:b/>
                <w:bCs/>
                <w:snapToGrid w:val="0"/>
                <w:sz w:val="22"/>
                <w:szCs w:val="22"/>
              </w:rPr>
            </w:pPr>
            <w:r w:rsidRPr="00205C60">
              <w:rPr>
                <w:rFonts w:ascii="Verdana" w:hAnsi="Verdana" w:cs="Arial"/>
                <w:b/>
                <w:bCs/>
                <w:snapToGrid w:val="0"/>
                <w:sz w:val="22"/>
                <w:szCs w:val="22"/>
              </w:rPr>
              <w:t>÷</w:t>
            </w:r>
          </w:p>
        </w:tc>
        <w:tc>
          <w:tcPr>
            <w:tcW w:w="1642" w:type="pct"/>
            <w:gridSpan w:val="3"/>
            <w:tcBorders>
              <w:top w:val="single" w:sz="4" w:space="0" w:color="auto"/>
              <w:left w:val="nil"/>
              <w:bottom w:val="single" w:sz="4" w:space="0" w:color="auto"/>
              <w:right w:val="nil"/>
            </w:tcBorders>
            <w:shd w:val="solid" w:color="FFFFFF" w:fill="auto"/>
            <w:vAlign w:val="center"/>
          </w:tcPr>
          <w:p w14:paraId="3CA7E94C" w14:textId="77777777" w:rsidR="00BF0257" w:rsidRPr="00205C60" w:rsidRDefault="00BF0257" w:rsidP="006E18E7">
            <w:pPr>
              <w:jc w:val="center"/>
              <w:rPr>
                <w:rFonts w:ascii="Verdana" w:hAnsi="Verdana" w:cs="Arial"/>
                <w:b/>
                <w:bCs/>
                <w:snapToGrid w:val="0"/>
                <w:sz w:val="22"/>
                <w:szCs w:val="22"/>
              </w:rPr>
            </w:pPr>
            <w:r w:rsidRPr="00205C60">
              <w:rPr>
                <w:rFonts w:ascii="Verdana" w:hAnsi="Verdana" w:cs="Arial"/>
                <w:b/>
                <w:bCs/>
                <w:snapToGrid w:val="0"/>
                <w:sz w:val="22"/>
                <w:szCs w:val="22"/>
              </w:rPr>
              <w:t>Patrimonio Promedio</w:t>
            </w:r>
          </w:p>
        </w:tc>
        <w:tc>
          <w:tcPr>
            <w:tcW w:w="150" w:type="pct"/>
            <w:tcBorders>
              <w:top w:val="single" w:sz="4" w:space="0" w:color="auto"/>
              <w:left w:val="nil"/>
              <w:bottom w:val="single" w:sz="4" w:space="0" w:color="auto"/>
              <w:right w:val="nil"/>
            </w:tcBorders>
            <w:shd w:val="solid" w:color="FFFFFF" w:fill="auto"/>
            <w:vAlign w:val="center"/>
          </w:tcPr>
          <w:p w14:paraId="3CA7E94D" w14:textId="77777777" w:rsidR="00BF0257" w:rsidRPr="00205C60" w:rsidRDefault="00BF0257" w:rsidP="006E18E7">
            <w:pPr>
              <w:jc w:val="center"/>
              <w:rPr>
                <w:rFonts w:ascii="Verdana" w:hAnsi="Verdana" w:cs="Arial"/>
                <w:snapToGrid w:val="0"/>
                <w:sz w:val="22"/>
                <w:szCs w:val="22"/>
              </w:rPr>
            </w:pPr>
            <w:r w:rsidRPr="00205C60">
              <w:rPr>
                <w:rFonts w:ascii="Verdana" w:hAnsi="Verdana" w:cs="Arial"/>
                <w:snapToGrid w:val="0"/>
                <w:sz w:val="22"/>
                <w:szCs w:val="22"/>
              </w:rPr>
              <w:t>=</w:t>
            </w:r>
          </w:p>
        </w:tc>
        <w:tc>
          <w:tcPr>
            <w:tcW w:w="1270" w:type="pct"/>
            <w:tcBorders>
              <w:top w:val="single" w:sz="4" w:space="0" w:color="auto"/>
              <w:left w:val="nil"/>
              <w:bottom w:val="single" w:sz="4" w:space="0" w:color="auto"/>
              <w:right w:val="single" w:sz="4" w:space="0" w:color="auto"/>
            </w:tcBorders>
            <w:shd w:val="solid" w:color="FFFFFF" w:fill="auto"/>
            <w:vAlign w:val="center"/>
          </w:tcPr>
          <w:p w14:paraId="3CA7E94E" w14:textId="77777777" w:rsidR="00BF0257" w:rsidRPr="00205C60" w:rsidRDefault="00BF0257" w:rsidP="006E18E7">
            <w:pPr>
              <w:jc w:val="center"/>
              <w:rPr>
                <w:rFonts w:ascii="Verdana" w:hAnsi="Verdana" w:cs="Arial"/>
                <w:b/>
                <w:bCs/>
                <w:snapToGrid w:val="0"/>
                <w:sz w:val="22"/>
                <w:szCs w:val="22"/>
              </w:rPr>
            </w:pPr>
            <w:r w:rsidRPr="00205C60">
              <w:rPr>
                <w:rFonts w:ascii="Verdana" w:hAnsi="Verdana" w:cs="Arial"/>
                <w:b/>
                <w:bCs/>
                <w:snapToGrid w:val="0"/>
                <w:sz w:val="22"/>
                <w:szCs w:val="22"/>
              </w:rPr>
              <w:t>Indicador (porcentaje)</w:t>
            </w:r>
          </w:p>
        </w:tc>
      </w:tr>
      <w:tr w:rsidR="00966566" w:rsidRPr="00205C60" w14:paraId="3CA7E95D" w14:textId="77777777" w:rsidTr="00D4574D">
        <w:trPr>
          <w:trHeight w:val="257"/>
          <w:jc w:val="center"/>
        </w:trPr>
        <w:tc>
          <w:tcPr>
            <w:tcW w:w="711" w:type="pct"/>
            <w:tcBorders>
              <w:top w:val="single" w:sz="4" w:space="0" w:color="auto"/>
              <w:left w:val="single" w:sz="4" w:space="0" w:color="auto"/>
              <w:bottom w:val="single" w:sz="4" w:space="0" w:color="auto"/>
              <w:right w:val="single" w:sz="4" w:space="0" w:color="auto"/>
            </w:tcBorders>
            <w:shd w:val="solid" w:color="FFFFFF" w:fill="auto"/>
            <w:vAlign w:val="center"/>
          </w:tcPr>
          <w:p w14:paraId="3CA7E957" w14:textId="77777777" w:rsidR="00966566" w:rsidRPr="00205C60" w:rsidRDefault="00966566" w:rsidP="00966566">
            <w:pPr>
              <w:jc w:val="center"/>
              <w:rPr>
                <w:rFonts w:ascii="Verdana" w:hAnsi="Verdana" w:cs="Arial"/>
                <w:snapToGrid w:val="0"/>
                <w:sz w:val="22"/>
                <w:szCs w:val="22"/>
              </w:rPr>
            </w:pPr>
            <w:r w:rsidRPr="00205C60">
              <w:rPr>
                <w:rFonts w:ascii="Verdana" w:hAnsi="Verdana" w:cs="Arial"/>
                <w:snapToGrid w:val="0"/>
                <w:sz w:val="22"/>
                <w:szCs w:val="22"/>
              </w:rPr>
              <w:t>2019</w:t>
            </w:r>
          </w:p>
        </w:tc>
        <w:tc>
          <w:tcPr>
            <w:tcW w:w="1066" w:type="pct"/>
            <w:tcBorders>
              <w:top w:val="single" w:sz="4" w:space="0" w:color="auto"/>
              <w:left w:val="single" w:sz="4" w:space="0" w:color="auto"/>
              <w:bottom w:val="single" w:sz="4" w:space="0" w:color="auto"/>
              <w:right w:val="nil"/>
            </w:tcBorders>
            <w:shd w:val="solid" w:color="FFFFFF" w:fill="auto"/>
            <w:vAlign w:val="center"/>
          </w:tcPr>
          <w:p w14:paraId="3CA7E958" w14:textId="254923A9" w:rsidR="00966566" w:rsidRPr="00205C60" w:rsidRDefault="00966566" w:rsidP="00966566">
            <w:pPr>
              <w:jc w:val="center"/>
              <w:rPr>
                <w:rFonts w:ascii="Verdana" w:hAnsi="Verdana" w:cs="Arial"/>
                <w:bCs/>
                <w:sz w:val="22"/>
                <w:szCs w:val="22"/>
              </w:rPr>
            </w:pPr>
            <w:r w:rsidRPr="00205C60">
              <w:rPr>
                <w:rFonts w:ascii="Verdana" w:hAnsi="Verdana" w:cs="Arial"/>
                <w:bCs/>
                <w:sz w:val="22"/>
                <w:szCs w:val="22"/>
              </w:rPr>
              <w:t>8.344.870</w:t>
            </w:r>
          </w:p>
        </w:tc>
        <w:tc>
          <w:tcPr>
            <w:tcW w:w="160" w:type="pct"/>
            <w:tcBorders>
              <w:top w:val="single" w:sz="4" w:space="0" w:color="auto"/>
              <w:left w:val="nil"/>
              <w:bottom w:val="single" w:sz="4" w:space="0" w:color="auto"/>
              <w:right w:val="single" w:sz="4" w:space="0" w:color="auto"/>
            </w:tcBorders>
            <w:shd w:val="solid" w:color="FFFFFF" w:fill="auto"/>
            <w:vAlign w:val="center"/>
          </w:tcPr>
          <w:p w14:paraId="3CA7E959" w14:textId="77777777" w:rsidR="00966566" w:rsidRPr="00205C60" w:rsidRDefault="00966566" w:rsidP="00966566">
            <w:pPr>
              <w:jc w:val="center"/>
              <w:rPr>
                <w:rFonts w:ascii="Verdana" w:hAnsi="Verdana" w:cs="Arial"/>
                <w:snapToGrid w:val="0"/>
                <w:sz w:val="22"/>
                <w:szCs w:val="22"/>
              </w:rPr>
            </w:pPr>
          </w:p>
        </w:tc>
        <w:tc>
          <w:tcPr>
            <w:tcW w:w="1642" w:type="pct"/>
            <w:gridSpan w:val="3"/>
            <w:tcBorders>
              <w:top w:val="single" w:sz="4" w:space="0" w:color="auto"/>
              <w:left w:val="single" w:sz="4" w:space="0" w:color="auto"/>
              <w:bottom w:val="single" w:sz="4" w:space="0" w:color="auto"/>
              <w:right w:val="nil"/>
            </w:tcBorders>
            <w:shd w:val="solid" w:color="FFFFFF" w:fill="auto"/>
            <w:vAlign w:val="center"/>
          </w:tcPr>
          <w:p w14:paraId="3CA7E95A" w14:textId="03676BAD" w:rsidR="00966566" w:rsidRPr="00205C60" w:rsidRDefault="00966566" w:rsidP="00966566">
            <w:pPr>
              <w:jc w:val="center"/>
              <w:rPr>
                <w:rFonts w:ascii="Verdana" w:hAnsi="Verdana" w:cs="Arial"/>
                <w:sz w:val="22"/>
                <w:szCs w:val="22"/>
              </w:rPr>
            </w:pPr>
            <w:r w:rsidRPr="00205C60">
              <w:rPr>
                <w:rFonts w:ascii="Verdana" w:hAnsi="Verdana" w:cs="Arial"/>
                <w:sz w:val="22"/>
                <w:szCs w:val="22"/>
              </w:rPr>
              <w:t>405.221.641</w:t>
            </w:r>
          </w:p>
        </w:tc>
        <w:tc>
          <w:tcPr>
            <w:tcW w:w="150" w:type="pct"/>
            <w:tcBorders>
              <w:top w:val="single" w:sz="4" w:space="0" w:color="auto"/>
              <w:left w:val="nil"/>
              <w:bottom w:val="single" w:sz="4" w:space="0" w:color="auto"/>
              <w:right w:val="single" w:sz="4" w:space="0" w:color="auto"/>
            </w:tcBorders>
            <w:shd w:val="solid" w:color="FFFFFF" w:fill="auto"/>
            <w:vAlign w:val="center"/>
          </w:tcPr>
          <w:p w14:paraId="3CA7E95B" w14:textId="77777777" w:rsidR="00966566" w:rsidRPr="00205C60" w:rsidRDefault="00966566" w:rsidP="00966566">
            <w:pPr>
              <w:jc w:val="center"/>
              <w:rPr>
                <w:rFonts w:ascii="Verdana" w:hAnsi="Verdana" w:cs="Arial"/>
                <w:snapToGrid w:val="0"/>
                <w:sz w:val="22"/>
                <w:szCs w:val="22"/>
              </w:rPr>
            </w:pPr>
          </w:p>
        </w:tc>
        <w:tc>
          <w:tcPr>
            <w:tcW w:w="1270" w:type="pct"/>
            <w:tcBorders>
              <w:top w:val="single" w:sz="4" w:space="0" w:color="auto"/>
              <w:left w:val="single" w:sz="4" w:space="0" w:color="auto"/>
              <w:bottom w:val="single" w:sz="4" w:space="0" w:color="auto"/>
              <w:right w:val="single" w:sz="4" w:space="0" w:color="auto"/>
            </w:tcBorders>
            <w:shd w:val="solid" w:color="FFFFFF" w:fill="auto"/>
            <w:vAlign w:val="center"/>
          </w:tcPr>
          <w:p w14:paraId="3CA7E95C" w14:textId="0F4CF93C" w:rsidR="00966566" w:rsidRPr="00205C60" w:rsidRDefault="00966566" w:rsidP="00966566">
            <w:pPr>
              <w:jc w:val="center"/>
              <w:rPr>
                <w:rFonts w:ascii="Verdana" w:hAnsi="Verdana" w:cs="Arial"/>
                <w:sz w:val="22"/>
                <w:szCs w:val="22"/>
              </w:rPr>
            </w:pPr>
            <w:r w:rsidRPr="00205C60">
              <w:rPr>
                <w:rFonts w:ascii="Verdana" w:hAnsi="Verdana" w:cs="Arial"/>
                <w:sz w:val="22"/>
                <w:szCs w:val="22"/>
              </w:rPr>
              <w:t>2,06%</w:t>
            </w:r>
          </w:p>
        </w:tc>
      </w:tr>
      <w:tr w:rsidR="00966566" w:rsidRPr="00205C60" w14:paraId="3CA7E964" w14:textId="77777777" w:rsidTr="00D4574D">
        <w:trPr>
          <w:trHeight w:val="257"/>
          <w:jc w:val="center"/>
        </w:trPr>
        <w:tc>
          <w:tcPr>
            <w:tcW w:w="711" w:type="pct"/>
            <w:tcBorders>
              <w:top w:val="single" w:sz="4" w:space="0" w:color="auto"/>
              <w:left w:val="single" w:sz="4" w:space="0" w:color="auto"/>
              <w:bottom w:val="single" w:sz="4" w:space="0" w:color="auto"/>
              <w:right w:val="single" w:sz="4" w:space="0" w:color="auto"/>
            </w:tcBorders>
            <w:shd w:val="solid" w:color="FFFFFF" w:fill="auto"/>
            <w:vAlign w:val="center"/>
          </w:tcPr>
          <w:p w14:paraId="3CA7E95E" w14:textId="77777777" w:rsidR="00966566" w:rsidRPr="00205C60" w:rsidRDefault="00966566" w:rsidP="00966566">
            <w:pPr>
              <w:jc w:val="center"/>
              <w:rPr>
                <w:rFonts w:ascii="Verdana" w:hAnsi="Verdana" w:cs="Arial"/>
                <w:snapToGrid w:val="0"/>
                <w:sz w:val="22"/>
                <w:szCs w:val="22"/>
              </w:rPr>
            </w:pPr>
            <w:r w:rsidRPr="00205C60">
              <w:rPr>
                <w:rFonts w:ascii="Verdana" w:hAnsi="Verdana" w:cs="Arial"/>
                <w:snapToGrid w:val="0"/>
                <w:sz w:val="22"/>
                <w:szCs w:val="22"/>
              </w:rPr>
              <w:t>2020</w:t>
            </w:r>
          </w:p>
        </w:tc>
        <w:tc>
          <w:tcPr>
            <w:tcW w:w="1066" w:type="pct"/>
            <w:tcBorders>
              <w:top w:val="single" w:sz="4" w:space="0" w:color="auto"/>
              <w:left w:val="single" w:sz="4" w:space="0" w:color="auto"/>
              <w:bottom w:val="single" w:sz="4" w:space="0" w:color="auto"/>
              <w:right w:val="nil"/>
            </w:tcBorders>
            <w:shd w:val="solid" w:color="FFFFFF" w:fill="auto"/>
            <w:vAlign w:val="center"/>
          </w:tcPr>
          <w:p w14:paraId="3CA7E95F" w14:textId="49B25F75" w:rsidR="00966566" w:rsidRPr="00205C60" w:rsidRDefault="00966566" w:rsidP="00966566">
            <w:pPr>
              <w:jc w:val="center"/>
              <w:rPr>
                <w:rFonts w:ascii="Verdana" w:hAnsi="Verdana" w:cs="Arial"/>
                <w:bCs/>
                <w:sz w:val="22"/>
                <w:szCs w:val="22"/>
              </w:rPr>
            </w:pPr>
            <w:r w:rsidRPr="00205C60">
              <w:rPr>
                <w:rFonts w:ascii="Verdana" w:hAnsi="Verdana" w:cs="Arial"/>
                <w:bCs/>
                <w:sz w:val="22"/>
                <w:szCs w:val="22"/>
              </w:rPr>
              <w:t>(12.195.425)</w:t>
            </w:r>
          </w:p>
        </w:tc>
        <w:tc>
          <w:tcPr>
            <w:tcW w:w="160" w:type="pct"/>
            <w:tcBorders>
              <w:top w:val="single" w:sz="4" w:space="0" w:color="auto"/>
              <w:left w:val="nil"/>
              <w:bottom w:val="single" w:sz="4" w:space="0" w:color="auto"/>
              <w:right w:val="single" w:sz="4" w:space="0" w:color="auto"/>
            </w:tcBorders>
            <w:shd w:val="solid" w:color="FFFFFF" w:fill="auto"/>
            <w:vAlign w:val="center"/>
          </w:tcPr>
          <w:p w14:paraId="3CA7E960" w14:textId="77777777" w:rsidR="00966566" w:rsidRPr="00205C60" w:rsidRDefault="00966566" w:rsidP="00966566">
            <w:pPr>
              <w:jc w:val="center"/>
              <w:rPr>
                <w:rFonts w:ascii="Verdana" w:hAnsi="Verdana" w:cs="Arial"/>
                <w:snapToGrid w:val="0"/>
                <w:sz w:val="22"/>
                <w:szCs w:val="22"/>
              </w:rPr>
            </w:pPr>
          </w:p>
        </w:tc>
        <w:tc>
          <w:tcPr>
            <w:tcW w:w="1642" w:type="pct"/>
            <w:gridSpan w:val="3"/>
            <w:tcBorders>
              <w:top w:val="single" w:sz="4" w:space="0" w:color="auto"/>
              <w:left w:val="single" w:sz="4" w:space="0" w:color="auto"/>
              <w:bottom w:val="single" w:sz="4" w:space="0" w:color="auto"/>
              <w:right w:val="nil"/>
            </w:tcBorders>
            <w:shd w:val="solid" w:color="FFFFFF" w:fill="auto"/>
            <w:vAlign w:val="center"/>
          </w:tcPr>
          <w:p w14:paraId="3CA7E961" w14:textId="66C3B865" w:rsidR="00966566" w:rsidRPr="00205C60" w:rsidRDefault="00966566" w:rsidP="00966566">
            <w:pPr>
              <w:jc w:val="center"/>
              <w:rPr>
                <w:rFonts w:ascii="Verdana" w:hAnsi="Verdana" w:cs="Arial"/>
                <w:sz w:val="22"/>
                <w:szCs w:val="22"/>
              </w:rPr>
            </w:pPr>
            <w:r w:rsidRPr="00205C60">
              <w:rPr>
                <w:rFonts w:ascii="Verdana" w:hAnsi="Verdana" w:cs="Arial"/>
                <w:sz w:val="22"/>
                <w:szCs w:val="22"/>
              </w:rPr>
              <w:t>402.053.336</w:t>
            </w:r>
          </w:p>
        </w:tc>
        <w:tc>
          <w:tcPr>
            <w:tcW w:w="150" w:type="pct"/>
            <w:tcBorders>
              <w:top w:val="single" w:sz="4" w:space="0" w:color="auto"/>
              <w:left w:val="nil"/>
              <w:bottom w:val="single" w:sz="4" w:space="0" w:color="auto"/>
              <w:right w:val="single" w:sz="4" w:space="0" w:color="auto"/>
            </w:tcBorders>
            <w:shd w:val="solid" w:color="FFFFFF" w:fill="auto"/>
            <w:vAlign w:val="center"/>
          </w:tcPr>
          <w:p w14:paraId="3CA7E962" w14:textId="77777777" w:rsidR="00966566" w:rsidRPr="00205C60" w:rsidRDefault="00966566" w:rsidP="00966566">
            <w:pPr>
              <w:jc w:val="center"/>
              <w:rPr>
                <w:rFonts w:ascii="Verdana" w:hAnsi="Verdana" w:cs="Arial"/>
                <w:snapToGrid w:val="0"/>
                <w:sz w:val="22"/>
                <w:szCs w:val="22"/>
              </w:rPr>
            </w:pPr>
          </w:p>
        </w:tc>
        <w:tc>
          <w:tcPr>
            <w:tcW w:w="1270" w:type="pct"/>
            <w:tcBorders>
              <w:top w:val="single" w:sz="4" w:space="0" w:color="auto"/>
              <w:left w:val="single" w:sz="4" w:space="0" w:color="auto"/>
              <w:bottom w:val="single" w:sz="4" w:space="0" w:color="auto"/>
              <w:right w:val="single" w:sz="4" w:space="0" w:color="auto"/>
            </w:tcBorders>
            <w:shd w:val="solid" w:color="FFFFFF" w:fill="auto"/>
            <w:vAlign w:val="center"/>
          </w:tcPr>
          <w:p w14:paraId="3CA7E963" w14:textId="15509363" w:rsidR="00966566" w:rsidRPr="00205C60" w:rsidRDefault="00966566" w:rsidP="00966566">
            <w:pPr>
              <w:jc w:val="center"/>
              <w:rPr>
                <w:rFonts w:ascii="Verdana" w:hAnsi="Verdana" w:cs="Arial"/>
                <w:sz w:val="22"/>
                <w:szCs w:val="22"/>
              </w:rPr>
            </w:pPr>
            <w:r w:rsidRPr="00205C60">
              <w:rPr>
                <w:rFonts w:ascii="Verdana" w:hAnsi="Verdana" w:cs="Arial"/>
                <w:sz w:val="22"/>
                <w:szCs w:val="22"/>
              </w:rPr>
              <w:t>(3,03%)</w:t>
            </w:r>
          </w:p>
        </w:tc>
      </w:tr>
      <w:tr w:rsidR="00B021E1" w:rsidRPr="00205C60" w14:paraId="63DCBC1C" w14:textId="77777777" w:rsidTr="00D4574D">
        <w:trPr>
          <w:trHeight w:val="257"/>
          <w:jc w:val="center"/>
        </w:trPr>
        <w:tc>
          <w:tcPr>
            <w:tcW w:w="711" w:type="pct"/>
            <w:tcBorders>
              <w:top w:val="single" w:sz="4" w:space="0" w:color="auto"/>
              <w:left w:val="single" w:sz="4" w:space="0" w:color="auto"/>
              <w:bottom w:val="single" w:sz="4" w:space="0" w:color="auto"/>
              <w:right w:val="single" w:sz="4" w:space="0" w:color="auto"/>
            </w:tcBorders>
            <w:shd w:val="solid" w:color="FFFFFF" w:fill="auto"/>
            <w:vAlign w:val="center"/>
          </w:tcPr>
          <w:p w14:paraId="1551F19C" w14:textId="303BC474" w:rsidR="00B021E1" w:rsidRPr="00205C60" w:rsidRDefault="00B021E1" w:rsidP="0029211F">
            <w:pPr>
              <w:jc w:val="center"/>
              <w:rPr>
                <w:rFonts w:ascii="Verdana" w:hAnsi="Verdana" w:cs="Arial"/>
                <w:snapToGrid w:val="0"/>
                <w:sz w:val="22"/>
                <w:szCs w:val="22"/>
              </w:rPr>
            </w:pPr>
            <w:r w:rsidRPr="00205C60">
              <w:rPr>
                <w:rFonts w:ascii="Verdana" w:hAnsi="Verdana" w:cs="Arial"/>
                <w:snapToGrid w:val="0"/>
                <w:sz w:val="22"/>
                <w:szCs w:val="22"/>
              </w:rPr>
              <w:t>2021</w:t>
            </w:r>
          </w:p>
        </w:tc>
        <w:tc>
          <w:tcPr>
            <w:tcW w:w="1066" w:type="pct"/>
            <w:tcBorders>
              <w:top w:val="single" w:sz="4" w:space="0" w:color="auto"/>
              <w:left w:val="single" w:sz="4" w:space="0" w:color="auto"/>
              <w:bottom w:val="single" w:sz="4" w:space="0" w:color="auto"/>
              <w:right w:val="nil"/>
            </w:tcBorders>
            <w:shd w:val="solid" w:color="FFFFFF" w:fill="auto"/>
            <w:vAlign w:val="center"/>
          </w:tcPr>
          <w:p w14:paraId="03AE9876" w14:textId="6E0FED58" w:rsidR="00B021E1" w:rsidRPr="00205C60" w:rsidRDefault="00966566" w:rsidP="00F3515A">
            <w:pPr>
              <w:jc w:val="center"/>
              <w:rPr>
                <w:rFonts w:ascii="Verdana" w:hAnsi="Verdana" w:cs="Arial"/>
                <w:bCs/>
                <w:sz w:val="22"/>
                <w:szCs w:val="22"/>
              </w:rPr>
            </w:pPr>
            <w:r w:rsidRPr="00205C60">
              <w:rPr>
                <w:rFonts w:ascii="Verdana" w:hAnsi="Verdana" w:cs="Arial"/>
                <w:bCs/>
                <w:sz w:val="22"/>
                <w:szCs w:val="22"/>
              </w:rPr>
              <w:t>20</w:t>
            </w:r>
            <w:r w:rsidR="00597A4B" w:rsidRPr="00205C60">
              <w:rPr>
                <w:rFonts w:ascii="Verdana" w:hAnsi="Verdana" w:cs="Arial"/>
                <w:bCs/>
                <w:sz w:val="22"/>
                <w:szCs w:val="22"/>
              </w:rPr>
              <w:t>.</w:t>
            </w:r>
            <w:r w:rsidRPr="00205C60">
              <w:rPr>
                <w:rFonts w:ascii="Verdana" w:hAnsi="Verdana" w:cs="Arial"/>
                <w:bCs/>
                <w:sz w:val="22"/>
                <w:szCs w:val="22"/>
              </w:rPr>
              <w:t>343</w:t>
            </w:r>
            <w:r w:rsidR="00597A4B" w:rsidRPr="00205C60">
              <w:rPr>
                <w:rFonts w:ascii="Verdana" w:hAnsi="Verdana" w:cs="Arial"/>
                <w:bCs/>
                <w:sz w:val="22"/>
                <w:szCs w:val="22"/>
              </w:rPr>
              <w:t>.</w:t>
            </w:r>
            <w:r w:rsidRPr="00205C60">
              <w:rPr>
                <w:rFonts w:ascii="Verdana" w:hAnsi="Verdana" w:cs="Arial"/>
                <w:bCs/>
                <w:sz w:val="22"/>
                <w:szCs w:val="22"/>
              </w:rPr>
              <w:t>026</w:t>
            </w:r>
          </w:p>
        </w:tc>
        <w:tc>
          <w:tcPr>
            <w:tcW w:w="160" w:type="pct"/>
            <w:tcBorders>
              <w:top w:val="single" w:sz="4" w:space="0" w:color="auto"/>
              <w:left w:val="nil"/>
              <w:bottom w:val="single" w:sz="4" w:space="0" w:color="auto"/>
              <w:right w:val="single" w:sz="4" w:space="0" w:color="auto"/>
            </w:tcBorders>
            <w:shd w:val="solid" w:color="FFFFFF" w:fill="auto"/>
            <w:vAlign w:val="center"/>
          </w:tcPr>
          <w:p w14:paraId="5C1B8F7A" w14:textId="77777777" w:rsidR="00B021E1" w:rsidRPr="00205C60" w:rsidRDefault="00B021E1" w:rsidP="00F3515A">
            <w:pPr>
              <w:jc w:val="center"/>
              <w:rPr>
                <w:rFonts w:ascii="Verdana" w:hAnsi="Verdana" w:cs="Arial"/>
                <w:snapToGrid w:val="0"/>
                <w:sz w:val="22"/>
                <w:szCs w:val="22"/>
              </w:rPr>
            </w:pPr>
          </w:p>
        </w:tc>
        <w:tc>
          <w:tcPr>
            <w:tcW w:w="1642" w:type="pct"/>
            <w:gridSpan w:val="3"/>
            <w:tcBorders>
              <w:top w:val="single" w:sz="4" w:space="0" w:color="auto"/>
              <w:left w:val="single" w:sz="4" w:space="0" w:color="auto"/>
              <w:bottom w:val="single" w:sz="4" w:space="0" w:color="auto"/>
              <w:right w:val="nil"/>
            </w:tcBorders>
            <w:shd w:val="solid" w:color="FFFFFF" w:fill="auto"/>
            <w:vAlign w:val="center"/>
          </w:tcPr>
          <w:p w14:paraId="285C2665" w14:textId="2ECD4D2C" w:rsidR="00B021E1" w:rsidRPr="00205C60" w:rsidRDefault="00597A4B" w:rsidP="00F3515A">
            <w:pPr>
              <w:jc w:val="center"/>
              <w:rPr>
                <w:rFonts w:ascii="Verdana" w:hAnsi="Verdana" w:cs="Arial"/>
                <w:sz w:val="22"/>
                <w:szCs w:val="22"/>
              </w:rPr>
            </w:pPr>
            <w:r w:rsidRPr="00205C60">
              <w:rPr>
                <w:rFonts w:ascii="Verdana" w:hAnsi="Verdana" w:cs="Arial"/>
                <w:sz w:val="22"/>
                <w:szCs w:val="22"/>
              </w:rPr>
              <w:t>40</w:t>
            </w:r>
            <w:r w:rsidR="00966566" w:rsidRPr="00205C60">
              <w:rPr>
                <w:rFonts w:ascii="Verdana" w:hAnsi="Verdana" w:cs="Arial"/>
                <w:sz w:val="22"/>
                <w:szCs w:val="22"/>
              </w:rPr>
              <w:t>7</w:t>
            </w:r>
            <w:r w:rsidRPr="00205C60">
              <w:rPr>
                <w:rFonts w:ascii="Verdana" w:hAnsi="Verdana" w:cs="Arial"/>
                <w:sz w:val="22"/>
                <w:szCs w:val="22"/>
              </w:rPr>
              <w:t>.0</w:t>
            </w:r>
            <w:r w:rsidR="00966566" w:rsidRPr="00205C60">
              <w:rPr>
                <w:rFonts w:ascii="Verdana" w:hAnsi="Verdana" w:cs="Arial"/>
                <w:sz w:val="22"/>
                <w:szCs w:val="22"/>
              </w:rPr>
              <w:t>81</w:t>
            </w:r>
            <w:r w:rsidRPr="00205C60">
              <w:rPr>
                <w:rFonts w:ascii="Verdana" w:hAnsi="Verdana" w:cs="Arial"/>
                <w:sz w:val="22"/>
                <w:szCs w:val="22"/>
              </w:rPr>
              <w:t>.</w:t>
            </w:r>
            <w:r w:rsidR="00966566" w:rsidRPr="00205C60">
              <w:rPr>
                <w:rFonts w:ascii="Verdana" w:hAnsi="Verdana" w:cs="Arial"/>
                <w:sz w:val="22"/>
                <w:szCs w:val="22"/>
              </w:rPr>
              <w:t>488</w:t>
            </w:r>
          </w:p>
        </w:tc>
        <w:tc>
          <w:tcPr>
            <w:tcW w:w="150" w:type="pct"/>
            <w:tcBorders>
              <w:top w:val="single" w:sz="4" w:space="0" w:color="auto"/>
              <w:left w:val="nil"/>
              <w:bottom w:val="single" w:sz="4" w:space="0" w:color="auto"/>
              <w:right w:val="single" w:sz="4" w:space="0" w:color="auto"/>
            </w:tcBorders>
            <w:shd w:val="solid" w:color="FFFFFF" w:fill="auto"/>
            <w:vAlign w:val="center"/>
          </w:tcPr>
          <w:p w14:paraId="7239B9D2" w14:textId="77777777" w:rsidR="00B021E1" w:rsidRPr="00205C60" w:rsidRDefault="00B021E1" w:rsidP="00F3515A">
            <w:pPr>
              <w:jc w:val="center"/>
              <w:rPr>
                <w:rFonts w:ascii="Verdana" w:hAnsi="Verdana" w:cs="Arial"/>
                <w:snapToGrid w:val="0"/>
                <w:sz w:val="22"/>
                <w:szCs w:val="22"/>
              </w:rPr>
            </w:pPr>
          </w:p>
        </w:tc>
        <w:tc>
          <w:tcPr>
            <w:tcW w:w="1270" w:type="pct"/>
            <w:tcBorders>
              <w:top w:val="single" w:sz="4" w:space="0" w:color="auto"/>
              <w:left w:val="single" w:sz="4" w:space="0" w:color="auto"/>
              <w:bottom w:val="single" w:sz="4" w:space="0" w:color="auto"/>
              <w:right w:val="single" w:sz="4" w:space="0" w:color="auto"/>
            </w:tcBorders>
            <w:shd w:val="solid" w:color="FFFFFF" w:fill="auto"/>
            <w:vAlign w:val="center"/>
          </w:tcPr>
          <w:p w14:paraId="2B9A91EB" w14:textId="41282926" w:rsidR="00B021E1" w:rsidRPr="00205C60" w:rsidRDefault="00966566" w:rsidP="00F3515A">
            <w:pPr>
              <w:jc w:val="center"/>
              <w:rPr>
                <w:rFonts w:ascii="Verdana" w:hAnsi="Verdana" w:cs="Arial"/>
                <w:sz w:val="22"/>
                <w:szCs w:val="22"/>
              </w:rPr>
            </w:pPr>
            <w:r w:rsidRPr="00205C60">
              <w:rPr>
                <w:rFonts w:ascii="Verdana" w:hAnsi="Verdana" w:cs="Arial"/>
                <w:sz w:val="22"/>
                <w:szCs w:val="22"/>
              </w:rPr>
              <w:t>5</w:t>
            </w:r>
            <w:r w:rsidR="00C72B9C" w:rsidRPr="00205C60">
              <w:rPr>
                <w:rFonts w:ascii="Verdana" w:hAnsi="Verdana" w:cs="Arial"/>
                <w:sz w:val="22"/>
                <w:szCs w:val="22"/>
              </w:rPr>
              <w:t>,0</w:t>
            </w:r>
            <w:r w:rsidRPr="00205C60">
              <w:rPr>
                <w:rFonts w:ascii="Verdana" w:hAnsi="Verdana" w:cs="Arial"/>
                <w:sz w:val="22"/>
                <w:szCs w:val="22"/>
              </w:rPr>
              <w:t>0</w:t>
            </w:r>
            <w:r w:rsidR="00C72B9C" w:rsidRPr="00205C60">
              <w:rPr>
                <w:rFonts w:ascii="Verdana" w:hAnsi="Verdana" w:cs="Arial"/>
                <w:sz w:val="22"/>
                <w:szCs w:val="22"/>
              </w:rPr>
              <w:t>%</w:t>
            </w:r>
          </w:p>
        </w:tc>
      </w:tr>
    </w:tbl>
    <w:p w14:paraId="3CA7E965" w14:textId="77777777" w:rsidR="0050477A" w:rsidRPr="00205C60" w:rsidRDefault="0050477A" w:rsidP="00200035">
      <w:pPr>
        <w:jc w:val="both"/>
        <w:rPr>
          <w:rFonts w:ascii="Verdana" w:hAnsi="Verdana" w:cs="Arial"/>
          <w:sz w:val="22"/>
          <w:szCs w:val="22"/>
        </w:rPr>
      </w:pPr>
    </w:p>
    <w:p w14:paraId="3CA7E966" w14:textId="4FC82722" w:rsidR="00C13031" w:rsidRPr="00205C60" w:rsidRDefault="00BF7D44" w:rsidP="00200035">
      <w:pPr>
        <w:jc w:val="both"/>
        <w:rPr>
          <w:rFonts w:ascii="Verdana" w:hAnsi="Verdana" w:cs="Arial"/>
          <w:sz w:val="22"/>
          <w:szCs w:val="22"/>
        </w:rPr>
      </w:pPr>
      <w:r w:rsidRPr="00205C60">
        <w:rPr>
          <w:rFonts w:ascii="Verdana" w:hAnsi="Verdana" w:cs="Arial"/>
          <w:sz w:val="22"/>
          <w:szCs w:val="22"/>
        </w:rPr>
        <w:t>En</w:t>
      </w:r>
      <w:r w:rsidR="006053D5" w:rsidRPr="00205C60">
        <w:rPr>
          <w:rFonts w:ascii="Verdana" w:hAnsi="Verdana" w:cs="Arial"/>
          <w:sz w:val="22"/>
          <w:szCs w:val="22"/>
        </w:rPr>
        <w:t xml:space="preserve"> el año 20</w:t>
      </w:r>
      <w:r w:rsidR="00837655" w:rsidRPr="00205C60">
        <w:rPr>
          <w:rFonts w:ascii="Verdana" w:hAnsi="Verdana" w:cs="Arial"/>
          <w:sz w:val="22"/>
          <w:szCs w:val="22"/>
        </w:rPr>
        <w:t>2</w:t>
      </w:r>
      <w:r w:rsidR="00966566" w:rsidRPr="00205C60">
        <w:rPr>
          <w:rFonts w:ascii="Verdana" w:hAnsi="Verdana" w:cs="Arial"/>
          <w:sz w:val="22"/>
          <w:szCs w:val="22"/>
        </w:rPr>
        <w:t>2</w:t>
      </w:r>
      <w:r w:rsidR="00643F7B" w:rsidRPr="00205C60">
        <w:rPr>
          <w:rFonts w:ascii="Verdana" w:hAnsi="Verdana" w:cs="Arial"/>
          <w:sz w:val="22"/>
          <w:szCs w:val="22"/>
        </w:rPr>
        <w:t xml:space="preserve"> este indicador </w:t>
      </w:r>
      <w:r w:rsidR="002546BE" w:rsidRPr="00205C60">
        <w:rPr>
          <w:rFonts w:ascii="Verdana" w:hAnsi="Verdana" w:cs="Arial"/>
          <w:sz w:val="22"/>
          <w:szCs w:val="22"/>
        </w:rPr>
        <w:t>registr</w:t>
      </w:r>
      <w:r w:rsidR="00882B38" w:rsidRPr="00205C60">
        <w:rPr>
          <w:rFonts w:ascii="Verdana" w:hAnsi="Verdana" w:cs="Arial"/>
          <w:sz w:val="22"/>
          <w:szCs w:val="22"/>
        </w:rPr>
        <w:t>ó un</w:t>
      </w:r>
      <w:r w:rsidR="002333BB" w:rsidRPr="00205C60">
        <w:rPr>
          <w:rFonts w:ascii="Verdana" w:hAnsi="Verdana" w:cs="Arial"/>
          <w:sz w:val="22"/>
          <w:szCs w:val="22"/>
        </w:rPr>
        <w:t xml:space="preserve"> aumento en el </w:t>
      </w:r>
      <w:r w:rsidR="007D0FD9" w:rsidRPr="00205C60">
        <w:rPr>
          <w:rFonts w:ascii="Verdana" w:hAnsi="Verdana" w:cs="Arial"/>
          <w:sz w:val="22"/>
          <w:szCs w:val="22"/>
        </w:rPr>
        <w:t>resultado</w:t>
      </w:r>
      <w:r w:rsidR="00BE2360" w:rsidRPr="00205C60">
        <w:rPr>
          <w:rFonts w:ascii="Verdana" w:hAnsi="Verdana" w:cs="Arial"/>
          <w:sz w:val="22"/>
          <w:szCs w:val="22"/>
        </w:rPr>
        <w:t xml:space="preserve"> gracias al incremento en la</w:t>
      </w:r>
      <w:r w:rsidR="00837655" w:rsidRPr="00205C60">
        <w:rPr>
          <w:rFonts w:ascii="Verdana" w:hAnsi="Verdana" w:cs="Arial"/>
          <w:sz w:val="22"/>
          <w:szCs w:val="22"/>
        </w:rPr>
        <w:t xml:space="preserve"> utilidad neta</w:t>
      </w:r>
      <w:r w:rsidR="00BE2360" w:rsidRPr="00205C60">
        <w:rPr>
          <w:rFonts w:ascii="Verdana" w:hAnsi="Verdana" w:cs="Arial"/>
          <w:sz w:val="22"/>
          <w:szCs w:val="22"/>
        </w:rPr>
        <w:t xml:space="preserve"> del periodo</w:t>
      </w:r>
      <w:r w:rsidR="000D1220" w:rsidRPr="00205C60">
        <w:rPr>
          <w:rFonts w:ascii="Verdana" w:hAnsi="Verdana" w:cs="Arial"/>
          <w:sz w:val="22"/>
          <w:szCs w:val="22"/>
        </w:rPr>
        <w:t>, por las razones explicadas en el inciso a) anterior</w:t>
      </w:r>
      <w:r w:rsidR="00837655" w:rsidRPr="00205C60">
        <w:rPr>
          <w:rFonts w:ascii="Verdana" w:hAnsi="Verdana" w:cs="Arial"/>
          <w:sz w:val="22"/>
          <w:szCs w:val="22"/>
        </w:rPr>
        <w:t>.</w:t>
      </w:r>
      <w:r w:rsidR="00A10A56" w:rsidRPr="00205C60">
        <w:rPr>
          <w:rFonts w:ascii="Verdana" w:hAnsi="Verdana" w:cs="Arial"/>
          <w:sz w:val="22"/>
          <w:szCs w:val="22"/>
        </w:rPr>
        <w:t xml:space="preserve"> </w:t>
      </w:r>
      <w:r w:rsidR="00883DD7" w:rsidRPr="00205C60">
        <w:rPr>
          <w:rFonts w:ascii="Verdana" w:hAnsi="Verdana" w:cs="Arial"/>
          <w:sz w:val="22"/>
          <w:szCs w:val="22"/>
        </w:rPr>
        <w:t>Este indicador muestra el resultado más alto obtenido en los últimos 4 periodos.</w:t>
      </w:r>
    </w:p>
    <w:p w14:paraId="3CA7E967" w14:textId="5E21C72B" w:rsidR="00466D46" w:rsidRPr="00205C60" w:rsidRDefault="00466D46" w:rsidP="00200035">
      <w:pPr>
        <w:jc w:val="both"/>
        <w:rPr>
          <w:rFonts w:ascii="Verdana" w:hAnsi="Verdana" w:cs="Arial"/>
          <w:sz w:val="22"/>
          <w:szCs w:val="22"/>
        </w:rPr>
      </w:pPr>
    </w:p>
    <w:p w14:paraId="50E2B614" w14:textId="247007F7" w:rsidR="005F7490" w:rsidRPr="00205C60" w:rsidRDefault="005F7490" w:rsidP="00200035">
      <w:pPr>
        <w:jc w:val="both"/>
        <w:rPr>
          <w:rFonts w:ascii="Verdana" w:hAnsi="Verdana" w:cs="Arial"/>
          <w:sz w:val="22"/>
          <w:szCs w:val="22"/>
        </w:rPr>
      </w:pPr>
    </w:p>
    <w:p w14:paraId="3CA7E969" w14:textId="77777777" w:rsidR="00B44125" w:rsidRPr="00205C60" w:rsidRDefault="00B44125" w:rsidP="00882F32">
      <w:pPr>
        <w:pStyle w:val="Ttulo2"/>
        <w:numPr>
          <w:ilvl w:val="3"/>
          <w:numId w:val="21"/>
        </w:numPr>
        <w:tabs>
          <w:tab w:val="clear" w:pos="1241"/>
          <w:tab w:val="left" w:pos="993"/>
        </w:tabs>
        <w:spacing w:line="120" w:lineRule="atLeast"/>
        <w:ind w:right="142"/>
        <w:rPr>
          <w:rFonts w:ascii="Verdana" w:hAnsi="Verdana" w:cs="Arial"/>
          <w:sz w:val="22"/>
          <w:szCs w:val="22"/>
        </w:rPr>
      </w:pPr>
      <w:bookmarkStart w:id="102" w:name="_Toc104529460"/>
      <w:r w:rsidRPr="00205C60">
        <w:rPr>
          <w:rFonts w:ascii="Verdana" w:hAnsi="Verdana" w:cs="Arial"/>
          <w:sz w:val="22"/>
          <w:szCs w:val="22"/>
        </w:rPr>
        <w:t>Índices de actividad</w:t>
      </w:r>
      <w:bookmarkEnd w:id="102"/>
    </w:p>
    <w:p w14:paraId="3CA7E96A" w14:textId="075D2AF3" w:rsidR="00996925" w:rsidRPr="00205C60" w:rsidRDefault="00996925" w:rsidP="00892771">
      <w:pPr>
        <w:rPr>
          <w:rFonts w:ascii="Verdana" w:hAnsi="Verdana"/>
          <w:sz w:val="22"/>
          <w:szCs w:val="22"/>
        </w:rPr>
      </w:pPr>
    </w:p>
    <w:p w14:paraId="3CA7E96C" w14:textId="77777777" w:rsidR="00A551BD" w:rsidRPr="00205C60" w:rsidRDefault="00B44125" w:rsidP="00882F32">
      <w:pPr>
        <w:pStyle w:val="Prrafodelista"/>
        <w:numPr>
          <w:ilvl w:val="0"/>
          <w:numId w:val="27"/>
        </w:numPr>
        <w:rPr>
          <w:rFonts w:ascii="Verdana" w:hAnsi="Verdana" w:cs="Arial"/>
          <w:b/>
          <w:sz w:val="22"/>
          <w:szCs w:val="22"/>
        </w:rPr>
      </w:pPr>
      <w:r w:rsidRPr="00205C60">
        <w:rPr>
          <w:rFonts w:ascii="Verdana" w:hAnsi="Verdana" w:cs="Arial"/>
          <w:b/>
          <w:sz w:val="22"/>
          <w:szCs w:val="22"/>
        </w:rPr>
        <w:t>Utilidad neta más gastos financieros a gastos financieros</w:t>
      </w:r>
    </w:p>
    <w:p w14:paraId="3CA7E96D" w14:textId="77777777" w:rsidR="005430C9" w:rsidRPr="00205C60" w:rsidRDefault="005430C9" w:rsidP="008F2744">
      <w:pPr>
        <w:pStyle w:val="Sangradetextonormal"/>
        <w:tabs>
          <w:tab w:val="left" w:pos="360"/>
        </w:tabs>
        <w:ind w:left="0"/>
        <w:jc w:val="both"/>
        <w:rPr>
          <w:rFonts w:ascii="Verdana" w:hAnsi="Verdana" w:cs="Arial"/>
          <w:b w:val="0"/>
          <w:color w:val="auto"/>
          <w:sz w:val="22"/>
          <w:szCs w:val="22"/>
        </w:rPr>
      </w:pPr>
    </w:p>
    <w:p w14:paraId="3CA7E96E" w14:textId="77777777" w:rsidR="0031358E" w:rsidRPr="00205C60" w:rsidRDefault="00A551BD" w:rsidP="008F2744">
      <w:pPr>
        <w:pStyle w:val="Sangradetextonormal"/>
        <w:tabs>
          <w:tab w:val="left" w:pos="360"/>
        </w:tabs>
        <w:ind w:left="0"/>
        <w:jc w:val="both"/>
        <w:rPr>
          <w:rFonts w:ascii="Verdana" w:hAnsi="Verdana" w:cs="Arial"/>
          <w:b w:val="0"/>
          <w:color w:val="auto"/>
          <w:sz w:val="22"/>
          <w:szCs w:val="22"/>
        </w:rPr>
      </w:pPr>
      <w:r w:rsidRPr="00205C60">
        <w:rPr>
          <w:rFonts w:ascii="Verdana" w:hAnsi="Verdana" w:cs="Arial"/>
          <w:b w:val="0"/>
          <w:color w:val="auto"/>
          <w:sz w:val="22"/>
          <w:szCs w:val="22"/>
        </w:rPr>
        <w:t>Esta razón mide la cobertura del pago de los intereses totales contratados (</w:t>
      </w:r>
      <w:r w:rsidR="00974C58" w:rsidRPr="00205C60">
        <w:rPr>
          <w:rFonts w:ascii="Verdana" w:hAnsi="Verdana" w:cs="Arial"/>
          <w:b w:val="0"/>
          <w:color w:val="auto"/>
          <w:sz w:val="22"/>
          <w:szCs w:val="22"/>
        </w:rPr>
        <w:t>i</w:t>
      </w:r>
      <w:r w:rsidRPr="00205C60">
        <w:rPr>
          <w:rFonts w:ascii="Verdana" w:hAnsi="Verdana" w:cs="Arial"/>
          <w:b w:val="0"/>
          <w:color w:val="auto"/>
          <w:sz w:val="22"/>
          <w:szCs w:val="22"/>
        </w:rPr>
        <w:t>ncluye gastos por diferencial cambiario generado principalmente por deuda financiera)</w:t>
      </w:r>
    </w:p>
    <w:p w14:paraId="3CA7E970" w14:textId="77777777" w:rsidR="00343236" w:rsidRPr="00205C60" w:rsidRDefault="00343236" w:rsidP="008F2744">
      <w:pPr>
        <w:pStyle w:val="Sangradetextonormal"/>
        <w:tabs>
          <w:tab w:val="left" w:pos="360"/>
        </w:tabs>
        <w:ind w:left="0"/>
        <w:jc w:val="both"/>
        <w:rPr>
          <w:rFonts w:ascii="Verdana" w:hAnsi="Verdana" w:cs="Arial"/>
          <w:b w:val="0"/>
          <w:color w:val="auto"/>
          <w:sz w:val="22"/>
          <w:szCs w:val="22"/>
        </w:rPr>
      </w:pPr>
    </w:p>
    <w:tbl>
      <w:tblPr>
        <w:tblpPr w:leftFromText="141" w:rightFromText="141" w:vertAnchor="text" w:horzAnchor="margin" w:tblpX="314" w:tblpY="205"/>
        <w:tblW w:w="4753"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940"/>
        <w:gridCol w:w="3506"/>
        <w:gridCol w:w="251"/>
        <w:gridCol w:w="1963"/>
        <w:gridCol w:w="241"/>
        <w:gridCol w:w="1768"/>
      </w:tblGrid>
      <w:tr w:rsidR="0029229B" w:rsidRPr="00205C60" w14:paraId="3CA7E972" w14:textId="77777777" w:rsidTr="0031358E">
        <w:trPr>
          <w:cantSplit/>
          <w:trHeight w:val="422"/>
        </w:trPr>
        <w:tc>
          <w:tcPr>
            <w:tcW w:w="5000" w:type="pct"/>
            <w:gridSpan w:val="6"/>
            <w:tcBorders>
              <w:top w:val="single" w:sz="4" w:space="0" w:color="auto"/>
              <w:bottom w:val="single" w:sz="4" w:space="0" w:color="auto"/>
            </w:tcBorders>
            <w:vAlign w:val="center"/>
          </w:tcPr>
          <w:p w14:paraId="3CA7E971" w14:textId="39C5F0C9" w:rsidR="0029229B" w:rsidRPr="00205C60" w:rsidRDefault="00974C58" w:rsidP="006E18E7">
            <w:pPr>
              <w:jc w:val="center"/>
              <w:rPr>
                <w:rFonts w:ascii="Verdana" w:hAnsi="Verdana" w:cs="Arial"/>
                <w:b/>
                <w:snapToGrid w:val="0"/>
                <w:sz w:val="22"/>
                <w:szCs w:val="22"/>
              </w:rPr>
            </w:pPr>
            <w:r w:rsidRPr="00205C60">
              <w:rPr>
                <w:rFonts w:ascii="Verdana" w:hAnsi="Verdana" w:cs="Arial"/>
                <w:b/>
                <w:snapToGrid w:val="0"/>
                <w:sz w:val="22"/>
                <w:szCs w:val="22"/>
              </w:rPr>
              <w:t>Cá</w:t>
            </w:r>
            <w:r w:rsidR="0029229B" w:rsidRPr="00205C60">
              <w:rPr>
                <w:rFonts w:ascii="Verdana" w:hAnsi="Verdana" w:cs="Arial"/>
                <w:b/>
                <w:snapToGrid w:val="0"/>
                <w:sz w:val="22"/>
                <w:szCs w:val="22"/>
              </w:rPr>
              <w:t xml:space="preserve">lculo de la Utilidad Neta Más Gastos </w:t>
            </w:r>
            <w:r w:rsidR="002511B6" w:rsidRPr="00205C60">
              <w:rPr>
                <w:rFonts w:ascii="Verdana" w:hAnsi="Verdana" w:cs="Arial"/>
                <w:b/>
                <w:snapToGrid w:val="0"/>
                <w:sz w:val="22"/>
                <w:szCs w:val="22"/>
              </w:rPr>
              <w:t>Financieros (</w:t>
            </w:r>
            <w:r w:rsidR="0029229B" w:rsidRPr="00205C60">
              <w:rPr>
                <w:rFonts w:ascii="Verdana" w:hAnsi="Verdana" w:cs="Arial"/>
                <w:b/>
                <w:snapToGrid w:val="0"/>
                <w:sz w:val="22"/>
                <w:szCs w:val="22"/>
              </w:rPr>
              <w:t>en miles de colones)</w:t>
            </w:r>
          </w:p>
        </w:tc>
      </w:tr>
      <w:tr w:rsidR="0029229B" w:rsidRPr="00205C60" w14:paraId="3CA7E979" w14:textId="77777777" w:rsidTr="00072C9D">
        <w:trPr>
          <w:trHeight w:val="295"/>
        </w:trPr>
        <w:tc>
          <w:tcPr>
            <w:tcW w:w="542" w:type="pct"/>
            <w:tcBorders>
              <w:top w:val="single" w:sz="4" w:space="0" w:color="auto"/>
              <w:bottom w:val="single" w:sz="4" w:space="0" w:color="auto"/>
              <w:right w:val="single" w:sz="4" w:space="0" w:color="auto"/>
            </w:tcBorders>
            <w:vAlign w:val="center"/>
          </w:tcPr>
          <w:p w14:paraId="3CA7E973" w14:textId="77777777" w:rsidR="0029229B" w:rsidRPr="00205C60" w:rsidRDefault="0029229B" w:rsidP="006E18E7">
            <w:pPr>
              <w:jc w:val="center"/>
              <w:rPr>
                <w:rFonts w:ascii="Verdana" w:hAnsi="Verdana" w:cs="Arial"/>
                <w:b/>
                <w:bCs/>
                <w:snapToGrid w:val="0"/>
                <w:sz w:val="22"/>
                <w:szCs w:val="22"/>
              </w:rPr>
            </w:pPr>
            <w:r w:rsidRPr="00205C60">
              <w:rPr>
                <w:rFonts w:ascii="Verdana" w:hAnsi="Verdana" w:cs="Arial"/>
                <w:b/>
                <w:bCs/>
                <w:snapToGrid w:val="0"/>
                <w:sz w:val="22"/>
                <w:szCs w:val="22"/>
              </w:rPr>
              <w:t>Año</w:t>
            </w:r>
          </w:p>
        </w:tc>
        <w:tc>
          <w:tcPr>
            <w:tcW w:w="2022" w:type="pct"/>
            <w:tcBorders>
              <w:top w:val="single" w:sz="4" w:space="0" w:color="auto"/>
              <w:left w:val="single" w:sz="4" w:space="0" w:color="auto"/>
              <w:bottom w:val="single" w:sz="4" w:space="0" w:color="auto"/>
            </w:tcBorders>
            <w:shd w:val="solid" w:color="FFFFFF" w:fill="auto"/>
            <w:vAlign w:val="center"/>
          </w:tcPr>
          <w:p w14:paraId="3CA7E974" w14:textId="77777777" w:rsidR="0029229B" w:rsidRPr="00205C60" w:rsidRDefault="0029229B" w:rsidP="006E18E7">
            <w:pPr>
              <w:jc w:val="center"/>
              <w:rPr>
                <w:rFonts w:ascii="Verdana" w:hAnsi="Verdana" w:cs="Arial"/>
                <w:b/>
                <w:bCs/>
                <w:snapToGrid w:val="0"/>
                <w:sz w:val="22"/>
                <w:szCs w:val="22"/>
              </w:rPr>
            </w:pPr>
            <w:r w:rsidRPr="00205C60">
              <w:rPr>
                <w:rFonts w:ascii="Verdana" w:hAnsi="Verdana" w:cs="Arial"/>
                <w:b/>
                <w:bCs/>
                <w:snapToGrid w:val="0"/>
                <w:sz w:val="22"/>
                <w:szCs w:val="22"/>
              </w:rPr>
              <w:t>Utilidad neta</w:t>
            </w:r>
          </w:p>
        </w:tc>
        <w:tc>
          <w:tcPr>
            <w:tcW w:w="145" w:type="pct"/>
            <w:tcBorders>
              <w:top w:val="single" w:sz="4" w:space="0" w:color="auto"/>
              <w:bottom w:val="single" w:sz="4" w:space="0" w:color="auto"/>
            </w:tcBorders>
            <w:vAlign w:val="center"/>
          </w:tcPr>
          <w:p w14:paraId="3CA7E975" w14:textId="77777777" w:rsidR="0029229B" w:rsidRPr="00205C60" w:rsidRDefault="0029229B" w:rsidP="006E18E7">
            <w:pPr>
              <w:jc w:val="center"/>
              <w:rPr>
                <w:rFonts w:ascii="Verdana" w:hAnsi="Verdana" w:cs="Arial"/>
                <w:b/>
                <w:bCs/>
                <w:snapToGrid w:val="0"/>
                <w:sz w:val="22"/>
                <w:szCs w:val="22"/>
              </w:rPr>
            </w:pPr>
            <w:r w:rsidRPr="00205C60">
              <w:rPr>
                <w:rFonts w:ascii="Verdana" w:hAnsi="Verdana" w:cs="Arial"/>
                <w:b/>
                <w:bCs/>
                <w:snapToGrid w:val="0"/>
                <w:sz w:val="22"/>
                <w:szCs w:val="22"/>
              </w:rPr>
              <w:t>+</w:t>
            </w:r>
          </w:p>
        </w:tc>
        <w:tc>
          <w:tcPr>
            <w:tcW w:w="1132" w:type="pct"/>
            <w:tcBorders>
              <w:top w:val="single" w:sz="4" w:space="0" w:color="auto"/>
              <w:bottom w:val="single" w:sz="4" w:space="0" w:color="auto"/>
            </w:tcBorders>
            <w:vAlign w:val="center"/>
          </w:tcPr>
          <w:p w14:paraId="3CA7E976" w14:textId="77777777" w:rsidR="0029229B" w:rsidRPr="00205C60" w:rsidRDefault="0029229B" w:rsidP="006E18E7">
            <w:pPr>
              <w:jc w:val="center"/>
              <w:rPr>
                <w:rFonts w:ascii="Verdana" w:hAnsi="Verdana" w:cs="Arial"/>
                <w:b/>
                <w:bCs/>
                <w:snapToGrid w:val="0"/>
                <w:sz w:val="22"/>
                <w:szCs w:val="22"/>
              </w:rPr>
            </w:pPr>
            <w:r w:rsidRPr="00205C60">
              <w:rPr>
                <w:rFonts w:ascii="Verdana" w:hAnsi="Verdana" w:cs="Arial"/>
                <w:b/>
                <w:bCs/>
                <w:snapToGrid w:val="0"/>
                <w:sz w:val="22"/>
                <w:szCs w:val="22"/>
              </w:rPr>
              <w:t>Gastos Financieros</w:t>
            </w:r>
          </w:p>
        </w:tc>
        <w:tc>
          <w:tcPr>
            <w:tcW w:w="139" w:type="pct"/>
            <w:tcBorders>
              <w:top w:val="single" w:sz="4" w:space="0" w:color="auto"/>
              <w:bottom w:val="single" w:sz="4" w:space="0" w:color="auto"/>
            </w:tcBorders>
            <w:shd w:val="solid" w:color="FFFFFF" w:fill="auto"/>
            <w:vAlign w:val="center"/>
          </w:tcPr>
          <w:p w14:paraId="3CA7E977" w14:textId="77777777" w:rsidR="0029229B" w:rsidRPr="00205C60" w:rsidRDefault="0029229B" w:rsidP="006E18E7">
            <w:pPr>
              <w:jc w:val="center"/>
              <w:rPr>
                <w:rFonts w:ascii="Verdana" w:hAnsi="Verdana" w:cs="Arial"/>
                <w:snapToGrid w:val="0"/>
                <w:sz w:val="22"/>
                <w:szCs w:val="22"/>
              </w:rPr>
            </w:pPr>
            <w:r w:rsidRPr="00205C60">
              <w:rPr>
                <w:rFonts w:ascii="Verdana" w:hAnsi="Verdana" w:cs="Arial"/>
                <w:snapToGrid w:val="0"/>
                <w:sz w:val="22"/>
                <w:szCs w:val="22"/>
              </w:rPr>
              <w:t>=</w:t>
            </w:r>
          </w:p>
        </w:tc>
        <w:tc>
          <w:tcPr>
            <w:tcW w:w="1020" w:type="pct"/>
            <w:tcBorders>
              <w:top w:val="single" w:sz="4" w:space="0" w:color="auto"/>
              <w:bottom w:val="single" w:sz="4" w:space="0" w:color="auto"/>
            </w:tcBorders>
            <w:vAlign w:val="center"/>
          </w:tcPr>
          <w:p w14:paraId="3CA7E978" w14:textId="77777777" w:rsidR="0029229B" w:rsidRPr="00205C60" w:rsidRDefault="0029229B" w:rsidP="006E18E7">
            <w:pPr>
              <w:jc w:val="center"/>
              <w:rPr>
                <w:rFonts w:ascii="Verdana" w:hAnsi="Verdana" w:cs="Arial"/>
                <w:b/>
                <w:bCs/>
                <w:snapToGrid w:val="0"/>
                <w:sz w:val="22"/>
                <w:szCs w:val="22"/>
              </w:rPr>
            </w:pPr>
            <w:r w:rsidRPr="00205C60">
              <w:rPr>
                <w:rFonts w:ascii="Verdana" w:hAnsi="Verdana" w:cs="Arial"/>
                <w:b/>
                <w:bCs/>
                <w:snapToGrid w:val="0"/>
                <w:sz w:val="22"/>
                <w:szCs w:val="22"/>
              </w:rPr>
              <w:t>Total</w:t>
            </w:r>
          </w:p>
        </w:tc>
      </w:tr>
      <w:tr w:rsidR="009C61A2" w:rsidRPr="00205C60" w14:paraId="3CA7E987" w14:textId="77777777" w:rsidTr="00072C9D">
        <w:trPr>
          <w:trHeight w:val="221"/>
        </w:trPr>
        <w:tc>
          <w:tcPr>
            <w:tcW w:w="542" w:type="pct"/>
            <w:tcBorders>
              <w:top w:val="single" w:sz="4" w:space="0" w:color="auto"/>
              <w:bottom w:val="single" w:sz="4" w:space="0" w:color="auto"/>
              <w:right w:val="single" w:sz="4" w:space="0" w:color="auto"/>
            </w:tcBorders>
            <w:vAlign w:val="center"/>
          </w:tcPr>
          <w:p w14:paraId="3CA7E981" w14:textId="2B3BE735" w:rsidR="009C61A2" w:rsidRPr="00205C60" w:rsidRDefault="009C61A2" w:rsidP="009C61A2">
            <w:pPr>
              <w:jc w:val="center"/>
              <w:rPr>
                <w:rFonts w:ascii="Verdana" w:hAnsi="Verdana" w:cs="Arial"/>
                <w:snapToGrid w:val="0"/>
                <w:sz w:val="22"/>
                <w:szCs w:val="22"/>
              </w:rPr>
            </w:pPr>
            <w:r w:rsidRPr="00205C60">
              <w:rPr>
                <w:rFonts w:ascii="Verdana" w:hAnsi="Verdana" w:cs="Arial"/>
                <w:snapToGrid w:val="0"/>
                <w:sz w:val="22"/>
                <w:szCs w:val="22"/>
              </w:rPr>
              <w:t>2020</w:t>
            </w:r>
          </w:p>
        </w:tc>
        <w:tc>
          <w:tcPr>
            <w:tcW w:w="2022" w:type="pct"/>
            <w:tcBorders>
              <w:top w:val="single" w:sz="4" w:space="0" w:color="auto"/>
              <w:left w:val="single" w:sz="4" w:space="0" w:color="auto"/>
              <w:bottom w:val="single" w:sz="4" w:space="0" w:color="auto"/>
              <w:right w:val="single" w:sz="4" w:space="0" w:color="auto"/>
            </w:tcBorders>
            <w:shd w:val="solid" w:color="FFFFFF" w:fill="auto"/>
            <w:vAlign w:val="center"/>
          </w:tcPr>
          <w:p w14:paraId="3CA7E982" w14:textId="07518213" w:rsidR="009C61A2" w:rsidRPr="00205C60" w:rsidRDefault="009C61A2" w:rsidP="009C61A2">
            <w:pPr>
              <w:jc w:val="center"/>
              <w:rPr>
                <w:rFonts w:ascii="Verdana" w:hAnsi="Verdana" w:cs="Arial"/>
                <w:bCs/>
                <w:sz w:val="22"/>
                <w:szCs w:val="22"/>
              </w:rPr>
            </w:pPr>
            <w:r w:rsidRPr="00205C60">
              <w:rPr>
                <w:rFonts w:ascii="Verdana" w:hAnsi="Verdana" w:cs="Arial"/>
                <w:bCs/>
                <w:sz w:val="22"/>
                <w:szCs w:val="22"/>
              </w:rPr>
              <w:t>8.344.870</w:t>
            </w:r>
          </w:p>
        </w:tc>
        <w:tc>
          <w:tcPr>
            <w:tcW w:w="145" w:type="pct"/>
            <w:tcBorders>
              <w:top w:val="single" w:sz="4" w:space="0" w:color="auto"/>
              <w:left w:val="single" w:sz="4" w:space="0" w:color="auto"/>
              <w:bottom w:val="single" w:sz="4" w:space="0" w:color="auto"/>
            </w:tcBorders>
            <w:vAlign w:val="center"/>
          </w:tcPr>
          <w:p w14:paraId="3CA7E983" w14:textId="77777777" w:rsidR="009C61A2" w:rsidRPr="00205C60" w:rsidRDefault="009C61A2" w:rsidP="009C61A2">
            <w:pPr>
              <w:jc w:val="center"/>
              <w:rPr>
                <w:rFonts w:ascii="Verdana" w:hAnsi="Verdana" w:cs="Arial"/>
                <w:snapToGrid w:val="0"/>
                <w:sz w:val="22"/>
                <w:szCs w:val="22"/>
              </w:rPr>
            </w:pPr>
          </w:p>
        </w:tc>
        <w:tc>
          <w:tcPr>
            <w:tcW w:w="1132" w:type="pct"/>
            <w:tcBorders>
              <w:top w:val="single" w:sz="4" w:space="0" w:color="auto"/>
              <w:bottom w:val="single" w:sz="4" w:space="0" w:color="auto"/>
            </w:tcBorders>
            <w:vAlign w:val="center"/>
          </w:tcPr>
          <w:p w14:paraId="3CA7E984" w14:textId="27ECCFA3" w:rsidR="009C61A2" w:rsidRPr="00205C60" w:rsidRDefault="009C61A2" w:rsidP="009C61A2">
            <w:pPr>
              <w:jc w:val="center"/>
              <w:rPr>
                <w:rFonts w:ascii="Verdana" w:hAnsi="Verdana" w:cs="Arial"/>
                <w:snapToGrid w:val="0"/>
                <w:sz w:val="22"/>
                <w:szCs w:val="22"/>
              </w:rPr>
            </w:pPr>
            <w:r w:rsidRPr="00205C60">
              <w:rPr>
                <w:rFonts w:ascii="Verdana" w:hAnsi="Verdana" w:cs="Arial"/>
                <w:snapToGrid w:val="0"/>
                <w:sz w:val="22"/>
                <w:szCs w:val="22"/>
              </w:rPr>
              <w:t>20.135.108</w:t>
            </w:r>
          </w:p>
        </w:tc>
        <w:tc>
          <w:tcPr>
            <w:tcW w:w="139" w:type="pct"/>
            <w:tcBorders>
              <w:top w:val="single" w:sz="4" w:space="0" w:color="auto"/>
              <w:bottom w:val="single" w:sz="4" w:space="0" w:color="auto"/>
              <w:right w:val="single" w:sz="4" w:space="0" w:color="auto"/>
            </w:tcBorders>
            <w:vAlign w:val="center"/>
          </w:tcPr>
          <w:p w14:paraId="3CA7E985" w14:textId="77777777" w:rsidR="009C61A2" w:rsidRPr="00205C60" w:rsidRDefault="009C61A2" w:rsidP="009C61A2">
            <w:pPr>
              <w:jc w:val="center"/>
              <w:rPr>
                <w:rFonts w:ascii="Verdana" w:hAnsi="Verdana" w:cs="Arial"/>
                <w:snapToGrid w:val="0"/>
                <w:sz w:val="22"/>
                <w:szCs w:val="22"/>
              </w:rPr>
            </w:pPr>
          </w:p>
        </w:tc>
        <w:tc>
          <w:tcPr>
            <w:tcW w:w="1020" w:type="pct"/>
            <w:tcBorders>
              <w:top w:val="single" w:sz="4" w:space="0" w:color="auto"/>
              <w:left w:val="single" w:sz="4" w:space="0" w:color="auto"/>
              <w:bottom w:val="single" w:sz="4" w:space="0" w:color="auto"/>
            </w:tcBorders>
            <w:vAlign w:val="center"/>
          </w:tcPr>
          <w:p w14:paraId="3CA7E986" w14:textId="1C7298F4" w:rsidR="009C61A2" w:rsidRPr="00205C60" w:rsidRDefault="009C61A2" w:rsidP="009C61A2">
            <w:pPr>
              <w:jc w:val="center"/>
              <w:rPr>
                <w:rFonts w:ascii="Verdana" w:hAnsi="Verdana" w:cs="Arial"/>
                <w:bCs/>
                <w:snapToGrid w:val="0"/>
                <w:sz w:val="22"/>
                <w:szCs w:val="22"/>
              </w:rPr>
            </w:pPr>
            <w:r w:rsidRPr="00205C60">
              <w:rPr>
                <w:rFonts w:ascii="Verdana" w:hAnsi="Verdana" w:cs="Arial"/>
                <w:bCs/>
                <w:snapToGrid w:val="0"/>
                <w:sz w:val="22"/>
                <w:szCs w:val="22"/>
              </w:rPr>
              <w:t>28.479.978</w:t>
            </w:r>
          </w:p>
        </w:tc>
      </w:tr>
      <w:tr w:rsidR="009C61A2" w:rsidRPr="00205C60" w14:paraId="3CA7E98E" w14:textId="77777777" w:rsidTr="00072C9D">
        <w:trPr>
          <w:trHeight w:val="221"/>
        </w:trPr>
        <w:tc>
          <w:tcPr>
            <w:tcW w:w="542" w:type="pct"/>
            <w:tcBorders>
              <w:top w:val="single" w:sz="4" w:space="0" w:color="auto"/>
              <w:bottom w:val="single" w:sz="4" w:space="0" w:color="auto"/>
              <w:right w:val="single" w:sz="4" w:space="0" w:color="auto"/>
            </w:tcBorders>
            <w:vAlign w:val="center"/>
          </w:tcPr>
          <w:p w14:paraId="3CA7E988" w14:textId="269641AC" w:rsidR="009C61A2" w:rsidRPr="00205C60" w:rsidRDefault="009C61A2" w:rsidP="009C61A2">
            <w:pPr>
              <w:jc w:val="center"/>
              <w:rPr>
                <w:rFonts w:ascii="Verdana" w:hAnsi="Verdana" w:cs="Arial"/>
                <w:snapToGrid w:val="0"/>
                <w:sz w:val="22"/>
                <w:szCs w:val="22"/>
              </w:rPr>
            </w:pPr>
            <w:r w:rsidRPr="00205C60">
              <w:rPr>
                <w:rFonts w:ascii="Verdana" w:hAnsi="Verdana" w:cs="Arial"/>
                <w:snapToGrid w:val="0"/>
                <w:sz w:val="22"/>
                <w:szCs w:val="22"/>
              </w:rPr>
              <w:t>2021</w:t>
            </w:r>
          </w:p>
        </w:tc>
        <w:tc>
          <w:tcPr>
            <w:tcW w:w="2022" w:type="pct"/>
            <w:tcBorders>
              <w:top w:val="single" w:sz="4" w:space="0" w:color="auto"/>
              <w:left w:val="single" w:sz="4" w:space="0" w:color="auto"/>
              <w:bottom w:val="single" w:sz="4" w:space="0" w:color="auto"/>
              <w:right w:val="single" w:sz="4" w:space="0" w:color="auto"/>
            </w:tcBorders>
            <w:shd w:val="solid" w:color="FFFFFF" w:fill="auto"/>
            <w:vAlign w:val="center"/>
          </w:tcPr>
          <w:p w14:paraId="3CA7E989" w14:textId="6AD2021A" w:rsidR="009C61A2" w:rsidRPr="00205C60" w:rsidRDefault="009C61A2" w:rsidP="009C61A2">
            <w:pPr>
              <w:jc w:val="center"/>
              <w:rPr>
                <w:rFonts w:ascii="Verdana" w:hAnsi="Verdana" w:cs="Arial"/>
                <w:bCs/>
                <w:sz w:val="22"/>
                <w:szCs w:val="22"/>
              </w:rPr>
            </w:pPr>
            <w:r w:rsidRPr="00205C60">
              <w:rPr>
                <w:rFonts w:ascii="Verdana" w:hAnsi="Verdana" w:cs="Arial"/>
                <w:bCs/>
                <w:sz w:val="22"/>
                <w:szCs w:val="22"/>
              </w:rPr>
              <w:t>(12.195.425)</w:t>
            </w:r>
          </w:p>
        </w:tc>
        <w:tc>
          <w:tcPr>
            <w:tcW w:w="145" w:type="pct"/>
            <w:tcBorders>
              <w:top w:val="single" w:sz="4" w:space="0" w:color="auto"/>
              <w:left w:val="single" w:sz="4" w:space="0" w:color="auto"/>
              <w:bottom w:val="single" w:sz="4" w:space="0" w:color="auto"/>
            </w:tcBorders>
            <w:vAlign w:val="center"/>
          </w:tcPr>
          <w:p w14:paraId="3CA7E98A" w14:textId="77777777" w:rsidR="009C61A2" w:rsidRPr="00205C60" w:rsidRDefault="009C61A2" w:rsidP="009C61A2">
            <w:pPr>
              <w:jc w:val="center"/>
              <w:rPr>
                <w:rFonts w:ascii="Verdana" w:hAnsi="Verdana" w:cs="Arial"/>
                <w:snapToGrid w:val="0"/>
                <w:sz w:val="22"/>
                <w:szCs w:val="22"/>
              </w:rPr>
            </w:pPr>
          </w:p>
        </w:tc>
        <w:tc>
          <w:tcPr>
            <w:tcW w:w="1132" w:type="pct"/>
            <w:tcBorders>
              <w:top w:val="single" w:sz="4" w:space="0" w:color="auto"/>
              <w:bottom w:val="single" w:sz="4" w:space="0" w:color="auto"/>
            </w:tcBorders>
            <w:vAlign w:val="center"/>
          </w:tcPr>
          <w:p w14:paraId="3CA7E98B" w14:textId="56C7A18A" w:rsidR="009C61A2" w:rsidRPr="00205C60" w:rsidRDefault="009C61A2" w:rsidP="009C61A2">
            <w:pPr>
              <w:jc w:val="center"/>
              <w:rPr>
                <w:rFonts w:ascii="Verdana" w:hAnsi="Verdana" w:cs="Arial"/>
                <w:snapToGrid w:val="0"/>
                <w:sz w:val="22"/>
                <w:szCs w:val="22"/>
              </w:rPr>
            </w:pPr>
            <w:r w:rsidRPr="00205C60">
              <w:rPr>
                <w:rFonts w:ascii="Verdana" w:hAnsi="Verdana" w:cs="Arial"/>
                <w:snapToGrid w:val="0"/>
                <w:sz w:val="22"/>
                <w:szCs w:val="22"/>
              </w:rPr>
              <w:t>14.779.562</w:t>
            </w:r>
          </w:p>
        </w:tc>
        <w:tc>
          <w:tcPr>
            <w:tcW w:w="139" w:type="pct"/>
            <w:tcBorders>
              <w:top w:val="single" w:sz="4" w:space="0" w:color="auto"/>
              <w:bottom w:val="single" w:sz="4" w:space="0" w:color="auto"/>
              <w:right w:val="single" w:sz="4" w:space="0" w:color="auto"/>
            </w:tcBorders>
            <w:vAlign w:val="center"/>
          </w:tcPr>
          <w:p w14:paraId="3CA7E98C" w14:textId="77777777" w:rsidR="009C61A2" w:rsidRPr="00205C60" w:rsidRDefault="009C61A2" w:rsidP="009C61A2">
            <w:pPr>
              <w:jc w:val="center"/>
              <w:rPr>
                <w:rFonts w:ascii="Verdana" w:hAnsi="Verdana" w:cs="Arial"/>
                <w:snapToGrid w:val="0"/>
                <w:sz w:val="22"/>
                <w:szCs w:val="22"/>
              </w:rPr>
            </w:pPr>
          </w:p>
        </w:tc>
        <w:tc>
          <w:tcPr>
            <w:tcW w:w="1020" w:type="pct"/>
            <w:tcBorders>
              <w:top w:val="single" w:sz="4" w:space="0" w:color="auto"/>
              <w:left w:val="single" w:sz="4" w:space="0" w:color="auto"/>
              <w:bottom w:val="single" w:sz="4" w:space="0" w:color="auto"/>
            </w:tcBorders>
            <w:vAlign w:val="center"/>
          </w:tcPr>
          <w:p w14:paraId="3CA7E98D" w14:textId="14B9ADFC" w:rsidR="009C61A2" w:rsidRPr="00205C60" w:rsidRDefault="009C61A2" w:rsidP="009C61A2">
            <w:pPr>
              <w:jc w:val="center"/>
              <w:rPr>
                <w:rFonts w:ascii="Verdana" w:hAnsi="Verdana" w:cs="Arial"/>
                <w:bCs/>
                <w:snapToGrid w:val="0"/>
                <w:sz w:val="22"/>
                <w:szCs w:val="22"/>
              </w:rPr>
            </w:pPr>
            <w:r w:rsidRPr="00205C60">
              <w:rPr>
                <w:rFonts w:ascii="Verdana" w:hAnsi="Verdana" w:cs="Arial"/>
                <w:bCs/>
                <w:snapToGrid w:val="0"/>
                <w:sz w:val="22"/>
                <w:szCs w:val="22"/>
              </w:rPr>
              <w:t>2.584.137</w:t>
            </w:r>
          </w:p>
        </w:tc>
      </w:tr>
      <w:tr w:rsidR="001B73BB" w:rsidRPr="00205C60" w14:paraId="7057E2A8" w14:textId="77777777" w:rsidTr="00072C9D">
        <w:trPr>
          <w:trHeight w:val="221"/>
        </w:trPr>
        <w:tc>
          <w:tcPr>
            <w:tcW w:w="542" w:type="pct"/>
            <w:tcBorders>
              <w:top w:val="single" w:sz="4" w:space="0" w:color="auto"/>
              <w:bottom w:val="single" w:sz="4" w:space="0" w:color="auto"/>
              <w:right w:val="single" w:sz="4" w:space="0" w:color="auto"/>
            </w:tcBorders>
            <w:vAlign w:val="center"/>
          </w:tcPr>
          <w:p w14:paraId="2606ED89" w14:textId="11D39F7F" w:rsidR="001B73BB" w:rsidRPr="00205C60" w:rsidRDefault="001B73BB" w:rsidP="0004648F">
            <w:pPr>
              <w:jc w:val="center"/>
              <w:rPr>
                <w:rFonts w:ascii="Verdana" w:hAnsi="Verdana" w:cs="Arial"/>
                <w:snapToGrid w:val="0"/>
                <w:sz w:val="22"/>
                <w:szCs w:val="22"/>
              </w:rPr>
            </w:pPr>
            <w:r w:rsidRPr="00205C60">
              <w:rPr>
                <w:rFonts w:ascii="Verdana" w:hAnsi="Verdana" w:cs="Arial"/>
                <w:snapToGrid w:val="0"/>
                <w:sz w:val="22"/>
                <w:szCs w:val="22"/>
              </w:rPr>
              <w:t>202</w:t>
            </w:r>
            <w:r w:rsidR="009C61A2" w:rsidRPr="00205C60">
              <w:rPr>
                <w:rFonts w:ascii="Verdana" w:hAnsi="Verdana" w:cs="Arial"/>
                <w:snapToGrid w:val="0"/>
                <w:sz w:val="22"/>
                <w:szCs w:val="22"/>
              </w:rPr>
              <w:t>2</w:t>
            </w:r>
          </w:p>
        </w:tc>
        <w:tc>
          <w:tcPr>
            <w:tcW w:w="2022" w:type="pct"/>
            <w:tcBorders>
              <w:top w:val="single" w:sz="4" w:space="0" w:color="auto"/>
              <w:left w:val="single" w:sz="4" w:space="0" w:color="auto"/>
              <w:bottom w:val="single" w:sz="4" w:space="0" w:color="auto"/>
              <w:right w:val="single" w:sz="4" w:space="0" w:color="auto"/>
            </w:tcBorders>
            <w:shd w:val="solid" w:color="FFFFFF" w:fill="auto"/>
            <w:vAlign w:val="center"/>
          </w:tcPr>
          <w:p w14:paraId="72D36853" w14:textId="7D8B3701" w:rsidR="001B73BB" w:rsidRPr="00205C60" w:rsidRDefault="009C61A2" w:rsidP="009E4EBE">
            <w:pPr>
              <w:jc w:val="center"/>
              <w:rPr>
                <w:rFonts w:ascii="Verdana" w:hAnsi="Verdana" w:cs="Arial"/>
                <w:bCs/>
                <w:sz w:val="22"/>
                <w:szCs w:val="22"/>
              </w:rPr>
            </w:pPr>
            <w:r w:rsidRPr="00205C60">
              <w:rPr>
                <w:rFonts w:ascii="Verdana" w:hAnsi="Verdana" w:cs="Arial"/>
                <w:bCs/>
                <w:sz w:val="22"/>
                <w:szCs w:val="22"/>
              </w:rPr>
              <w:t>20</w:t>
            </w:r>
            <w:r w:rsidR="008C71DE" w:rsidRPr="00205C60">
              <w:rPr>
                <w:rFonts w:ascii="Verdana" w:hAnsi="Verdana" w:cs="Arial"/>
                <w:bCs/>
                <w:sz w:val="22"/>
                <w:szCs w:val="22"/>
              </w:rPr>
              <w:t>.</w:t>
            </w:r>
            <w:r w:rsidRPr="00205C60">
              <w:rPr>
                <w:rFonts w:ascii="Verdana" w:hAnsi="Verdana" w:cs="Arial"/>
                <w:bCs/>
                <w:sz w:val="22"/>
                <w:szCs w:val="22"/>
              </w:rPr>
              <w:t>343</w:t>
            </w:r>
            <w:r w:rsidR="008C71DE" w:rsidRPr="00205C60">
              <w:rPr>
                <w:rFonts w:ascii="Verdana" w:hAnsi="Verdana" w:cs="Arial"/>
                <w:bCs/>
                <w:sz w:val="22"/>
                <w:szCs w:val="22"/>
              </w:rPr>
              <w:t>.</w:t>
            </w:r>
            <w:r w:rsidRPr="00205C60">
              <w:rPr>
                <w:rFonts w:ascii="Verdana" w:hAnsi="Verdana" w:cs="Arial"/>
                <w:bCs/>
                <w:sz w:val="22"/>
                <w:szCs w:val="22"/>
              </w:rPr>
              <w:t>026</w:t>
            </w:r>
          </w:p>
        </w:tc>
        <w:tc>
          <w:tcPr>
            <w:tcW w:w="145" w:type="pct"/>
            <w:tcBorders>
              <w:top w:val="single" w:sz="4" w:space="0" w:color="auto"/>
              <w:left w:val="single" w:sz="4" w:space="0" w:color="auto"/>
              <w:bottom w:val="single" w:sz="4" w:space="0" w:color="auto"/>
            </w:tcBorders>
            <w:vAlign w:val="center"/>
          </w:tcPr>
          <w:p w14:paraId="335623E6" w14:textId="33171310" w:rsidR="001B73BB" w:rsidRPr="00205C60" w:rsidRDefault="001B73BB" w:rsidP="009E4EBE">
            <w:pPr>
              <w:jc w:val="center"/>
              <w:rPr>
                <w:rFonts w:ascii="Verdana" w:hAnsi="Verdana" w:cs="Arial"/>
                <w:snapToGrid w:val="0"/>
                <w:sz w:val="22"/>
                <w:szCs w:val="22"/>
              </w:rPr>
            </w:pPr>
          </w:p>
        </w:tc>
        <w:tc>
          <w:tcPr>
            <w:tcW w:w="1132" w:type="pct"/>
            <w:tcBorders>
              <w:top w:val="single" w:sz="4" w:space="0" w:color="auto"/>
              <w:bottom w:val="single" w:sz="4" w:space="0" w:color="auto"/>
            </w:tcBorders>
            <w:vAlign w:val="center"/>
          </w:tcPr>
          <w:p w14:paraId="0AAC1031" w14:textId="7AF2BAA5" w:rsidR="001B73BB" w:rsidRPr="00205C60" w:rsidRDefault="004F734C" w:rsidP="009E4EBE">
            <w:pPr>
              <w:jc w:val="center"/>
              <w:rPr>
                <w:rFonts w:ascii="Verdana" w:hAnsi="Verdana" w:cs="Arial"/>
                <w:snapToGrid w:val="0"/>
                <w:sz w:val="22"/>
                <w:szCs w:val="22"/>
              </w:rPr>
            </w:pPr>
            <w:r w:rsidRPr="00205C60">
              <w:rPr>
                <w:rFonts w:ascii="Verdana" w:hAnsi="Verdana" w:cs="Arial"/>
                <w:snapToGrid w:val="0"/>
                <w:sz w:val="22"/>
                <w:szCs w:val="22"/>
              </w:rPr>
              <w:t>1</w:t>
            </w:r>
            <w:r w:rsidR="009C61A2" w:rsidRPr="00205C60">
              <w:rPr>
                <w:rFonts w:ascii="Verdana" w:hAnsi="Verdana" w:cs="Arial"/>
                <w:snapToGrid w:val="0"/>
                <w:sz w:val="22"/>
                <w:szCs w:val="22"/>
              </w:rPr>
              <w:t>2</w:t>
            </w:r>
            <w:r w:rsidRPr="00205C60">
              <w:rPr>
                <w:rFonts w:ascii="Verdana" w:hAnsi="Verdana" w:cs="Arial"/>
                <w:snapToGrid w:val="0"/>
                <w:sz w:val="22"/>
                <w:szCs w:val="22"/>
              </w:rPr>
              <w:t>.7</w:t>
            </w:r>
            <w:r w:rsidR="009C61A2" w:rsidRPr="00205C60">
              <w:rPr>
                <w:rFonts w:ascii="Verdana" w:hAnsi="Verdana" w:cs="Arial"/>
                <w:snapToGrid w:val="0"/>
                <w:sz w:val="22"/>
                <w:szCs w:val="22"/>
              </w:rPr>
              <w:t>62</w:t>
            </w:r>
            <w:r w:rsidRPr="00205C60">
              <w:rPr>
                <w:rFonts w:ascii="Verdana" w:hAnsi="Verdana" w:cs="Arial"/>
                <w:snapToGrid w:val="0"/>
                <w:sz w:val="22"/>
                <w:szCs w:val="22"/>
              </w:rPr>
              <w:t>.</w:t>
            </w:r>
            <w:r w:rsidR="00EB51F9" w:rsidRPr="00205C60">
              <w:rPr>
                <w:rFonts w:ascii="Verdana" w:hAnsi="Verdana" w:cs="Arial"/>
                <w:snapToGrid w:val="0"/>
                <w:sz w:val="22"/>
                <w:szCs w:val="22"/>
              </w:rPr>
              <w:t>91</w:t>
            </w:r>
            <w:r w:rsidRPr="00205C60">
              <w:rPr>
                <w:rFonts w:ascii="Verdana" w:hAnsi="Verdana" w:cs="Arial"/>
                <w:snapToGrid w:val="0"/>
                <w:sz w:val="22"/>
                <w:szCs w:val="22"/>
              </w:rPr>
              <w:t>2</w:t>
            </w:r>
          </w:p>
        </w:tc>
        <w:tc>
          <w:tcPr>
            <w:tcW w:w="139" w:type="pct"/>
            <w:tcBorders>
              <w:top w:val="single" w:sz="4" w:space="0" w:color="auto"/>
              <w:bottom w:val="single" w:sz="4" w:space="0" w:color="auto"/>
              <w:right w:val="single" w:sz="4" w:space="0" w:color="auto"/>
            </w:tcBorders>
            <w:vAlign w:val="center"/>
          </w:tcPr>
          <w:p w14:paraId="05F5CEEB" w14:textId="77777777" w:rsidR="001B73BB" w:rsidRPr="00205C60" w:rsidRDefault="001B73BB" w:rsidP="009E4EBE">
            <w:pPr>
              <w:jc w:val="center"/>
              <w:rPr>
                <w:rFonts w:ascii="Verdana" w:hAnsi="Verdana" w:cs="Arial"/>
                <w:snapToGrid w:val="0"/>
                <w:sz w:val="22"/>
                <w:szCs w:val="22"/>
              </w:rPr>
            </w:pPr>
          </w:p>
        </w:tc>
        <w:tc>
          <w:tcPr>
            <w:tcW w:w="1020" w:type="pct"/>
            <w:tcBorders>
              <w:top w:val="single" w:sz="4" w:space="0" w:color="auto"/>
              <w:left w:val="single" w:sz="4" w:space="0" w:color="auto"/>
              <w:bottom w:val="single" w:sz="4" w:space="0" w:color="auto"/>
            </w:tcBorders>
            <w:vAlign w:val="center"/>
          </w:tcPr>
          <w:p w14:paraId="420FB9CE" w14:textId="099D28A8" w:rsidR="001B73BB" w:rsidRPr="00205C60" w:rsidRDefault="00EB51F9" w:rsidP="009E4EBE">
            <w:pPr>
              <w:jc w:val="center"/>
              <w:rPr>
                <w:rFonts w:ascii="Verdana" w:hAnsi="Verdana" w:cs="Arial"/>
                <w:bCs/>
                <w:snapToGrid w:val="0"/>
                <w:sz w:val="22"/>
                <w:szCs w:val="22"/>
              </w:rPr>
            </w:pPr>
            <w:r w:rsidRPr="00205C60">
              <w:rPr>
                <w:rFonts w:ascii="Verdana" w:hAnsi="Verdana" w:cs="Arial"/>
                <w:bCs/>
                <w:snapToGrid w:val="0"/>
                <w:sz w:val="22"/>
                <w:szCs w:val="22"/>
              </w:rPr>
              <w:t>33</w:t>
            </w:r>
            <w:r w:rsidR="002511B6" w:rsidRPr="00205C60">
              <w:rPr>
                <w:rFonts w:ascii="Verdana" w:hAnsi="Verdana" w:cs="Arial"/>
                <w:bCs/>
                <w:snapToGrid w:val="0"/>
                <w:sz w:val="22"/>
                <w:szCs w:val="22"/>
              </w:rPr>
              <w:t>.</w:t>
            </w:r>
            <w:r w:rsidRPr="00205C60">
              <w:rPr>
                <w:rFonts w:ascii="Verdana" w:hAnsi="Verdana" w:cs="Arial"/>
                <w:bCs/>
                <w:snapToGrid w:val="0"/>
                <w:sz w:val="22"/>
                <w:szCs w:val="22"/>
              </w:rPr>
              <w:t>105</w:t>
            </w:r>
            <w:r w:rsidR="002511B6" w:rsidRPr="00205C60">
              <w:rPr>
                <w:rFonts w:ascii="Verdana" w:hAnsi="Verdana" w:cs="Arial"/>
                <w:bCs/>
                <w:snapToGrid w:val="0"/>
                <w:sz w:val="22"/>
                <w:szCs w:val="22"/>
              </w:rPr>
              <w:t>.</w:t>
            </w:r>
            <w:r w:rsidRPr="00205C60">
              <w:rPr>
                <w:rFonts w:ascii="Verdana" w:hAnsi="Verdana" w:cs="Arial"/>
                <w:bCs/>
                <w:snapToGrid w:val="0"/>
                <w:sz w:val="22"/>
                <w:szCs w:val="22"/>
              </w:rPr>
              <w:t>9</w:t>
            </w:r>
            <w:r w:rsidR="002511B6" w:rsidRPr="00205C60">
              <w:rPr>
                <w:rFonts w:ascii="Verdana" w:hAnsi="Verdana" w:cs="Arial"/>
                <w:bCs/>
                <w:snapToGrid w:val="0"/>
                <w:sz w:val="22"/>
                <w:szCs w:val="22"/>
              </w:rPr>
              <w:t>3</w:t>
            </w:r>
            <w:r w:rsidRPr="00205C60">
              <w:rPr>
                <w:rFonts w:ascii="Verdana" w:hAnsi="Verdana" w:cs="Arial"/>
                <w:bCs/>
                <w:snapToGrid w:val="0"/>
                <w:sz w:val="22"/>
                <w:szCs w:val="22"/>
              </w:rPr>
              <w:t>8</w:t>
            </w:r>
          </w:p>
        </w:tc>
      </w:tr>
      <w:tr w:rsidR="009E4EBE" w:rsidRPr="00205C60" w14:paraId="3CA7E992" w14:textId="77777777" w:rsidTr="00072C9D">
        <w:trPr>
          <w:cantSplit/>
          <w:trHeight w:val="517"/>
        </w:trPr>
        <w:tc>
          <w:tcPr>
            <w:tcW w:w="3841" w:type="pct"/>
            <w:gridSpan w:val="4"/>
            <w:tcBorders>
              <w:top w:val="single" w:sz="4" w:space="0" w:color="auto"/>
              <w:bottom w:val="single" w:sz="4" w:space="0" w:color="auto"/>
            </w:tcBorders>
            <w:shd w:val="solid" w:color="FFFFFF" w:fill="auto"/>
            <w:vAlign w:val="center"/>
          </w:tcPr>
          <w:p w14:paraId="3CA7E98F" w14:textId="77777777" w:rsidR="009E4EBE" w:rsidRPr="00205C60" w:rsidRDefault="0031358E" w:rsidP="009E4EBE">
            <w:pPr>
              <w:jc w:val="center"/>
              <w:rPr>
                <w:rFonts w:ascii="Verdana" w:hAnsi="Verdana" w:cs="Arial"/>
                <w:b/>
                <w:snapToGrid w:val="0"/>
                <w:sz w:val="22"/>
                <w:szCs w:val="22"/>
              </w:rPr>
            </w:pPr>
            <w:r w:rsidRPr="00205C60">
              <w:rPr>
                <w:rFonts w:ascii="Verdana" w:hAnsi="Verdana" w:cs="Arial"/>
                <w:b/>
                <w:snapToGrid w:val="0"/>
                <w:sz w:val="22"/>
                <w:szCs w:val="22"/>
              </w:rPr>
              <w:t>Cálculo del indicador</w:t>
            </w:r>
          </w:p>
        </w:tc>
        <w:tc>
          <w:tcPr>
            <w:tcW w:w="139" w:type="pct"/>
            <w:tcBorders>
              <w:top w:val="single" w:sz="4" w:space="0" w:color="auto"/>
              <w:bottom w:val="single" w:sz="4" w:space="0" w:color="auto"/>
            </w:tcBorders>
            <w:shd w:val="solid" w:color="FFFFFF" w:fill="auto"/>
            <w:vAlign w:val="center"/>
          </w:tcPr>
          <w:p w14:paraId="3CA7E990" w14:textId="77777777" w:rsidR="009E4EBE" w:rsidRPr="00205C60" w:rsidRDefault="009E4EBE" w:rsidP="009E4EBE">
            <w:pPr>
              <w:jc w:val="center"/>
              <w:rPr>
                <w:rFonts w:ascii="Verdana" w:hAnsi="Verdana" w:cs="Arial"/>
                <w:b/>
                <w:snapToGrid w:val="0"/>
                <w:sz w:val="22"/>
                <w:szCs w:val="22"/>
              </w:rPr>
            </w:pPr>
          </w:p>
        </w:tc>
        <w:tc>
          <w:tcPr>
            <w:tcW w:w="1020" w:type="pct"/>
            <w:tcBorders>
              <w:top w:val="single" w:sz="4" w:space="0" w:color="auto"/>
              <w:bottom w:val="single" w:sz="4" w:space="0" w:color="auto"/>
            </w:tcBorders>
            <w:shd w:val="solid" w:color="FFFFFF" w:fill="auto"/>
            <w:vAlign w:val="center"/>
          </w:tcPr>
          <w:p w14:paraId="3CA7E991" w14:textId="77777777" w:rsidR="009E4EBE" w:rsidRPr="00205C60" w:rsidRDefault="009E4EBE" w:rsidP="009E4EBE">
            <w:pPr>
              <w:jc w:val="center"/>
              <w:rPr>
                <w:rFonts w:ascii="Verdana" w:hAnsi="Verdana" w:cs="Arial"/>
                <w:b/>
                <w:snapToGrid w:val="0"/>
                <w:sz w:val="22"/>
                <w:szCs w:val="22"/>
              </w:rPr>
            </w:pPr>
            <w:r w:rsidRPr="00205C60">
              <w:rPr>
                <w:rFonts w:ascii="Verdana" w:hAnsi="Verdana" w:cs="Arial"/>
                <w:b/>
                <w:snapToGrid w:val="0"/>
                <w:sz w:val="22"/>
                <w:szCs w:val="22"/>
              </w:rPr>
              <w:t>Resultados</w:t>
            </w:r>
          </w:p>
        </w:tc>
      </w:tr>
      <w:tr w:rsidR="009E4EBE" w:rsidRPr="00205C60" w14:paraId="3CA7E999" w14:textId="77777777" w:rsidTr="00072C9D">
        <w:trPr>
          <w:trHeight w:val="627"/>
        </w:trPr>
        <w:tc>
          <w:tcPr>
            <w:tcW w:w="542" w:type="pct"/>
            <w:tcBorders>
              <w:top w:val="single" w:sz="4" w:space="0" w:color="auto"/>
              <w:bottom w:val="single" w:sz="4" w:space="0" w:color="auto"/>
              <w:right w:val="single" w:sz="4" w:space="0" w:color="auto"/>
            </w:tcBorders>
            <w:shd w:val="solid" w:color="FFFFFF" w:fill="auto"/>
            <w:vAlign w:val="center"/>
          </w:tcPr>
          <w:p w14:paraId="3CA7E993" w14:textId="77777777" w:rsidR="009E4EBE" w:rsidRPr="00205C60" w:rsidRDefault="009E4EBE" w:rsidP="009E4EBE">
            <w:pPr>
              <w:jc w:val="center"/>
              <w:rPr>
                <w:rFonts w:ascii="Verdana" w:hAnsi="Verdana" w:cs="Arial"/>
                <w:b/>
                <w:bCs/>
                <w:snapToGrid w:val="0"/>
                <w:sz w:val="22"/>
                <w:szCs w:val="22"/>
              </w:rPr>
            </w:pPr>
            <w:r w:rsidRPr="00205C60">
              <w:rPr>
                <w:rFonts w:ascii="Verdana" w:hAnsi="Verdana" w:cs="Arial"/>
                <w:b/>
                <w:bCs/>
                <w:snapToGrid w:val="0"/>
                <w:sz w:val="22"/>
                <w:szCs w:val="22"/>
              </w:rPr>
              <w:t>Año</w:t>
            </w:r>
          </w:p>
        </w:tc>
        <w:tc>
          <w:tcPr>
            <w:tcW w:w="2022" w:type="pct"/>
            <w:tcBorders>
              <w:top w:val="single" w:sz="4" w:space="0" w:color="auto"/>
              <w:left w:val="single" w:sz="4" w:space="0" w:color="auto"/>
              <w:bottom w:val="single" w:sz="4" w:space="0" w:color="auto"/>
            </w:tcBorders>
            <w:shd w:val="solid" w:color="FFFFFF" w:fill="auto"/>
            <w:vAlign w:val="center"/>
          </w:tcPr>
          <w:p w14:paraId="3CA7E994" w14:textId="77777777" w:rsidR="009E4EBE" w:rsidRPr="00205C60" w:rsidRDefault="009E4EBE" w:rsidP="009E4EBE">
            <w:pPr>
              <w:jc w:val="center"/>
              <w:rPr>
                <w:rFonts w:ascii="Verdana" w:hAnsi="Verdana" w:cs="Arial"/>
                <w:b/>
                <w:bCs/>
                <w:snapToGrid w:val="0"/>
                <w:sz w:val="22"/>
                <w:szCs w:val="22"/>
              </w:rPr>
            </w:pPr>
            <w:r w:rsidRPr="00205C60">
              <w:rPr>
                <w:rFonts w:ascii="Verdana" w:hAnsi="Verdana" w:cs="Arial"/>
                <w:b/>
                <w:bCs/>
                <w:snapToGrid w:val="0"/>
                <w:sz w:val="22"/>
                <w:szCs w:val="22"/>
              </w:rPr>
              <w:t>Utilidad neta + Gastos Financieros</w:t>
            </w:r>
          </w:p>
        </w:tc>
        <w:tc>
          <w:tcPr>
            <w:tcW w:w="145" w:type="pct"/>
            <w:tcBorders>
              <w:top w:val="single" w:sz="4" w:space="0" w:color="auto"/>
              <w:bottom w:val="single" w:sz="4" w:space="0" w:color="auto"/>
            </w:tcBorders>
            <w:shd w:val="solid" w:color="FFFFFF" w:fill="auto"/>
            <w:vAlign w:val="center"/>
          </w:tcPr>
          <w:p w14:paraId="3CA7E995" w14:textId="77777777" w:rsidR="009E4EBE" w:rsidRPr="00205C60" w:rsidRDefault="009E4EBE" w:rsidP="009E4EBE">
            <w:pPr>
              <w:jc w:val="center"/>
              <w:rPr>
                <w:rFonts w:ascii="Verdana" w:hAnsi="Verdana" w:cs="Arial"/>
                <w:b/>
                <w:bCs/>
                <w:snapToGrid w:val="0"/>
                <w:sz w:val="22"/>
                <w:szCs w:val="22"/>
              </w:rPr>
            </w:pPr>
            <w:r w:rsidRPr="00205C60">
              <w:rPr>
                <w:rFonts w:ascii="Verdana" w:hAnsi="Verdana" w:cs="Arial"/>
                <w:b/>
                <w:bCs/>
                <w:snapToGrid w:val="0"/>
                <w:sz w:val="22"/>
                <w:szCs w:val="22"/>
              </w:rPr>
              <w:t>÷</w:t>
            </w:r>
          </w:p>
        </w:tc>
        <w:tc>
          <w:tcPr>
            <w:tcW w:w="1132" w:type="pct"/>
            <w:tcBorders>
              <w:top w:val="single" w:sz="4" w:space="0" w:color="auto"/>
              <w:bottom w:val="single" w:sz="4" w:space="0" w:color="auto"/>
            </w:tcBorders>
            <w:vAlign w:val="center"/>
          </w:tcPr>
          <w:p w14:paraId="3CA7E996" w14:textId="77777777" w:rsidR="009E4EBE" w:rsidRPr="00205C60" w:rsidRDefault="009E4EBE" w:rsidP="009E4EBE">
            <w:pPr>
              <w:jc w:val="center"/>
              <w:rPr>
                <w:rFonts w:ascii="Verdana" w:hAnsi="Verdana" w:cs="Arial"/>
                <w:b/>
                <w:bCs/>
                <w:snapToGrid w:val="0"/>
                <w:sz w:val="22"/>
                <w:szCs w:val="22"/>
              </w:rPr>
            </w:pPr>
            <w:r w:rsidRPr="00205C60">
              <w:rPr>
                <w:rFonts w:ascii="Verdana" w:hAnsi="Verdana" w:cs="Arial"/>
                <w:b/>
                <w:bCs/>
                <w:snapToGrid w:val="0"/>
                <w:sz w:val="22"/>
                <w:szCs w:val="22"/>
              </w:rPr>
              <w:t>Gastos Financieros</w:t>
            </w:r>
          </w:p>
        </w:tc>
        <w:tc>
          <w:tcPr>
            <w:tcW w:w="139" w:type="pct"/>
            <w:tcBorders>
              <w:top w:val="single" w:sz="4" w:space="0" w:color="auto"/>
              <w:bottom w:val="single" w:sz="4" w:space="0" w:color="auto"/>
            </w:tcBorders>
            <w:shd w:val="solid" w:color="FFFFFF" w:fill="auto"/>
            <w:vAlign w:val="center"/>
          </w:tcPr>
          <w:p w14:paraId="3CA7E997" w14:textId="77777777" w:rsidR="009E4EBE" w:rsidRPr="00205C60" w:rsidRDefault="009E4EBE" w:rsidP="009E4EBE">
            <w:pPr>
              <w:jc w:val="center"/>
              <w:rPr>
                <w:rFonts w:ascii="Verdana" w:hAnsi="Verdana" w:cs="Arial"/>
                <w:snapToGrid w:val="0"/>
                <w:sz w:val="22"/>
                <w:szCs w:val="22"/>
              </w:rPr>
            </w:pPr>
            <w:r w:rsidRPr="00205C60">
              <w:rPr>
                <w:rFonts w:ascii="Verdana" w:hAnsi="Verdana" w:cs="Arial"/>
                <w:snapToGrid w:val="0"/>
                <w:sz w:val="22"/>
                <w:szCs w:val="22"/>
              </w:rPr>
              <w:t>=</w:t>
            </w:r>
          </w:p>
        </w:tc>
        <w:tc>
          <w:tcPr>
            <w:tcW w:w="1020" w:type="pct"/>
            <w:tcBorders>
              <w:top w:val="single" w:sz="4" w:space="0" w:color="auto"/>
              <w:bottom w:val="single" w:sz="4" w:space="0" w:color="auto"/>
            </w:tcBorders>
            <w:shd w:val="solid" w:color="FFFFFF" w:fill="auto"/>
            <w:vAlign w:val="center"/>
          </w:tcPr>
          <w:p w14:paraId="3CA7E998" w14:textId="77777777" w:rsidR="009E4EBE" w:rsidRPr="00205C60" w:rsidRDefault="009E4EBE" w:rsidP="009E4EBE">
            <w:pPr>
              <w:jc w:val="center"/>
              <w:rPr>
                <w:rFonts w:ascii="Verdana" w:hAnsi="Verdana" w:cs="Arial"/>
                <w:b/>
                <w:bCs/>
                <w:snapToGrid w:val="0"/>
                <w:sz w:val="22"/>
                <w:szCs w:val="22"/>
              </w:rPr>
            </w:pPr>
            <w:r w:rsidRPr="00205C60">
              <w:rPr>
                <w:rFonts w:ascii="Verdana" w:hAnsi="Verdana" w:cs="Arial"/>
                <w:b/>
                <w:bCs/>
                <w:snapToGrid w:val="0"/>
                <w:sz w:val="22"/>
                <w:szCs w:val="22"/>
              </w:rPr>
              <w:t>Indicador (veces)</w:t>
            </w:r>
          </w:p>
        </w:tc>
      </w:tr>
      <w:tr w:rsidR="00EB51F9" w:rsidRPr="00205C60" w14:paraId="3CA7E9A7" w14:textId="77777777" w:rsidTr="00072C9D">
        <w:trPr>
          <w:trHeight w:val="221"/>
        </w:trPr>
        <w:tc>
          <w:tcPr>
            <w:tcW w:w="542" w:type="pct"/>
            <w:tcBorders>
              <w:top w:val="single" w:sz="4" w:space="0" w:color="auto"/>
              <w:bottom w:val="single" w:sz="4" w:space="0" w:color="auto"/>
              <w:right w:val="single" w:sz="4" w:space="0" w:color="auto"/>
            </w:tcBorders>
            <w:shd w:val="solid" w:color="FFFFFF" w:fill="auto"/>
            <w:vAlign w:val="center"/>
          </w:tcPr>
          <w:p w14:paraId="3CA7E9A1" w14:textId="6BC566EC" w:rsidR="00EB51F9" w:rsidRPr="00205C60" w:rsidRDefault="00EB51F9" w:rsidP="00EB51F9">
            <w:pPr>
              <w:jc w:val="center"/>
              <w:rPr>
                <w:rFonts w:ascii="Verdana" w:hAnsi="Verdana" w:cs="Arial"/>
                <w:snapToGrid w:val="0"/>
                <w:sz w:val="22"/>
                <w:szCs w:val="22"/>
              </w:rPr>
            </w:pPr>
            <w:r w:rsidRPr="00205C60">
              <w:rPr>
                <w:rFonts w:ascii="Verdana" w:hAnsi="Verdana" w:cs="Arial"/>
                <w:snapToGrid w:val="0"/>
                <w:sz w:val="22"/>
                <w:szCs w:val="22"/>
              </w:rPr>
              <w:t>2020</w:t>
            </w:r>
          </w:p>
        </w:tc>
        <w:tc>
          <w:tcPr>
            <w:tcW w:w="2022" w:type="pct"/>
            <w:tcBorders>
              <w:top w:val="single" w:sz="4" w:space="0" w:color="auto"/>
              <w:left w:val="single" w:sz="4" w:space="0" w:color="auto"/>
              <w:bottom w:val="single" w:sz="4" w:space="0" w:color="auto"/>
              <w:right w:val="single" w:sz="4" w:space="0" w:color="auto"/>
            </w:tcBorders>
            <w:shd w:val="solid" w:color="FFFFFF" w:fill="auto"/>
            <w:vAlign w:val="center"/>
          </w:tcPr>
          <w:p w14:paraId="3CA7E9A2" w14:textId="1D34EF70" w:rsidR="00EB51F9" w:rsidRPr="00205C60" w:rsidRDefault="00EB51F9" w:rsidP="00EB51F9">
            <w:pPr>
              <w:jc w:val="center"/>
              <w:rPr>
                <w:rFonts w:ascii="Verdana" w:hAnsi="Verdana" w:cs="Arial"/>
                <w:bCs/>
                <w:snapToGrid w:val="0"/>
                <w:sz w:val="22"/>
                <w:szCs w:val="22"/>
              </w:rPr>
            </w:pPr>
            <w:r w:rsidRPr="00205C60">
              <w:rPr>
                <w:rFonts w:ascii="Verdana" w:hAnsi="Verdana" w:cs="Arial"/>
                <w:bCs/>
                <w:snapToGrid w:val="0"/>
                <w:sz w:val="22"/>
                <w:szCs w:val="22"/>
              </w:rPr>
              <w:t>28.479.978</w:t>
            </w:r>
          </w:p>
        </w:tc>
        <w:tc>
          <w:tcPr>
            <w:tcW w:w="145" w:type="pct"/>
            <w:tcBorders>
              <w:top w:val="single" w:sz="4" w:space="0" w:color="auto"/>
              <w:left w:val="single" w:sz="4" w:space="0" w:color="auto"/>
              <w:bottom w:val="single" w:sz="4" w:space="0" w:color="auto"/>
            </w:tcBorders>
            <w:shd w:val="solid" w:color="FFFFFF" w:fill="auto"/>
            <w:vAlign w:val="center"/>
          </w:tcPr>
          <w:p w14:paraId="3CA7E9A3" w14:textId="77777777" w:rsidR="00EB51F9" w:rsidRPr="00205C60" w:rsidRDefault="00EB51F9" w:rsidP="00EB51F9">
            <w:pPr>
              <w:jc w:val="center"/>
              <w:rPr>
                <w:rFonts w:ascii="Verdana" w:hAnsi="Verdana" w:cs="Arial"/>
                <w:snapToGrid w:val="0"/>
                <w:sz w:val="22"/>
                <w:szCs w:val="22"/>
              </w:rPr>
            </w:pPr>
          </w:p>
        </w:tc>
        <w:tc>
          <w:tcPr>
            <w:tcW w:w="1132" w:type="pct"/>
            <w:tcBorders>
              <w:top w:val="single" w:sz="4" w:space="0" w:color="auto"/>
              <w:bottom w:val="single" w:sz="4" w:space="0" w:color="auto"/>
            </w:tcBorders>
            <w:vAlign w:val="center"/>
          </w:tcPr>
          <w:p w14:paraId="3CA7E9A4" w14:textId="2B81156B" w:rsidR="00EB51F9" w:rsidRPr="00205C60" w:rsidRDefault="00EB51F9" w:rsidP="00EB51F9">
            <w:pPr>
              <w:jc w:val="center"/>
              <w:rPr>
                <w:rFonts w:ascii="Verdana" w:hAnsi="Verdana" w:cs="Arial"/>
                <w:snapToGrid w:val="0"/>
                <w:sz w:val="22"/>
                <w:szCs w:val="22"/>
              </w:rPr>
            </w:pPr>
            <w:r w:rsidRPr="00205C60">
              <w:rPr>
                <w:rFonts w:ascii="Verdana" w:hAnsi="Verdana" w:cs="Arial"/>
                <w:snapToGrid w:val="0"/>
                <w:sz w:val="22"/>
                <w:szCs w:val="22"/>
              </w:rPr>
              <w:t>20.135.108</w:t>
            </w:r>
          </w:p>
        </w:tc>
        <w:tc>
          <w:tcPr>
            <w:tcW w:w="139" w:type="pct"/>
            <w:tcBorders>
              <w:top w:val="single" w:sz="4" w:space="0" w:color="auto"/>
              <w:bottom w:val="single" w:sz="4" w:space="0" w:color="auto"/>
              <w:right w:val="single" w:sz="4" w:space="0" w:color="auto"/>
            </w:tcBorders>
            <w:shd w:val="solid" w:color="FFFFFF" w:fill="auto"/>
            <w:vAlign w:val="center"/>
          </w:tcPr>
          <w:p w14:paraId="3CA7E9A5" w14:textId="77777777" w:rsidR="00EB51F9" w:rsidRPr="00205C60" w:rsidRDefault="00EB51F9" w:rsidP="00EB51F9">
            <w:pPr>
              <w:jc w:val="center"/>
              <w:rPr>
                <w:rFonts w:ascii="Verdana" w:hAnsi="Verdana" w:cs="Arial"/>
                <w:snapToGrid w:val="0"/>
                <w:sz w:val="22"/>
                <w:szCs w:val="22"/>
              </w:rPr>
            </w:pPr>
          </w:p>
        </w:tc>
        <w:tc>
          <w:tcPr>
            <w:tcW w:w="1020" w:type="pct"/>
            <w:tcBorders>
              <w:top w:val="single" w:sz="4" w:space="0" w:color="auto"/>
              <w:left w:val="single" w:sz="4" w:space="0" w:color="auto"/>
              <w:bottom w:val="single" w:sz="4" w:space="0" w:color="auto"/>
            </w:tcBorders>
            <w:shd w:val="solid" w:color="FFFFFF" w:fill="auto"/>
            <w:vAlign w:val="center"/>
          </w:tcPr>
          <w:p w14:paraId="3CA7E9A6" w14:textId="5DDBD0FC" w:rsidR="00EB51F9" w:rsidRPr="00205C60" w:rsidRDefault="00EB51F9" w:rsidP="00EB51F9">
            <w:pPr>
              <w:jc w:val="center"/>
              <w:rPr>
                <w:rFonts w:ascii="Verdana" w:hAnsi="Verdana" w:cs="Arial"/>
                <w:snapToGrid w:val="0"/>
                <w:sz w:val="22"/>
                <w:szCs w:val="22"/>
              </w:rPr>
            </w:pPr>
            <w:r w:rsidRPr="00205C60">
              <w:rPr>
                <w:rFonts w:ascii="Verdana" w:hAnsi="Verdana" w:cs="Arial"/>
                <w:snapToGrid w:val="0"/>
                <w:sz w:val="22"/>
                <w:szCs w:val="22"/>
              </w:rPr>
              <w:t>1,41</w:t>
            </w:r>
          </w:p>
        </w:tc>
      </w:tr>
      <w:tr w:rsidR="00EB51F9" w:rsidRPr="00205C60" w14:paraId="3CA7E9AE" w14:textId="77777777" w:rsidTr="00072C9D">
        <w:trPr>
          <w:trHeight w:val="221"/>
        </w:trPr>
        <w:tc>
          <w:tcPr>
            <w:tcW w:w="542" w:type="pct"/>
            <w:tcBorders>
              <w:top w:val="single" w:sz="4" w:space="0" w:color="auto"/>
              <w:bottom w:val="single" w:sz="4" w:space="0" w:color="auto"/>
              <w:right w:val="single" w:sz="4" w:space="0" w:color="auto"/>
            </w:tcBorders>
            <w:shd w:val="solid" w:color="FFFFFF" w:fill="auto"/>
            <w:vAlign w:val="center"/>
          </w:tcPr>
          <w:p w14:paraId="3CA7E9A8" w14:textId="2EA1AAB6" w:rsidR="00EB51F9" w:rsidRPr="00205C60" w:rsidRDefault="00EB51F9" w:rsidP="00EB51F9">
            <w:pPr>
              <w:jc w:val="center"/>
              <w:rPr>
                <w:rFonts w:ascii="Verdana" w:hAnsi="Verdana" w:cs="Arial"/>
                <w:snapToGrid w:val="0"/>
                <w:sz w:val="22"/>
                <w:szCs w:val="22"/>
              </w:rPr>
            </w:pPr>
            <w:r w:rsidRPr="00205C60">
              <w:rPr>
                <w:rFonts w:ascii="Verdana" w:hAnsi="Verdana" w:cs="Arial"/>
                <w:snapToGrid w:val="0"/>
                <w:sz w:val="22"/>
                <w:szCs w:val="22"/>
              </w:rPr>
              <w:t>2021</w:t>
            </w:r>
          </w:p>
        </w:tc>
        <w:tc>
          <w:tcPr>
            <w:tcW w:w="2022" w:type="pct"/>
            <w:tcBorders>
              <w:top w:val="single" w:sz="4" w:space="0" w:color="auto"/>
              <w:left w:val="single" w:sz="4" w:space="0" w:color="auto"/>
              <w:bottom w:val="single" w:sz="4" w:space="0" w:color="auto"/>
              <w:right w:val="single" w:sz="4" w:space="0" w:color="auto"/>
            </w:tcBorders>
            <w:shd w:val="solid" w:color="FFFFFF" w:fill="auto"/>
            <w:vAlign w:val="center"/>
          </w:tcPr>
          <w:p w14:paraId="3CA7E9A9" w14:textId="362C1B17" w:rsidR="00EB51F9" w:rsidRPr="00205C60" w:rsidRDefault="00EB51F9" w:rsidP="00EB51F9">
            <w:pPr>
              <w:jc w:val="center"/>
              <w:rPr>
                <w:rFonts w:ascii="Verdana" w:hAnsi="Verdana" w:cs="Arial"/>
                <w:bCs/>
                <w:snapToGrid w:val="0"/>
                <w:sz w:val="22"/>
                <w:szCs w:val="22"/>
              </w:rPr>
            </w:pPr>
            <w:r w:rsidRPr="00205C60">
              <w:rPr>
                <w:rFonts w:ascii="Verdana" w:hAnsi="Verdana" w:cs="Arial"/>
                <w:bCs/>
                <w:snapToGrid w:val="0"/>
                <w:sz w:val="22"/>
                <w:szCs w:val="22"/>
              </w:rPr>
              <w:t>2.584.137</w:t>
            </w:r>
          </w:p>
        </w:tc>
        <w:tc>
          <w:tcPr>
            <w:tcW w:w="145" w:type="pct"/>
            <w:tcBorders>
              <w:top w:val="single" w:sz="4" w:space="0" w:color="auto"/>
              <w:left w:val="single" w:sz="4" w:space="0" w:color="auto"/>
              <w:bottom w:val="single" w:sz="4" w:space="0" w:color="auto"/>
            </w:tcBorders>
            <w:shd w:val="solid" w:color="FFFFFF" w:fill="auto"/>
            <w:vAlign w:val="center"/>
          </w:tcPr>
          <w:p w14:paraId="3CA7E9AA" w14:textId="77777777" w:rsidR="00EB51F9" w:rsidRPr="00205C60" w:rsidRDefault="00EB51F9" w:rsidP="00EB51F9">
            <w:pPr>
              <w:jc w:val="center"/>
              <w:rPr>
                <w:rFonts w:ascii="Verdana" w:hAnsi="Verdana" w:cs="Arial"/>
                <w:snapToGrid w:val="0"/>
                <w:sz w:val="22"/>
                <w:szCs w:val="22"/>
              </w:rPr>
            </w:pPr>
          </w:p>
        </w:tc>
        <w:tc>
          <w:tcPr>
            <w:tcW w:w="1132" w:type="pct"/>
            <w:tcBorders>
              <w:top w:val="single" w:sz="4" w:space="0" w:color="auto"/>
              <w:bottom w:val="single" w:sz="4" w:space="0" w:color="auto"/>
            </w:tcBorders>
            <w:vAlign w:val="center"/>
          </w:tcPr>
          <w:p w14:paraId="3CA7E9AB" w14:textId="1520A9A5" w:rsidR="00EB51F9" w:rsidRPr="00205C60" w:rsidRDefault="00EB51F9" w:rsidP="00EB51F9">
            <w:pPr>
              <w:jc w:val="center"/>
              <w:rPr>
                <w:rFonts w:ascii="Verdana" w:hAnsi="Verdana" w:cs="Arial"/>
                <w:snapToGrid w:val="0"/>
                <w:sz w:val="22"/>
                <w:szCs w:val="22"/>
              </w:rPr>
            </w:pPr>
            <w:r w:rsidRPr="00205C60">
              <w:rPr>
                <w:rFonts w:ascii="Verdana" w:hAnsi="Verdana" w:cs="Arial"/>
                <w:snapToGrid w:val="0"/>
                <w:sz w:val="22"/>
                <w:szCs w:val="22"/>
              </w:rPr>
              <w:t>14.779.562</w:t>
            </w:r>
          </w:p>
        </w:tc>
        <w:tc>
          <w:tcPr>
            <w:tcW w:w="139" w:type="pct"/>
            <w:tcBorders>
              <w:top w:val="single" w:sz="4" w:space="0" w:color="auto"/>
              <w:bottom w:val="single" w:sz="4" w:space="0" w:color="auto"/>
              <w:right w:val="single" w:sz="4" w:space="0" w:color="auto"/>
            </w:tcBorders>
            <w:shd w:val="solid" w:color="FFFFFF" w:fill="auto"/>
            <w:vAlign w:val="center"/>
          </w:tcPr>
          <w:p w14:paraId="3CA7E9AC" w14:textId="77777777" w:rsidR="00EB51F9" w:rsidRPr="00205C60" w:rsidRDefault="00EB51F9" w:rsidP="00EB51F9">
            <w:pPr>
              <w:jc w:val="center"/>
              <w:rPr>
                <w:rFonts w:ascii="Verdana" w:hAnsi="Verdana" w:cs="Arial"/>
                <w:snapToGrid w:val="0"/>
                <w:sz w:val="22"/>
                <w:szCs w:val="22"/>
              </w:rPr>
            </w:pPr>
          </w:p>
        </w:tc>
        <w:tc>
          <w:tcPr>
            <w:tcW w:w="1020" w:type="pct"/>
            <w:tcBorders>
              <w:top w:val="single" w:sz="4" w:space="0" w:color="auto"/>
              <w:left w:val="single" w:sz="4" w:space="0" w:color="auto"/>
              <w:bottom w:val="single" w:sz="4" w:space="0" w:color="auto"/>
            </w:tcBorders>
            <w:shd w:val="solid" w:color="FFFFFF" w:fill="auto"/>
            <w:vAlign w:val="center"/>
          </w:tcPr>
          <w:p w14:paraId="3CA7E9AD" w14:textId="536F2076" w:rsidR="00EB51F9" w:rsidRPr="00205C60" w:rsidRDefault="00EB51F9" w:rsidP="00EB51F9">
            <w:pPr>
              <w:jc w:val="center"/>
              <w:rPr>
                <w:rFonts w:ascii="Verdana" w:hAnsi="Verdana" w:cs="Arial"/>
                <w:snapToGrid w:val="0"/>
                <w:sz w:val="22"/>
                <w:szCs w:val="22"/>
              </w:rPr>
            </w:pPr>
            <w:r w:rsidRPr="00205C60">
              <w:rPr>
                <w:rFonts w:ascii="Verdana" w:hAnsi="Verdana" w:cs="Arial"/>
                <w:snapToGrid w:val="0"/>
                <w:sz w:val="22"/>
                <w:szCs w:val="22"/>
              </w:rPr>
              <w:t>0,17</w:t>
            </w:r>
          </w:p>
        </w:tc>
      </w:tr>
      <w:tr w:rsidR="002511B6" w:rsidRPr="00205C60" w14:paraId="647B692A" w14:textId="77777777" w:rsidTr="00072C9D">
        <w:trPr>
          <w:trHeight w:val="221"/>
        </w:trPr>
        <w:tc>
          <w:tcPr>
            <w:tcW w:w="542" w:type="pct"/>
            <w:tcBorders>
              <w:top w:val="single" w:sz="4" w:space="0" w:color="auto"/>
              <w:bottom w:val="single" w:sz="4" w:space="0" w:color="auto"/>
              <w:right w:val="single" w:sz="4" w:space="0" w:color="auto"/>
            </w:tcBorders>
            <w:shd w:val="solid" w:color="FFFFFF" w:fill="auto"/>
            <w:vAlign w:val="center"/>
          </w:tcPr>
          <w:p w14:paraId="006058EF" w14:textId="3712DACA" w:rsidR="002511B6" w:rsidRPr="00205C60" w:rsidRDefault="002511B6" w:rsidP="009E4EBE">
            <w:pPr>
              <w:jc w:val="center"/>
              <w:rPr>
                <w:rFonts w:ascii="Verdana" w:hAnsi="Verdana" w:cs="Arial"/>
                <w:snapToGrid w:val="0"/>
                <w:sz w:val="22"/>
                <w:szCs w:val="22"/>
              </w:rPr>
            </w:pPr>
            <w:r w:rsidRPr="00205C60">
              <w:rPr>
                <w:rFonts w:ascii="Verdana" w:hAnsi="Verdana" w:cs="Arial"/>
                <w:snapToGrid w:val="0"/>
                <w:sz w:val="22"/>
                <w:szCs w:val="22"/>
              </w:rPr>
              <w:t>202</w:t>
            </w:r>
            <w:r w:rsidR="00EB51F9" w:rsidRPr="00205C60">
              <w:rPr>
                <w:rFonts w:ascii="Verdana" w:hAnsi="Verdana" w:cs="Arial"/>
                <w:snapToGrid w:val="0"/>
                <w:sz w:val="22"/>
                <w:szCs w:val="22"/>
              </w:rPr>
              <w:t>2</w:t>
            </w:r>
          </w:p>
        </w:tc>
        <w:tc>
          <w:tcPr>
            <w:tcW w:w="2022" w:type="pct"/>
            <w:tcBorders>
              <w:top w:val="single" w:sz="4" w:space="0" w:color="auto"/>
              <w:left w:val="single" w:sz="4" w:space="0" w:color="auto"/>
              <w:bottom w:val="single" w:sz="4" w:space="0" w:color="auto"/>
              <w:right w:val="single" w:sz="4" w:space="0" w:color="auto"/>
            </w:tcBorders>
            <w:shd w:val="solid" w:color="FFFFFF" w:fill="auto"/>
            <w:vAlign w:val="center"/>
          </w:tcPr>
          <w:p w14:paraId="0B40855F" w14:textId="501006BF" w:rsidR="002511B6" w:rsidRPr="00205C60" w:rsidRDefault="00FD5EA1" w:rsidP="009E4EBE">
            <w:pPr>
              <w:jc w:val="center"/>
              <w:rPr>
                <w:rFonts w:ascii="Verdana" w:hAnsi="Verdana" w:cs="Arial"/>
                <w:bCs/>
                <w:snapToGrid w:val="0"/>
                <w:sz w:val="22"/>
                <w:szCs w:val="22"/>
              </w:rPr>
            </w:pPr>
            <w:r w:rsidRPr="00205C60">
              <w:rPr>
                <w:rFonts w:ascii="Verdana" w:hAnsi="Verdana" w:cs="Arial"/>
                <w:bCs/>
                <w:snapToGrid w:val="0"/>
                <w:sz w:val="22"/>
                <w:szCs w:val="22"/>
              </w:rPr>
              <w:t>33</w:t>
            </w:r>
            <w:r w:rsidR="00230E9F" w:rsidRPr="00205C60">
              <w:rPr>
                <w:rFonts w:ascii="Verdana" w:hAnsi="Verdana" w:cs="Arial"/>
                <w:bCs/>
                <w:snapToGrid w:val="0"/>
                <w:sz w:val="22"/>
                <w:szCs w:val="22"/>
              </w:rPr>
              <w:t>.</w:t>
            </w:r>
            <w:r w:rsidRPr="00205C60">
              <w:rPr>
                <w:rFonts w:ascii="Verdana" w:hAnsi="Verdana" w:cs="Arial"/>
                <w:bCs/>
                <w:snapToGrid w:val="0"/>
                <w:sz w:val="22"/>
                <w:szCs w:val="22"/>
              </w:rPr>
              <w:t>105</w:t>
            </w:r>
            <w:r w:rsidR="00230E9F" w:rsidRPr="00205C60">
              <w:rPr>
                <w:rFonts w:ascii="Verdana" w:hAnsi="Verdana" w:cs="Arial"/>
                <w:bCs/>
                <w:snapToGrid w:val="0"/>
                <w:sz w:val="22"/>
                <w:szCs w:val="22"/>
              </w:rPr>
              <w:t>.</w:t>
            </w:r>
            <w:r w:rsidRPr="00205C60">
              <w:rPr>
                <w:rFonts w:ascii="Verdana" w:hAnsi="Verdana" w:cs="Arial"/>
                <w:bCs/>
                <w:snapToGrid w:val="0"/>
                <w:sz w:val="22"/>
                <w:szCs w:val="22"/>
              </w:rPr>
              <w:t>938</w:t>
            </w:r>
          </w:p>
        </w:tc>
        <w:tc>
          <w:tcPr>
            <w:tcW w:w="145" w:type="pct"/>
            <w:tcBorders>
              <w:top w:val="single" w:sz="4" w:space="0" w:color="auto"/>
              <w:left w:val="single" w:sz="4" w:space="0" w:color="auto"/>
              <w:bottom w:val="single" w:sz="4" w:space="0" w:color="auto"/>
            </w:tcBorders>
            <w:shd w:val="solid" w:color="FFFFFF" w:fill="auto"/>
            <w:vAlign w:val="center"/>
          </w:tcPr>
          <w:p w14:paraId="454937FF" w14:textId="77777777" w:rsidR="002511B6" w:rsidRPr="00205C60" w:rsidRDefault="002511B6" w:rsidP="009E4EBE">
            <w:pPr>
              <w:jc w:val="center"/>
              <w:rPr>
                <w:rFonts w:ascii="Verdana" w:hAnsi="Verdana" w:cs="Arial"/>
                <w:snapToGrid w:val="0"/>
                <w:sz w:val="22"/>
                <w:szCs w:val="22"/>
              </w:rPr>
            </w:pPr>
          </w:p>
        </w:tc>
        <w:tc>
          <w:tcPr>
            <w:tcW w:w="1132" w:type="pct"/>
            <w:tcBorders>
              <w:top w:val="single" w:sz="4" w:space="0" w:color="auto"/>
              <w:bottom w:val="single" w:sz="4" w:space="0" w:color="auto"/>
            </w:tcBorders>
            <w:vAlign w:val="center"/>
          </w:tcPr>
          <w:p w14:paraId="24F6197B" w14:textId="655EEFAB" w:rsidR="002511B6" w:rsidRPr="00205C60" w:rsidRDefault="00230E9F" w:rsidP="009E4EBE">
            <w:pPr>
              <w:jc w:val="center"/>
              <w:rPr>
                <w:rFonts w:ascii="Verdana" w:hAnsi="Verdana" w:cs="Arial"/>
                <w:snapToGrid w:val="0"/>
                <w:sz w:val="22"/>
                <w:szCs w:val="22"/>
              </w:rPr>
            </w:pPr>
            <w:r w:rsidRPr="00205C60">
              <w:rPr>
                <w:rFonts w:ascii="Verdana" w:hAnsi="Verdana" w:cs="Arial"/>
                <w:snapToGrid w:val="0"/>
                <w:sz w:val="22"/>
                <w:szCs w:val="22"/>
              </w:rPr>
              <w:t>1</w:t>
            </w:r>
            <w:r w:rsidR="00FD5EA1" w:rsidRPr="00205C60">
              <w:rPr>
                <w:rFonts w:ascii="Verdana" w:hAnsi="Verdana" w:cs="Arial"/>
                <w:snapToGrid w:val="0"/>
                <w:sz w:val="22"/>
                <w:szCs w:val="22"/>
              </w:rPr>
              <w:t>2</w:t>
            </w:r>
            <w:r w:rsidRPr="00205C60">
              <w:rPr>
                <w:rFonts w:ascii="Verdana" w:hAnsi="Verdana" w:cs="Arial"/>
                <w:snapToGrid w:val="0"/>
                <w:sz w:val="22"/>
                <w:szCs w:val="22"/>
              </w:rPr>
              <w:t>.7</w:t>
            </w:r>
            <w:r w:rsidR="00FD5EA1" w:rsidRPr="00205C60">
              <w:rPr>
                <w:rFonts w:ascii="Verdana" w:hAnsi="Verdana" w:cs="Arial"/>
                <w:snapToGrid w:val="0"/>
                <w:sz w:val="22"/>
                <w:szCs w:val="22"/>
              </w:rPr>
              <w:t>62</w:t>
            </w:r>
            <w:r w:rsidRPr="00205C60">
              <w:rPr>
                <w:rFonts w:ascii="Verdana" w:hAnsi="Verdana" w:cs="Arial"/>
                <w:snapToGrid w:val="0"/>
                <w:sz w:val="22"/>
                <w:szCs w:val="22"/>
              </w:rPr>
              <w:t>.</w:t>
            </w:r>
            <w:r w:rsidR="00FD5EA1" w:rsidRPr="00205C60">
              <w:rPr>
                <w:rFonts w:ascii="Verdana" w:hAnsi="Verdana" w:cs="Arial"/>
                <w:snapToGrid w:val="0"/>
                <w:sz w:val="22"/>
                <w:szCs w:val="22"/>
              </w:rPr>
              <w:t>91</w:t>
            </w:r>
            <w:r w:rsidRPr="00205C60">
              <w:rPr>
                <w:rFonts w:ascii="Verdana" w:hAnsi="Verdana" w:cs="Arial"/>
                <w:snapToGrid w:val="0"/>
                <w:sz w:val="22"/>
                <w:szCs w:val="22"/>
              </w:rPr>
              <w:t>2</w:t>
            </w:r>
          </w:p>
        </w:tc>
        <w:tc>
          <w:tcPr>
            <w:tcW w:w="139" w:type="pct"/>
            <w:tcBorders>
              <w:top w:val="single" w:sz="4" w:space="0" w:color="auto"/>
              <w:bottom w:val="single" w:sz="4" w:space="0" w:color="auto"/>
              <w:right w:val="single" w:sz="4" w:space="0" w:color="auto"/>
            </w:tcBorders>
            <w:shd w:val="solid" w:color="FFFFFF" w:fill="auto"/>
            <w:vAlign w:val="center"/>
          </w:tcPr>
          <w:p w14:paraId="103C44CD" w14:textId="77777777" w:rsidR="002511B6" w:rsidRPr="00205C60" w:rsidRDefault="002511B6" w:rsidP="009E4EBE">
            <w:pPr>
              <w:jc w:val="center"/>
              <w:rPr>
                <w:rFonts w:ascii="Verdana" w:hAnsi="Verdana" w:cs="Arial"/>
                <w:snapToGrid w:val="0"/>
                <w:sz w:val="22"/>
                <w:szCs w:val="22"/>
              </w:rPr>
            </w:pPr>
          </w:p>
        </w:tc>
        <w:tc>
          <w:tcPr>
            <w:tcW w:w="1020" w:type="pct"/>
            <w:tcBorders>
              <w:top w:val="single" w:sz="4" w:space="0" w:color="auto"/>
              <w:left w:val="single" w:sz="4" w:space="0" w:color="auto"/>
              <w:bottom w:val="single" w:sz="4" w:space="0" w:color="auto"/>
            </w:tcBorders>
            <w:shd w:val="solid" w:color="FFFFFF" w:fill="auto"/>
            <w:vAlign w:val="center"/>
          </w:tcPr>
          <w:p w14:paraId="73281A07" w14:textId="6507912C" w:rsidR="002511B6" w:rsidRPr="00205C60" w:rsidRDefault="00FD5EA1" w:rsidP="009E4EBE">
            <w:pPr>
              <w:jc w:val="center"/>
              <w:rPr>
                <w:rFonts w:ascii="Verdana" w:hAnsi="Verdana" w:cs="Arial"/>
                <w:snapToGrid w:val="0"/>
                <w:sz w:val="22"/>
                <w:szCs w:val="22"/>
              </w:rPr>
            </w:pPr>
            <w:r w:rsidRPr="00205C60">
              <w:rPr>
                <w:rFonts w:ascii="Verdana" w:hAnsi="Verdana" w:cs="Arial"/>
                <w:snapToGrid w:val="0"/>
                <w:sz w:val="22"/>
                <w:szCs w:val="22"/>
              </w:rPr>
              <w:t>2</w:t>
            </w:r>
            <w:r w:rsidR="0042665C" w:rsidRPr="00205C60">
              <w:rPr>
                <w:rFonts w:ascii="Verdana" w:hAnsi="Verdana" w:cs="Arial"/>
                <w:snapToGrid w:val="0"/>
                <w:sz w:val="22"/>
                <w:szCs w:val="22"/>
              </w:rPr>
              <w:t>,</w:t>
            </w:r>
            <w:r w:rsidRPr="00205C60">
              <w:rPr>
                <w:rFonts w:ascii="Verdana" w:hAnsi="Verdana" w:cs="Arial"/>
                <w:snapToGrid w:val="0"/>
                <w:sz w:val="22"/>
                <w:szCs w:val="22"/>
              </w:rPr>
              <w:t>59</w:t>
            </w:r>
          </w:p>
        </w:tc>
      </w:tr>
    </w:tbl>
    <w:p w14:paraId="3CA7E9AF" w14:textId="77777777" w:rsidR="00B21EE6" w:rsidRPr="00205C60" w:rsidRDefault="00B21EE6" w:rsidP="0029229B">
      <w:pPr>
        <w:pStyle w:val="Sangradetextonormal"/>
        <w:spacing w:line="240" w:lineRule="auto"/>
        <w:ind w:left="0"/>
        <w:jc w:val="both"/>
        <w:rPr>
          <w:rFonts w:ascii="Verdana" w:hAnsi="Verdana" w:cs="Arial"/>
          <w:b w:val="0"/>
          <w:color w:val="auto"/>
          <w:sz w:val="22"/>
          <w:szCs w:val="22"/>
          <w:lang w:val="es-ES"/>
        </w:rPr>
      </w:pPr>
      <w:bookmarkStart w:id="103" w:name="OLE_LINK1"/>
      <w:bookmarkStart w:id="104" w:name="OLE_LINK2"/>
    </w:p>
    <w:bookmarkEnd w:id="103"/>
    <w:bookmarkEnd w:id="104"/>
    <w:p w14:paraId="3CA7E9B0" w14:textId="38D15175" w:rsidR="004B1C01" w:rsidRPr="00205C60" w:rsidRDefault="001A5DB8" w:rsidP="006A3F8C">
      <w:pPr>
        <w:jc w:val="both"/>
        <w:rPr>
          <w:rFonts w:ascii="Verdana" w:hAnsi="Verdana" w:cs="Arial"/>
          <w:sz w:val="22"/>
          <w:szCs w:val="22"/>
        </w:rPr>
      </w:pPr>
      <w:r w:rsidRPr="00205C60">
        <w:rPr>
          <w:rFonts w:ascii="Verdana" w:hAnsi="Verdana" w:cs="Arial"/>
          <w:sz w:val="22"/>
          <w:szCs w:val="22"/>
        </w:rPr>
        <w:t>En el año 20</w:t>
      </w:r>
      <w:r w:rsidR="008B7ADE" w:rsidRPr="00205C60">
        <w:rPr>
          <w:rFonts w:ascii="Verdana" w:hAnsi="Verdana" w:cs="Arial"/>
          <w:sz w:val="22"/>
          <w:szCs w:val="22"/>
        </w:rPr>
        <w:t>2</w:t>
      </w:r>
      <w:r w:rsidR="00FD5EA1" w:rsidRPr="00205C60">
        <w:rPr>
          <w:rFonts w:ascii="Verdana" w:hAnsi="Verdana" w:cs="Arial"/>
          <w:sz w:val="22"/>
          <w:szCs w:val="22"/>
        </w:rPr>
        <w:t>2</w:t>
      </w:r>
      <w:r w:rsidR="003112B0" w:rsidRPr="00205C60">
        <w:rPr>
          <w:rFonts w:ascii="Verdana" w:hAnsi="Verdana" w:cs="Arial"/>
          <w:sz w:val="22"/>
          <w:szCs w:val="22"/>
        </w:rPr>
        <w:t xml:space="preserve"> </w:t>
      </w:r>
      <w:r w:rsidRPr="00205C60">
        <w:rPr>
          <w:rFonts w:ascii="Verdana" w:hAnsi="Verdana" w:cs="Arial"/>
          <w:sz w:val="22"/>
          <w:szCs w:val="22"/>
        </w:rPr>
        <w:t xml:space="preserve">se </w:t>
      </w:r>
      <w:r w:rsidR="00AD74A5" w:rsidRPr="00205C60">
        <w:rPr>
          <w:rFonts w:ascii="Verdana" w:hAnsi="Verdana" w:cs="Arial"/>
          <w:sz w:val="22"/>
          <w:szCs w:val="22"/>
        </w:rPr>
        <w:t xml:space="preserve">presenta </w:t>
      </w:r>
      <w:r w:rsidR="008A27CC" w:rsidRPr="00205C60">
        <w:rPr>
          <w:rFonts w:ascii="Verdana" w:hAnsi="Verdana" w:cs="Arial"/>
          <w:sz w:val="22"/>
          <w:szCs w:val="22"/>
        </w:rPr>
        <w:t>un aumento</w:t>
      </w:r>
      <w:r w:rsidR="00AD74A5" w:rsidRPr="00205C60">
        <w:rPr>
          <w:rFonts w:ascii="Verdana" w:hAnsi="Verdana" w:cs="Arial"/>
          <w:sz w:val="22"/>
          <w:szCs w:val="22"/>
        </w:rPr>
        <w:t xml:space="preserve"> con respecto al año anterior</w:t>
      </w:r>
      <w:r w:rsidR="001A46A7" w:rsidRPr="00205C60">
        <w:rPr>
          <w:rFonts w:ascii="Verdana" w:hAnsi="Verdana" w:cs="Arial"/>
          <w:sz w:val="22"/>
          <w:szCs w:val="22"/>
        </w:rPr>
        <w:t xml:space="preserve"> en la </w:t>
      </w:r>
      <w:r w:rsidRPr="00205C60">
        <w:rPr>
          <w:rFonts w:ascii="Verdana" w:hAnsi="Verdana" w:cs="Arial"/>
          <w:sz w:val="22"/>
          <w:szCs w:val="22"/>
        </w:rPr>
        <w:t>relación “veces que se cubre la carga financiera”</w:t>
      </w:r>
      <w:r w:rsidR="00072C9D" w:rsidRPr="00205C60">
        <w:rPr>
          <w:rFonts w:ascii="Verdana" w:hAnsi="Verdana" w:cs="Arial"/>
          <w:sz w:val="22"/>
          <w:szCs w:val="22"/>
        </w:rPr>
        <w:t xml:space="preserve">, </w:t>
      </w:r>
      <w:r w:rsidRPr="00205C60">
        <w:rPr>
          <w:rFonts w:ascii="Verdana" w:hAnsi="Verdana" w:cs="Arial"/>
          <w:sz w:val="22"/>
          <w:szCs w:val="22"/>
        </w:rPr>
        <w:t xml:space="preserve">debido </w:t>
      </w:r>
      <w:r w:rsidR="003112B0" w:rsidRPr="00205C60">
        <w:rPr>
          <w:rFonts w:ascii="Verdana" w:hAnsi="Verdana" w:cs="Arial"/>
          <w:sz w:val="22"/>
          <w:szCs w:val="22"/>
        </w:rPr>
        <w:t>a</w:t>
      </w:r>
      <w:r w:rsidR="008B7ADE" w:rsidRPr="00205C60">
        <w:rPr>
          <w:rFonts w:ascii="Verdana" w:hAnsi="Verdana" w:cs="Arial"/>
          <w:sz w:val="22"/>
          <w:szCs w:val="22"/>
        </w:rPr>
        <w:t xml:space="preserve">l </w:t>
      </w:r>
      <w:r w:rsidR="001A46A7" w:rsidRPr="00205C60">
        <w:rPr>
          <w:rFonts w:ascii="Verdana" w:hAnsi="Verdana" w:cs="Arial"/>
          <w:sz w:val="22"/>
          <w:szCs w:val="22"/>
        </w:rPr>
        <w:t>crecimiento</w:t>
      </w:r>
      <w:r w:rsidR="008B7ADE" w:rsidRPr="00205C60">
        <w:rPr>
          <w:rFonts w:ascii="Verdana" w:hAnsi="Verdana" w:cs="Arial"/>
          <w:sz w:val="22"/>
          <w:szCs w:val="22"/>
        </w:rPr>
        <w:t xml:space="preserve"> </w:t>
      </w:r>
      <w:r w:rsidR="003112B0" w:rsidRPr="00205C60">
        <w:rPr>
          <w:rFonts w:ascii="Verdana" w:hAnsi="Verdana" w:cs="Arial"/>
          <w:sz w:val="22"/>
          <w:szCs w:val="22"/>
        </w:rPr>
        <w:t>registrad</w:t>
      </w:r>
      <w:r w:rsidR="008B7ADE" w:rsidRPr="00205C60">
        <w:rPr>
          <w:rFonts w:ascii="Verdana" w:hAnsi="Verdana" w:cs="Arial"/>
          <w:sz w:val="22"/>
          <w:szCs w:val="22"/>
        </w:rPr>
        <w:t>o</w:t>
      </w:r>
      <w:r w:rsidR="00FE6521" w:rsidRPr="00205C60">
        <w:rPr>
          <w:rFonts w:ascii="Verdana" w:hAnsi="Verdana" w:cs="Arial"/>
          <w:sz w:val="22"/>
          <w:szCs w:val="22"/>
        </w:rPr>
        <w:t xml:space="preserve"> en </w:t>
      </w:r>
      <w:r w:rsidR="002D4384">
        <w:rPr>
          <w:rFonts w:ascii="Verdana" w:hAnsi="Verdana" w:cs="Arial"/>
          <w:sz w:val="22"/>
          <w:szCs w:val="22"/>
        </w:rPr>
        <w:t xml:space="preserve">la </w:t>
      </w:r>
      <w:r w:rsidR="008B7ADE" w:rsidRPr="00205C60">
        <w:rPr>
          <w:rFonts w:ascii="Verdana" w:hAnsi="Verdana" w:cs="Arial"/>
          <w:sz w:val="22"/>
          <w:szCs w:val="22"/>
        </w:rPr>
        <w:t>utilidad neta</w:t>
      </w:r>
      <w:r w:rsidR="000D1220" w:rsidRPr="00205C60">
        <w:rPr>
          <w:rFonts w:ascii="Verdana" w:hAnsi="Verdana" w:cs="Arial"/>
          <w:sz w:val="22"/>
          <w:szCs w:val="22"/>
        </w:rPr>
        <w:t xml:space="preserve"> por las variables explicadas en el inciso a)</w:t>
      </w:r>
      <w:r w:rsidR="00704FAD" w:rsidRPr="00205C60">
        <w:rPr>
          <w:rFonts w:ascii="Verdana" w:hAnsi="Verdana" w:cs="Arial"/>
          <w:sz w:val="22"/>
          <w:szCs w:val="22"/>
        </w:rPr>
        <w:t xml:space="preserve"> </w:t>
      </w:r>
      <w:r w:rsidR="00242A8B" w:rsidRPr="00205C60">
        <w:rPr>
          <w:rFonts w:ascii="Verdana" w:hAnsi="Verdana" w:cs="Arial"/>
          <w:sz w:val="22"/>
          <w:szCs w:val="22"/>
        </w:rPr>
        <w:t xml:space="preserve">así como en la disminución en los gastos financieros, por la cancelación anticipada de pasivos, que generó una </w:t>
      </w:r>
      <w:r w:rsidR="00242A8B" w:rsidRPr="00205C60">
        <w:rPr>
          <w:rFonts w:ascii="Verdana" w:hAnsi="Verdana" w:cs="Arial"/>
          <w:sz w:val="22"/>
          <w:szCs w:val="22"/>
        </w:rPr>
        <w:lastRenderedPageBreak/>
        <w:t>red</w:t>
      </w:r>
      <w:r w:rsidR="003341E7" w:rsidRPr="00205C60">
        <w:rPr>
          <w:rFonts w:ascii="Verdana" w:hAnsi="Verdana" w:cs="Arial"/>
          <w:sz w:val="22"/>
          <w:szCs w:val="22"/>
        </w:rPr>
        <w:t>ucción tanto en el gasto por intereses como por diferencial cambiario</w:t>
      </w:r>
      <w:r w:rsidR="006A3F8C" w:rsidRPr="00205C60">
        <w:rPr>
          <w:rFonts w:ascii="Verdana" w:hAnsi="Verdana" w:cs="Arial"/>
          <w:sz w:val="22"/>
          <w:szCs w:val="22"/>
        </w:rPr>
        <w:t xml:space="preserve"> </w:t>
      </w:r>
      <w:r w:rsidR="00242A8B" w:rsidRPr="00205C60">
        <w:rPr>
          <w:rFonts w:ascii="Verdana" w:hAnsi="Verdana" w:cs="Arial"/>
          <w:sz w:val="22"/>
          <w:szCs w:val="22"/>
        </w:rPr>
        <w:t xml:space="preserve">y </w:t>
      </w:r>
      <w:r w:rsidR="00D31BCE" w:rsidRPr="00205C60">
        <w:rPr>
          <w:rFonts w:ascii="Verdana" w:hAnsi="Verdana" w:cs="Arial"/>
          <w:sz w:val="22"/>
          <w:szCs w:val="22"/>
        </w:rPr>
        <w:t xml:space="preserve">de igual forma, por </w:t>
      </w:r>
      <w:r w:rsidR="00242A8B" w:rsidRPr="00205C60">
        <w:rPr>
          <w:rFonts w:ascii="Verdana" w:hAnsi="Verdana" w:cs="Arial"/>
          <w:sz w:val="22"/>
          <w:szCs w:val="22"/>
        </w:rPr>
        <w:t xml:space="preserve">la reducción en el </w:t>
      </w:r>
      <w:r w:rsidR="001B4677" w:rsidRPr="00205C60">
        <w:rPr>
          <w:rFonts w:ascii="Verdana" w:hAnsi="Verdana" w:cs="Arial"/>
          <w:sz w:val="22"/>
          <w:szCs w:val="22"/>
        </w:rPr>
        <w:t>tipo de cambio</w:t>
      </w:r>
      <w:r w:rsidR="00242A8B" w:rsidRPr="00205C60">
        <w:rPr>
          <w:rFonts w:ascii="Verdana" w:hAnsi="Verdana" w:cs="Arial"/>
          <w:sz w:val="22"/>
          <w:szCs w:val="22"/>
        </w:rPr>
        <w:t>.</w:t>
      </w:r>
    </w:p>
    <w:p w14:paraId="6D58D531" w14:textId="03F7ACB8" w:rsidR="0016625A" w:rsidRPr="00205C60" w:rsidRDefault="0016625A" w:rsidP="006A3F8C">
      <w:pPr>
        <w:jc w:val="both"/>
        <w:rPr>
          <w:rFonts w:ascii="Verdana" w:hAnsi="Verdana" w:cs="Arial"/>
          <w:sz w:val="22"/>
          <w:szCs w:val="22"/>
        </w:rPr>
      </w:pPr>
    </w:p>
    <w:p w14:paraId="3CA7E9B1" w14:textId="77777777" w:rsidR="0079407B" w:rsidRPr="00205C60" w:rsidRDefault="0079407B" w:rsidP="001A5DB8">
      <w:pPr>
        <w:jc w:val="both"/>
        <w:rPr>
          <w:rFonts w:ascii="Verdana" w:hAnsi="Verdana" w:cs="Arial"/>
          <w:sz w:val="22"/>
          <w:szCs w:val="22"/>
        </w:rPr>
      </w:pPr>
    </w:p>
    <w:p w14:paraId="3CA7E9B2" w14:textId="77777777" w:rsidR="00B064D6" w:rsidRPr="00205C60" w:rsidRDefault="00B064D6" w:rsidP="00882F32">
      <w:pPr>
        <w:pStyle w:val="Prrafodelista"/>
        <w:numPr>
          <w:ilvl w:val="0"/>
          <w:numId w:val="27"/>
        </w:numPr>
        <w:rPr>
          <w:rFonts w:ascii="Verdana" w:hAnsi="Verdana" w:cs="Arial"/>
          <w:b/>
          <w:sz w:val="22"/>
          <w:szCs w:val="22"/>
        </w:rPr>
      </w:pPr>
      <w:r w:rsidRPr="00205C60">
        <w:rPr>
          <w:rFonts w:ascii="Verdana" w:hAnsi="Verdana" w:cs="Arial"/>
          <w:b/>
          <w:sz w:val="22"/>
          <w:szCs w:val="22"/>
        </w:rPr>
        <w:t>Rotación y días inventario (costo de ventas / inventario promedio) y Días inventarios (360/rotación de inventarios)</w:t>
      </w:r>
    </w:p>
    <w:p w14:paraId="3CA7E9B3" w14:textId="77777777" w:rsidR="00614E95" w:rsidRPr="00205C60" w:rsidRDefault="00614E95" w:rsidP="00614E95">
      <w:pPr>
        <w:ind w:left="1080"/>
        <w:rPr>
          <w:rFonts w:ascii="Verdana" w:hAnsi="Verdana" w:cs="Arial"/>
          <w:b/>
          <w:sz w:val="22"/>
          <w:szCs w:val="22"/>
          <w:u w:val="single"/>
        </w:rPr>
      </w:pPr>
    </w:p>
    <w:p w14:paraId="3CA7E9B4" w14:textId="603887C2" w:rsidR="00B44125" w:rsidRPr="00205C60" w:rsidRDefault="00B44125" w:rsidP="008E5B36">
      <w:pPr>
        <w:jc w:val="both"/>
        <w:rPr>
          <w:rFonts w:ascii="Verdana" w:hAnsi="Verdana" w:cs="Arial"/>
          <w:sz w:val="22"/>
          <w:szCs w:val="22"/>
        </w:rPr>
      </w:pPr>
      <w:r w:rsidRPr="00205C60">
        <w:rPr>
          <w:rFonts w:ascii="Verdana" w:hAnsi="Verdana" w:cs="Arial"/>
          <w:sz w:val="22"/>
          <w:szCs w:val="22"/>
        </w:rPr>
        <w:t xml:space="preserve">En vista de </w:t>
      </w:r>
      <w:r w:rsidR="00A969FA" w:rsidRPr="00205C60">
        <w:rPr>
          <w:rFonts w:ascii="Verdana" w:hAnsi="Verdana" w:cs="Arial"/>
          <w:sz w:val="22"/>
          <w:szCs w:val="22"/>
        </w:rPr>
        <w:t>que,</w:t>
      </w:r>
      <w:r w:rsidRPr="00205C60">
        <w:rPr>
          <w:rFonts w:ascii="Verdana" w:hAnsi="Verdana" w:cs="Arial"/>
          <w:sz w:val="22"/>
          <w:szCs w:val="22"/>
        </w:rPr>
        <w:t xml:space="preserve"> en </w:t>
      </w:r>
      <w:r w:rsidR="008F5809" w:rsidRPr="00205C60">
        <w:rPr>
          <w:rFonts w:ascii="Verdana" w:hAnsi="Verdana" w:cs="Arial"/>
          <w:sz w:val="22"/>
          <w:szCs w:val="22"/>
        </w:rPr>
        <w:t xml:space="preserve">la CNFL, S.A. </w:t>
      </w:r>
      <w:r w:rsidRPr="00205C60">
        <w:rPr>
          <w:rFonts w:ascii="Verdana" w:hAnsi="Verdana" w:cs="Arial"/>
          <w:sz w:val="22"/>
          <w:szCs w:val="22"/>
        </w:rPr>
        <w:t xml:space="preserve">los inventarios que </w:t>
      </w:r>
      <w:r w:rsidR="008F5809" w:rsidRPr="00205C60">
        <w:rPr>
          <w:rFonts w:ascii="Verdana" w:hAnsi="Verdana" w:cs="Arial"/>
          <w:sz w:val="22"/>
          <w:szCs w:val="22"/>
        </w:rPr>
        <w:t xml:space="preserve">se </w:t>
      </w:r>
      <w:r w:rsidRPr="00205C60">
        <w:rPr>
          <w:rFonts w:ascii="Verdana" w:hAnsi="Verdana" w:cs="Arial"/>
          <w:sz w:val="22"/>
          <w:szCs w:val="22"/>
        </w:rPr>
        <w:t>poseen no son para la venta sino para el desarrollo de proyectos, no se valora dicho indicador, cuyo propósito es medir la liquidez de los inventarios.</w:t>
      </w:r>
    </w:p>
    <w:p w14:paraId="71B4A8FA" w14:textId="3AC37BCD" w:rsidR="00A969FA" w:rsidRPr="00205C60" w:rsidRDefault="00A969FA" w:rsidP="008E5B36">
      <w:pPr>
        <w:jc w:val="both"/>
        <w:rPr>
          <w:rFonts w:ascii="Verdana" w:hAnsi="Verdana" w:cs="Arial"/>
          <w:sz w:val="22"/>
          <w:szCs w:val="22"/>
        </w:rPr>
      </w:pPr>
    </w:p>
    <w:p w14:paraId="3CA7E9B8" w14:textId="77777777" w:rsidR="00CD5E4F" w:rsidRPr="00205C60" w:rsidRDefault="00CD5E4F" w:rsidP="008E5B36">
      <w:pPr>
        <w:jc w:val="both"/>
        <w:rPr>
          <w:rFonts w:ascii="Verdana" w:hAnsi="Verdana" w:cs="Arial"/>
          <w:b/>
          <w:sz w:val="22"/>
          <w:szCs w:val="22"/>
          <w:u w:val="single"/>
        </w:rPr>
      </w:pPr>
    </w:p>
    <w:p w14:paraId="3CA7E9B9" w14:textId="77777777" w:rsidR="00B44125" w:rsidRPr="00205C60" w:rsidRDefault="00B44125" w:rsidP="00882F32">
      <w:pPr>
        <w:pStyle w:val="Prrafodelista"/>
        <w:numPr>
          <w:ilvl w:val="0"/>
          <w:numId w:val="27"/>
        </w:numPr>
        <w:rPr>
          <w:rFonts w:ascii="Verdana" w:hAnsi="Verdana" w:cs="Arial"/>
          <w:b/>
          <w:sz w:val="22"/>
          <w:szCs w:val="22"/>
        </w:rPr>
      </w:pPr>
      <w:r w:rsidRPr="00205C60">
        <w:rPr>
          <w:rFonts w:ascii="Verdana" w:hAnsi="Verdana" w:cs="Arial"/>
          <w:b/>
          <w:sz w:val="22"/>
          <w:szCs w:val="22"/>
        </w:rPr>
        <w:t>Rotación de activo fijo</w:t>
      </w:r>
    </w:p>
    <w:p w14:paraId="3CA7E9BA" w14:textId="77777777" w:rsidR="00974C58" w:rsidRPr="00205C60" w:rsidRDefault="00974C58" w:rsidP="00B21EE6">
      <w:pPr>
        <w:pStyle w:val="Prrafodelista"/>
        <w:ind w:left="1066"/>
        <w:rPr>
          <w:rFonts w:ascii="Verdana" w:hAnsi="Verdana" w:cs="Arial"/>
          <w:b/>
          <w:sz w:val="22"/>
          <w:szCs w:val="22"/>
        </w:rPr>
      </w:pPr>
    </w:p>
    <w:p w14:paraId="3CA7E9BB" w14:textId="7CB2D08F" w:rsidR="00B44125" w:rsidRPr="00205C60" w:rsidRDefault="00B44125">
      <w:pPr>
        <w:pStyle w:val="Textoindependiente"/>
        <w:rPr>
          <w:rFonts w:ascii="Verdana" w:hAnsi="Verdana" w:cs="Arial"/>
          <w:iCs/>
          <w:sz w:val="22"/>
          <w:szCs w:val="22"/>
        </w:rPr>
      </w:pPr>
      <w:r w:rsidRPr="00205C60">
        <w:rPr>
          <w:rFonts w:ascii="Verdana" w:hAnsi="Verdana" w:cs="Arial"/>
          <w:bCs/>
          <w:iCs/>
          <w:sz w:val="22"/>
          <w:szCs w:val="22"/>
        </w:rPr>
        <w:t>Mide la eficiencia con que la Empresa utiliza sus activos fijos para la generación de ventas</w:t>
      </w:r>
      <w:r w:rsidR="00B31DD8" w:rsidRPr="00205C60">
        <w:rPr>
          <w:rFonts w:ascii="Verdana" w:hAnsi="Verdana" w:cs="Arial"/>
          <w:iCs/>
          <w:sz w:val="22"/>
          <w:szCs w:val="22"/>
        </w:rPr>
        <w:t xml:space="preserve"> </w:t>
      </w:r>
      <w:r w:rsidR="008153FF" w:rsidRPr="00205C60">
        <w:rPr>
          <w:rFonts w:ascii="Verdana" w:hAnsi="Verdana" w:cs="Arial"/>
          <w:iCs/>
          <w:sz w:val="22"/>
          <w:szCs w:val="22"/>
        </w:rPr>
        <w:t xml:space="preserve">de </w:t>
      </w:r>
      <w:r w:rsidR="00B31DD8" w:rsidRPr="00205C60">
        <w:rPr>
          <w:rFonts w:ascii="Verdana" w:hAnsi="Verdana" w:cs="Arial"/>
          <w:iCs/>
          <w:sz w:val="22"/>
          <w:szCs w:val="22"/>
        </w:rPr>
        <w:t>energía</w:t>
      </w:r>
      <w:r w:rsidR="00F45C63" w:rsidRPr="00205C60">
        <w:rPr>
          <w:rFonts w:ascii="Verdana" w:hAnsi="Verdana" w:cs="Arial"/>
          <w:iCs/>
          <w:sz w:val="22"/>
          <w:szCs w:val="22"/>
        </w:rPr>
        <w:t xml:space="preserve"> (no se consideran otros ingresos de operación)</w:t>
      </w:r>
      <w:r w:rsidR="00B31DD8" w:rsidRPr="00205C60">
        <w:rPr>
          <w:rFonts w:ascii="Verdana" w:hAnsi="Verdana" w:cs="Arial"/>
          <w:iCs/>
          <w:sz w:val="22"/>
          <w:szCs w:val="22"/>
        </w:rPr>
        <w:t>.</w:t>
      </w:r>
    </w:p>
    <w:p w14:paraId="72F80A5D" w14:textId="30B27AE9" w:rsidR="00A969FA" w:rsidRPr="00205C60" w:rsidRDefault="00A969FA">
      <w:pPr>
        <w:pStyle w:val="Textoindependiente"/>
        <w:rPr>
          <w:rFonts w:ascii="Verdana" w:hAnsi="Verdana" w:cs="Arial"/>
          <w:iCs/>
          <w:sz w:val="22"/>
          <w:szCs w:val="22"/>
        </w:rPr>
      </w:pPr>
    </w:p>
    <w:p w14:paraId="3CA7E9BC" w14:textId="77777777" w:rsidR="00C62BBC" w:rsidRPr="00205C60" w:rsidRDefault="00C62BBC">
      <w:pPr>
        <w:pStyle w:val="Textoindependiente"/>
        <w:rPr>
          <w:rFonts w:ascii="Verdana" w:hAnsi="Verdana" w:cs="Arial"/>
          <w:iCs/>
          <w:sz w:val="22"/>
          <w:szCs w:val="22"/>
        </w:rPr>
      </w:pPr>
    </w:p>
    <w:tbl>
      <w:tblPr>
        <w:tblW w:w="3968" w:type="pct"/>
        <w:jc w:val="center"/>
        <w:tblCellMar>
          <w:left w:w="30" w:type="dxa"/>
          <w:right w:w="30" w:type="dxa"/>
        </w:tblCellMar>
        <w:tblLook w:val="0000" w:firstRow="0" w:lastRow="0" w:firstColumn="0" w:lastColumn="0" w:noHBand="0" w:noVBand="0"/>
      </w:tblPr>
      <w:tblGrid>
        <w:gridCol w:w="923"/>
        <w:gridCol w:w="1970"/>
        <w:gridCol w:w="417"/>
        <w:gridCol w:w="1691"/>
        <w:gridCol w:w="420"/>
        <w:gridCol w:w="1816"/>
      </w:tblGrid>
      <w:tr w:rsidR="0051238E" w:rsidRPr="00205C60" w14:paraId="3CA7E9C1" w14:textId="77777777" w:rsidTr="0051238E">
        <w:trPr>
          <w:cantSplit/>
          <w:trHeight w:val="439"/>
          <w:jc w:val="center"/>
        </w:trPr>
        <w:tc>
          <w:tcPr>
            <w:tcW w:w="638" w:type="pct"/>
            <w:tcBorders>
              <w:top w:val="single" w:sz="4" w:space="0" w:color="auto"/>
              <w:left w:val="single" w:sz="4" w:space="0" w:color="auto"/>
              <w:bottom w:val="single" w:sz="4" w:space="0" w:color="auto"/>
              <w:right w:val="nil"/>
            </w:tcBorders>
            <w:shd w:val="solid" w:color="FFFFFF" w:fill="auto"/>
            <w:vAlign w:val="center"/>
          </w:tcPr>
          <w:p w14:paraId="3CA7E9BD" w14:textId="77777777" w:rsidR="00B44125" w:rsidRPr="00205C60" w:rsidRDefault="00B44125" w:rsidP="006E18E7">
            <w:pPr>
              <w:jc w:val="center"/>
              <w:rPr>
                <w:rFonts w:ascii="Verdana" w:hAnsi="Verdana" w:cs="Arial"/>
                <w:snapToGrid w:val="0"/>
                <w:sz w:val="22"/>
                <w:szCs w:val="22"/>
              </w:rPr>
            </w:pPr>
          </w:p>
        </w:tc>
        <w:tc>
          <w:tcPr>
            <w:tcW w:w="2817" w:type="pct"/>
            <w:gridSpan w:val="3"/>
            <w:tcBorders>
              <w:top w:val="single" w:sz="4" w:space="0" w:color="auto"/>
              <w:left w:val="nil"/>
              <w:bottom w:val="single" w:sz="6" w:space="0" w:color="auto"/>
              <w:right w:val="nil"/>
            </w:tcBorders>
            <w:shd w:val="solid" w:color="FFFFFF" w:fill="auto"/>
            <w:vAlign w:val="center"/>
          </w:tcPr>
          <w:p w14:paraId="3CA7E9BE" w14:textId="77777777" w:rsidR="00B44125" w:rsidRPr="00205C60" w:rsidRDefault="00B44125" w:rsidP="00974C58">
            <w:pPr>
              <w:jc w:val="center"/>
              <w:rPr>
                <w:rFonts w:ascii="Verdana" w:hAnsi="Verdana" w:cs="Arial"/>
                <w:b/>
                <w:snapToGrid w:val="0"/>
                <w:sz w:val="22"/>
                <w:szCs w:val="22"/>
              </w:rPr>
            </w:pPr>
            <w:r w:rsidRPr="00205C60">
              <w:rPr>
                <w:rFonts w:ascii="Verdana" w:hAnsi="Verdana" w:cs="Arial"/>
                <w:b/>
                <w:snapToGrid w:val="0"/>
                <w:sz w:val="22"/>
                <w:szCs w:val="22"/>
              </w:rPr>
              <w:t>Cálculos (datos en miles de colones)</w:t>
            </w:r>
          </w:p>
        </w:tc>
        <w:tc>
          <w:tcPr>
            <w:tcW w:w="290" w:type="pct"/>
            <w:tcBorders>
              <w:top w:val="single" w:sz="4" w:space="0" w:color="auto"/>
              <w:left w:val="nil"/>
              <w:bottom w:val="single" w:sz="4" w:space="0" w:color="auto"/>
              <w:right w:val="nil"/>
            </w:tcBorders>
            <w:shd w:val="solid" w:color="FFFFFF" w:fill="auto"/>
            <w:vAlign w:val="center"/>
          </w:tcPr>
          <w:p w14:paraId="3CA7E9BF" w14:textId="77777777" w:rsidR="00B44125" w:rsidRPr="00205C60" w:rsidRDefault="00B44125" w:rsidP="006E18E7">
            <w:pPr>
              <w:jc w:val="center"/>
              <w:rPr>
                <w:rFonts w:ascii="Verdana" w:hAnsi="Verdana" w:cs="Arial"/>
                <w:b/>
                <w:snapToGrid w:val="0"/>
                <w:sz w:val="22"/>
                <w:szCs w:val="22"/>
              </w:rPr>
            </w:pPr>
          </w:p>
        </w:tc>
        <w:tc>
          <w:tcPr>
            <w:tcW w:w="1255" w:type="pct"/>
            <w:tcBorders>
              <w:top w:val="single" w:sz="4" w:space="0" w:color="auto"/>
              <w:left w:val="nil"/>
              <w:bottom w:val="single" w:sz="6" w:space="0" w:color="auto"/>
              <w:right w:val="single" w:sz="4" w:space="0" w:color="auto"/>
            </w:tcBorders>
            <w:shd w:val="solid" w:color="FFFFFF" w:fill="auto"/>
            <w:vAlign w:val="center"/>
          </w:tcPr>
          <w:p w14:paraId="3CA7E9C0" w14:textId="77777777" w:rsidR="00B44125" w:rsidRPr="00205C60" w:rsidRDefault="00B44125" w:rsidP="006E18E7">
            <w:pPr>
              <w:jc w:val="center"/>
              <w:rPr>
                <w:rFonts w:ascii="Verdana" w:hAnsi="Verdana" w:cs="Arial"/>
                <w:b/>
                <w:snapToGrid w:val="0"/>
                <w:sz w:val="22"/>
                <w:szCs w:val="22"/>
              </w:rPr>
            </w:pPr>
            <w:r w:rsidRPr="00205C60">
              <w:rPr>
                <w:rFonts w:ascii="Verdana" w:hAnsi="Verdana" w:cs="Arial"/>
                <w:b/>
                <w:snapToGrid w:val="0"/>
                <w:sz w:val="22"/>
                <w:szCs w:val="22"/>
              </w:rPr>
              <w:t>Resultados</w:t>
            </w:r>
          </w:p>
        </w:tc>
      </w:tr>
      <w:tr w:rsidR="0051238E" w:rsidRPr="00205C60" w14:paraId="3CA7E9C8" w14:textId="77777777" w:rsidTr="0051238E">
        <w:trPr>
          <w:trHeight w:val="348"/>
          <w:jc w:val="center"/>
        </w:trPr>
        <w:tc>
          <w:tcPr>
            <w:tcW w:w="638" w:type="pct"/>
            <w:tcBorders>
              <w:top w:val="single" w:sz="4" w:space="0" w:color="auto"/>
              <w:left w:val="single" w:sz="4" w:space="0" w:color="auto"/>
              <w:bottom w:val="single" w:sz="4" w:space="0" w:color="auto"/>
              <w:right w:val="single" w:sz="4" w:space="0" w:color="auto"/>
            </w:tcBorders>
            <w:shd w:val="solid" w:color="FFFFFF" w:fill="auto"/>
            <w:vAlign w:val="center"/>
          </w:tcPr>
          <w:p w14:paraId="3CA7E9C2" w14:textId="77777777" w:rsidR="00B44125" w:rsidRPr="00205C60" w:rsidRDefault="00B44125" w:rsidP="006E18E7">
            <w:pPr>
              <w:jc w:val="center"/>
              <w:rPr>
                <w:rFonts w:ascii="Verdana" w:hAnsi="Verdana" w:cs="Arial"/>
                <w:b/>
                <w:bCs/>
                <w:snapToGrid w:val="0"/>
                <w:sz w:val="22"/>
                <w:szCs w:val="22"/>
              </w:rPr>
            </w:pPr>
            <w:r w:rsidRPr="00205C60">
              <w:rPr>
                <w:rFonts w:ascii="Verdana" w:hAnsi="Verdana" w:cs="Arial"/>
                <w:b/>
                <w:bCs/>
                <w:snapToGrid w:val="0"/>
                <w:sz w:val="22"/>
                <w:szCs w:val="22"/>
              </w:rPr>
              <w:t>Año</w:t>
            </w:r>
          </w:p>
        </w:tc>
        <w:tc>
          <w:tcPr>
            <w:tcW w:w="1361" w:type="pct"/>
            <w:tcBorders>
              <w:top w:val="single" w:sz="6" w:space="0" w:color="auto"/>
              <w:left w:val="single" w:sz="4" w:space="0" w:color="auto"/>
              <w:bottom w:val="single" w:sz="4" w:space="0" w:color="auto"/>
              <w:right w:val="nil"/>
            </w:tcBorders>
            <w:shd w:val="solid" w:color="FFFFFF" w:fill="auto"/>
            <w:vAlign w:val="center"/>
          </w:tcPr>
          <w:p w14:paraId="3CA7E9C3" w14:textId="77777777" w:rsidR="00B44125" w:rsidRPr="00205C60" w:rsidRDefault="00B44125" w:rsidP="006E18E7">
            <w:pPr>
              <w:jc w:val="center"/>
              <w:rPr>
                <w:rFonts w:ascii="Verdana" w:hAnsi="Verdana" w:cs="Arial"/>
                <w:b/>
                <w:bCs/>
                <w:snapToGrid w:val="0"/>
                <w:sz w:val="22"/>
                <w:szCs w:val="22"/>
              </w:rPr>
            </w:pPr>
            <w:r w:rsidRPr="00205C60">
              <w:rPr>
                <w:rFonts w:ascii="Verdana" w:hAnsi="Verdana" w:cs="Arial"/>
                <w:b/>
                <w:bCs/>
                <w:snapToGrid w:val="0"/>
                <w:sz w:val="22"/>
                <w:szCs w:val="22"/>
              </w:rPr>
              <w:t>Ventas</w:t>
            </w:r>
            <w:r w:rsidR="00B31DD8" w:rsidRPr="00205C60">
              <w:rPr>
                <w:rFonts w:ascii="Verdana" w:hAnsi="Verdana" w:cs="Arial"/>
                <w:b/>
                <w:bCs/>
                <w:snapToGrid w:val="0"/>
                <w:sz w:val="22"/>
                <w:szCs w:val="22"/>
              </w:rPr>
              <w:t xml:space="preserve"> de Energía</w:t>
            </w:r>
          </w:p>
        </w:tc>
        <w:tc>
          <w:tcPr>
            <w:tcW w:w="288" w:type="pct"/>
            <w:tcBorders>
              <w:top w:val="single" w:sz="6" w:space="0" w:color="auto"/>
              <w:left w:val="nil"/>
              <w:bottom w:val="single" w:sz="4" w:space="0" w:color="auto"/>
              <w:right w:val="nil"/>
            </w:tcBorders>
            <w:shd w:val="solid" w:color="FFFFFF" w:fill="auto"/>
            <w:vAlign w:val="center"/>
          </w:tcPr>
          <w:p w14:paraId="3CA7E9C4" w14:textId="77777777" w:rsidR="00B44125" w:rsidRPr="00205C60" w:rsidRDefault="00B44125" w:rsidP="006E18E7">
            <w:pPr>
              <w:jc w:val="center"/>
              <w:rPr>
                <w:rFonts w:ascii="Verdana" w:hAnsi="Verdana" w:cs="Arial"/>
                <w:b/>
                <w:bCs/>
                <w:snapToGrid w:val="0"/>
                <w:sz w:val="22"/>
                <w:szCs w:val="22"/>
              </w:rPr>
            </w:pPr>
            <w:r w:rsidRPr="00205C60">
              <w:rPr>
                <w:rFonts w:ascii="Verdana" w:hAnsi="Verdana" w:cs="Arial"/>
                <w:b/>
                <w:bCs/>
                <w:snapToGrid w:val="0"/>
                <w:sz w:val="22"/>
                <w:szCs w:val="22"/>
              </w:rPr>
              <w:t>÷</w:t>
            </w:r>
          </w:p>
        </w:tc>
        <w:tc>
          <w:tcPr>
            <w:tcW w:w="1168" w:type="pct"/>
            <w:tcBorders>
              <w:top w:val="single" w:sz="6" w:space="0" w:color="auto"/>
              <w:left w:val="nil"/>
              <w:bottom w:val="single" w:sz="4" w:space="0" w:color="auto"/>
              <w:right w:val="nil"/>
            </w:tcBorders>
            <w:vAlign w:val="center"/>
          </w:tcPr>
          <w:p w14:paraId="3CA7E9C5" w14:textId="77777777" w:rsidR="00B44125" w:rsidRPr="00205C60" w:rsidRDefault="00B44125" w:rsidP="006E18E7">
            <w:pPr>
              <w:jc w:val="center"/>
              <w:rPr>
                <w:rFonts w:ascii="Verdana" w:hAnsi="Verdana" w:cs="Arial"/>
                <w:b/>
                <w:bCs/>
                <w:snapToGrid w:val="0"/>
                <w:sz w:val="22"/>
                <w:szCs w:val="22"/>
              </w:rPr>
            </w:pPr>
            <w:r w:rsidRPr="00205C60">
              <w:rPr>
                <w:rFonts w:ascii="Verdana" w:hAnsi="Verdana" w:cs="Arial"/>
                <w:b/>
                <w:bCs/>
                <w:snapToGrid w:val="0"/>
                <w:sz w:val="22"/>
                <w:szCs w:val="22"/>
              </w:rPr>
              <w:t>Activo Fijo</w:t>
            </w:r>
            <w:r w:rsidR="00B31DD8" w:rsidRPr="00205C60">
              <w:rPr>
                <w:rFonts w:ascii="Verdana" w:hAnsi="Verdana" w:cs="Arial"/>
                <w:b/>
                <w:bCs/>
                <w:snapToGrid w:val="0"/>
                <w:sz w:val="22"/>
                <w:szCs w:val="22"/>
              </w:rPr>
              <w:t xml:space="preserve"> Neto</w:t>
            </w:r>
          </w:p>
        </w:tc>
        <w:tc>
          <w:tcPr>
            <w:tcW w:w="290" w:type="pct"/>
            <w:tcBorders>
              <w:top w:val="single" w:sz="4" w:space="0" w:color="auto"/>
              <w:left w:val="nil"/>
              <w:bottom w:val="single" w:sz="4" w:space="0" w:color="auto"/>
              <w:right w:val="nil"/>
            </w:tcBorders>
            <w:shd w:val="solid" w:color="FFFFFF" w:fill="auto"/>
            <w:vAlign w:val="center"/>
          </w:tcPr>
          <w:p w14:paraId="3CA7E9C6" w14:textId="77777777" w:rsidR="00B44125" w:rsidRPr="00205C60" w:rsidRDefault="00B44125" w:rsidP="006E18E7">
            <w:pPr>
              <w:jc w:val="center"/>
              <w:rPr>
                <w:rFonts w:ascii="Verdana" w:hAnsi="Verdana" w:cs="Arial"/>
                <w:snapToGrid w:val="0"/>
                <w:sz w:val="22"/>
                <w:szCs w:val="22"/>
              </w:rPr>
            </w:pPr>
            <w:r w:rsidRPr="00205C60">
              <w:rPr>
                <w:rFonts w:ascii="Verdana" w:hAnsi="Verdana" w:cs="Arial"/>
                <w:snapToGrid w:val="0"/>
                <w:sz w:val="22"/>
                <w:szCs w:val="22"/>
              </w:rPr>
              <w:t>=</w:t>
            </w:r>
          </w:p>
        </w:tc>
        <w:tc>
          <w:tcPr>
            <w:tcW w:w="1255" w:type="pct"/>
            <w:tcBorders>
              <w:top w:val="single" w:sz="6" w:space="0" w:color="auto"/>
              <w:left w:val="nil"/>
              <w:bottom w:val="single" w:sz="4" w:space="0" w:color="auto"/>
              <w:right w:val="single" w:sz="4" w:space="0" w:color="auto"/>
            </w:tcBorders>
            <w:shd w:val="solid" w:color="FFFFFF" w:fill="auto"/>
            <w:vAlign w:val="center"/>
          </w:tcPr>
          <w:p w14:paraId="3CA7E9C7" w14:textId="77777777" w:rsidR="00B44125" w:rsidRPr="00205C60" w:rsidRDefault="00B44125" w:rsidP="006E18E7">
            <w:pPr>
              <w:jc w:val="center"/>
              <w:rPr>
                <w:rFonts w:ascii="Verdana" w:hAnsi="Verdana" w:cs="Arial"/>
                <w:b/>
                <w:bCs/>
                <w:snapToGrid w:val="0"/>
                <w:sz w:val="22"/>
                <w:szCs w:val="22"/>
              </w:rPr>
            </w:pPr>
            <w:r w:rsidRPr="00205C60">
              <w:rPr>
                <w:rFonts w:ascii="Verdana" w:hAnsi="Verdana" w:cs="Arial"/>
                <w:b/>
                <w:bCs/>
                <w:snapToGrid w:val="0"/>
                <w:sz w:val="22"/>
                <w:szCs w:val="22"/>
              </w:rPr>
              <w:t>Indicador (veces)</w:t>
            </w:r>
          </w:p>
        </w:tc>
      </w:tr>
      <w:tr w:rsidR="00044A55" w:rsidRPr="00205C60" w14:paraId="3CA7E9D6" w14:textId="77777777" w:rsidTr="0051238E">
        <w:trPr>
          <w:trHeight w:val="262"/>
          <w:jc w:val="center"/>
        </w:trPr>
        <w:tc>
          <w:tcPr>
            <w:tcW w:w="638" w:type="pct"/>
            <w:tcBorders>
              <w:top w:val="single" w:sz="4" w:space="0" w:color="auto"/>
              <w:left w:val="single" w:sz="4" w:space="0" w:color="auto"/>
              <w:bottom w:val="single" w:sz="4" w:space="0" w:color="auto"/>
              <w:right w:val="single" w:sz="4" w:space="0" w:color="auto"/>
            </w:tcBorders>
            <w:shd w:val="solid" w:color="FFFFFF" w:fill="auto"/>
            <w:vAlign w:val="center"/>
          </w:tcPr>
          <w:p w14:paraId="3CA7E9D0" w14:textId="00248FD8" w:rsidR="00044A55" w:rsidRPr="00205C60" w:rsidRDefault="00044A55" w:rsidP="00044A55">
            <w:pPr>
              <w:jc w:val="center"/>
              <w:rPr>
                <w:rFonts w:ascii="Verdana" w:hAnsi="Verdana" w:cs="Arial"/>
                <w:snapToGrid w:val="0"/>
                <w:sz w:val="22"/>
                <w:szCs w:val="22"/>
              </w:rPr>
            </w:pPr>
            <w:r w:rsidRPr="00205C60">
              <w:rPr>
                <w:rFonts w:ascii="Verdana" w:hAnsi="Verdana" w:cs="Arial"/>
                <w:snapToGrid w:val="0"/>
                <w:sz w:val="22"/>
                <w:szCs w:val="22"/>
              </w:rPr>
              <w:t>2020</w:t>
            </w:r>
          </w:p>
        </w:tc>
        <w:tc>
          <w:tcPr>
            <w:tcW w:w="1361" w:type="pct"/>
            <w:tcBorders>
              <w:top w:val="single" w:sz="4" w:space="0" w:color="auto"/>
              <w:left w:val="single" w:sz="4" w:space="0" w:color="auto"/>
              <w:bottom w:val="single" w:sz="4" w:space="0" w:color="auto"/>
              <w:right w:val="single" w:sz="4" w:space="0" w:color="auto"/>
            </w:tcBorders>
            <w:shd w:val="solid" w:color="FFFFFF" w:fill="auto"/>
            <w:vAlign w:val="center"/>
          </w:tcPr>
          <w:p w14:paraId="3CA7E9D1" w14:textId="76A84639" w:rsidR="00044A55" w:rsidRPr="00205C60" w:rsidRDefault="00044A55" w:rsidP="00044A55">
            <w:pPr>
              <w:jc w:val="center"/>
              <w:rPr>
                <w:rFonts w:ascii="Verdana" w:hAnsi="Verdana" w:cs="Arial"/>
                <w:snapToGrid w:val="0"/>
                <w:sz w:val="22"/>
                <w:szCs w:val="22"/>
              </w:rPr>
            </w:pPr>
            <w:r w:rsidRPr="00205C60">
              <w:rPr>
                <w:rFonts w:ascii="Verdana" w:hAnsi="Verdana" w:cs="Arial"/>
                <w:snapToGrid w:val="0"/>
                <w:sz w:val="22"/>
                <w:szCs w:val="22"/>
              </w:rPr>
              <w:t>330.195.042</w:t>
            </w:r>
          </w:p>
        </w:tc>
        <w:tc>
          <w:tcPr>
            <w:tcW w:w="288" w:type="pct"/>
            <w:tcBorders>
              <w:top w:val="single" w:sz="4" w:space="0" w:color="auto"/>
              <w:left w:val="single" w:sz="4" w:space="0" w:color="auto"/>
              <w:bottom w:val="single" w:sz="4" w:space="0" w:color="auto"/>
              <w:right w:val="nil"/>
            </w:tcBorders>
            <w:shd w:val="solid" w:color="FFFFFF" w:fill="auto"/>
            <w:vAlign w:val="center"/>
          </w:tcPr>
          <w:p w14:paraId="3CA7E9D2" w14:textId="77777777" w:rsidR="00044A55" w:rsidRPr="00205C60" w:rsidRDefault="00044A55" w:rsidP="00044A55">
            <w:pPr>
              <w:jc w:val="center"/>
              <w:rPr>
                <w:rFonts w:ascii="Verdana" w:hAnsi="Verdana" w:cs="Arial"/>
                <w:snapToGrid w:val="0"/>
                <w:sz w:val="22"/>
                <w:szCs w:val="22"/>
              </w:rPr>
            </w:pPr>
          </w:p>
        </w:tc>
        <w:tc>
          <w:tcPr>
            <w:tcW w:w="1168" w:type="pct"/>
            <w:tcBorders>
              <w:top w:val="single" w:sz="4" w:space="0" w:color="auto"/>
              <w:left w:val="nil"/>
              <w:bottom w:val="single" w:sz="4" w:space="0" w:color="auto"/>
              <w:right w:val="nil"/>
            </w:tcBorders>
            <w:vAlign w:val="center"/>
          </w:tcPr>
          <w:p w14:paraId="3CA7E9D3" w14:textId="41D2B8D2" w:rsidR="00044A55" w:rsidRPr="00205C60" w:rsidRDefault="00044A55" w:rsidP="00044A55">
            <w:pPr>
              <w:jc w:val="center"/>
              <w:rPr>
                <w:rFonts w:ascii="Verdana" w:hAnsi="Verdana" w:cs="Arial"/>
                <w:snapToGrid w:val="0"/>
                <w:sz w:val="22"/>
                <w:szCs w:val="22"/>
              </w:rPr>
            </w:pPr>
            <w:r w:rsidRPr="00205C60">
              <w:rPr>
                <w:rFonts w:ascii="Verdana" w:hAnsi="Verdana" w:cs="Arial"/>
                <w:snapToGrid w:val="0"/>
                <w:sz w:val="22"/>
                <w:szCs w:val="22"/>
              </w:rPr>
              <w:t>716.268.590</w:t>
            </w:r>
          </w:p>
        </w:tc>
        <w:tc>
          <w:tcPr>
            <w:tcW w:w="290" w:type="pct"/>
            <w:tcBorders>
              <w:top w:val="single" w:sz="4" w:space="0" w:color="auto"/>
              <w:left w:val="nil"/>
              <w:bottom w:val="single" w:sz="4" w:space="0" w:color="auto"/>
              <w:right w:val="single" w:sz="4" w:space="0" w:color="auto"/>
            </w:tcBorders>
            <w:shd w:val="solid" w:color="FFFFFF" w:fill="auto"/>
            <w:vAlign w:val="center"/>
          </w:tcPr>
          <w:p w14:paraId="3CA7E9D4" w14:textId="77777777" w:rsidR="00044A55" w:rsidRPr="00205C60" w:rsidRDefault="00044A55" w:rsidP="00044A55">
            <w:pPr>
              <w:jc w:val="center"/>
              <w:rPr>
                <w:rFonts w:ascii="Verdana" w:hAnsi="Verdana" w:cs="Arial"/>
                <w:snapToGrid w:val="0"/>
                <w:sz w:val="22"/>
                <w:szCs w:val="22"/>
              </w:rPr>
            </w:pPr>
          </w:p>
        </w:tc>
        <w:tc>
          <w:tcPr>
            <w:tcW w:w="1255" w:type="pct"/>
            <w:tcBorders>
              <w:top w:val="single" w:sz="4" w:space="0" w:color="auto"/>
              <w:left w:val="single" w:sz="4" w:space="0" w:color="auto"/>
              <w:bottom w:val="single" w:sz="4" w:space="0" w:color="auto"/>
              <w:right w:val="single" w:sz="4" w:space="0" w:color="auto"/>
            </w:tcBorders>
            <w:shd w:val="solid" w:color="FFFFFF" w:fill="auto"/>
            <w:vAlign w:val="center"/>
          </w:tcPr>
          <w:p w14:paraId="3CA7E9D5" w14:textId="14DEB9F8" w:rsidR="00044A55" w:rsidRPr="00205C60" w:rsidRDefault="00044A55" w:rsidP="00044A55">
            <w:pPr>
              <w:jc w:val="center"/>
              <w:rPr>
                <w:rFonts w:ascii="Verdana" w:hAnsi="Verdana" w:cs="Arial"/>
                <w:snapToGrid w:val="0"/>
                <w:sz w:val="22"/>
                <w:szCs w:val="22"/>
              </w:rPr>
            </w:pPr>
            <w:r w:rsidRPr="00205C60">
              <w:rPr>
                <w:rFonts w:ascii="Verdana" w:hAnsi="Verdana" w:cs="Arial"/>
                <w:snapToGrid w:val="0"/>
                <w:sz w:val="22"/>
                <w:szCs w:val="22"/>
              </w:rPr>
              <w:t>0,46</w:t>
            </w:r>
          </w:p>
        </w:tc>
      </w:tr>
      <w:tr w:rsidR="00044A55" w:rsidRPr="00205C60" w14:paraId="3CA7E9DD" w14:textId="77777777" w:rsidTr="0051238E">
        <w:trPr>
          <w:trHeight w:val="262"/>
          <w:jc w:val="center"/>
        </w:trPr>
        <w:tc>
          <w:tcPr>
            <w:tcW w:w="638" w:type="pct"/>
            <w:tcBorders>
              <w:top w:val="single" w:sz="4" w:space="0" w:color="auto"/>
              <w:left w:val="single" w:sz="4" w:space="0" w:color="auto"/>
              <w:bottom w:val="single" w:sz="4" w:space="0" w:color="auto"/>
              <w:right w:val="single" w:sz="4" w:space="0" w:color="auto"/>
            </w:tcBorders>
            <w:shd w:val="solid" w:color="FFFFFF" w:fill="auto"/>
            <w:vAlign w:val="center"/>
          </w:tcPr>
          <w:p w14:paraId="3CA7E9D7" w14:textId="3AAAA669" w:rsidR="00044A55" w:rsidRPr="00205C60" w:rsidRDefault="00044A55" w:rsidP="00044A55">
            <w:pPr>
              <w:jc w:val="center"/>
              <w:rPr>
                <w:rFonts w:ascii="Verdana" w:hAnsi="Verdana" w:cs="Arial"/>
                <w:snapToGrid w:val="0"/>
                <w:sz w:val="22"/>
                <w:szCs w:val="22"/>
              </w:rPr>
            </w:pPr>
            <w:r w:rsidRPr="00205C60">
              <w:rPr>
                <w:rFonts w:ascii="Verdana" w:hAnsi="Verdana" w:cs="Arial"/>
                <w:snapToGrid w:val="0"/>
                <w:sz w:val="22"/>
                <w:szCs w:val="22"/>
              </w:rPr>
              <w:t>2021</w:t>
            </w:r>
          </w:p>
        </w:tc>
        <w:tc>
          <w:tcPr>
            <w:tcW w:w="1361" w:type="pct"/>
            <w:tcBorders>
              <w:top w:val="single" w:sz="4" w:space="0" w:color="auto"/>
              <w:left w:val="single" w:sz="4" w:space="0" w:color="auto"/>
              <w:bottom w:val="single" w:sz="4" w:space="0" w:color="auto"/>
              <w:right w:val="single" w:sz="4" w:space="0" w:color="auto"/>
            </w:tcBorders>
            <w:shd w:val="solid" w:color="FFFFFF" w:fill="auto"/>
            <w:vAlign w:val="center"/>
          </w:tcPr>
          <w:p w14:paraId="3CA7E9D8" w14:textId="197F293F" w:rsidR="00044A55" w:rsidRPr="00205C60" w:rsidRDefault="00044A55" w:rsidP="00044A55">
            <w:pPr>
              <w:jc w:val="center"/>
              <w:rPr>
                <w:rFonts w:ascii="Verdana" w:hAnsi="Verdana" w:cs="Arial"/>
                <w:snapToGrid w:val="0"/>
                <w:sz w:val="22"/>
                <w:szCs w:val="22"/>
              </w:rPr>
            </w:pPr>
            <w:r w:rsidRPr="00205C60">
              <w:rPr>
                <w:rFonts w:ascii="Verdana" w:hAnsi="Verdana" w:cs="Arial"/>
                <w:snapToGrid w:val="0"/>
                <w:sz w:val="22"/>
                <w:szCs w:val="22"/>
              </w:rPr>
              <w:t>278.589.835</w:t>
            </w:r>
          </w:p>
        </w:tc>
        <w:tc>
          <w:tcPr>
            <w:tcW w:w="288" w:type="pct"/>
            <w:tcBorders>
              <w:top w:val="single" w:sz="4" w:space="0" w:color="auto"/>
              <w:left w:val="single" w:sz="4" w:space="0" w:color="auto"/>
              <w:bottom w:val="single" w:sz="4" w:space="0" w:color="auto"/>
              <w:right w:val="nil"/>
            </w:tcBorders>
            <w:shd w:val="solid" w:color="FFFFFF" w:fill="auto"/>
            <w:vAlign w:val="center"/>
          </w:tcPr>
          <w:p w14:paraId="3CA7E9D9" w14:textId="77777777" w:rsidR="00044A55" w:rsidRPr="00205C60" w:rsidRDefault="00044A55" w:rsidP="00044A55">
            <w:pPr>
              <w:jc w:val="center"/>
              <w:rPr>
                <w:rFonts w:ascii="Verdana" w:hAnsi="Verdana" w:cs="Arial"/>
                <w:snapToGrid w:val="0"/>
                <w:sz w:val="22"/>
                <w:szCs w:val="22"/>
              </w:rPr>
            </w:pPr>
          </w:p>
        </w:tc>
        <w:tc>
          <w:tcPr>
            <w:tcW w:w="1168" w:type="pct"/>
            <w:tcBorders>
              <w:top w:val="single" w:sz="4" w:space="0" w:color="auto"/>
              <w:left w:val="nil"/>
              <w:bottom w:val="single" w:sz="4" w:space="0" w:color="auto"/>
              <w:right w:val="nil"/>
            </w:tcBorders>
            <w:vAlign w:val="center"/>
          </w:tcPr>
          <w:p w14:paraId="3CA7E9DA" w14:textId="3B93C430" w:rsidR="00044A55" w:rsidRPr="00205C60" w:rsidRDefault="00044A55" w:rsidP="00044A55">
            <w:pPr>
              <w:jc w:val="center"/>
              <w:rPr>
                <w:rFonts w:ascii="Verdana" w:hAnsi="Verdana" w:cs="Arial"/>
                <w:snapToGrid w:val="0"/>
                <w:sz w:val="22"/>
                <w:szCs w:val="22"/>
              </w:rPr>
            </w:pPr>
            <w:r w:rsidRPr="00205C60">
              <w:rPr>
                <w:rFonts w:ascii="Verdana" w:hAnsi="Verdana" w:cs="Arial"/>
                <w:snapToGrid w:val="0"/>
                <w:sz w:val="22"/>
                <w:szCs w:val="22"/>
              </w:rPr>
              <w:t>696.891.808</w:t>
            </w:r>
          </w:p>
        </w:tc>
        <w:tc>
          <w:tcPr>
            <w:tcW w:w="290" w:type="pct"/>
            <w:tcBorders>
              <w:top w:val="single" w:sz="4" w:space="0" w:color="auto"/>
              <w:left w:val="nil"/>
              <w:bottom w:val="single" w:sz="4" w:space="0" w:color="auto"/>
              <w:right w:val="single" w:sz="4" w:space="0" w:color="auto"/>
            </w:tcBorders>
            <w:shd w:val="solid" w:color="FFFFFF" w:fill="auto"/>
            <w:vAlign w:val="center"/>
          </w:tcPr>
          <w:p w14:paraId="3CA7E9DB" w14:textId="77777777" w:rsidR="00044A55" w:rsidRPr="00205C60" w:rsidRDefault="00044A55" w:rsidP="00044A55">
            <w:pPr>
              <w:jc w:val="center"/>
              <w:rPr>
                <w:rFonts w:ascii="Verdana" w:hAnsi="Verdana" w:cs="Arial"/>
                <w:snapToGrid w:val="0"/>
                <w:sz w:val="22"/>
                <w:szCs w:val="22"/>
              </w:rPr>
            </w:pPr>
          </w:p>
        </w:tc>
        <w:tc>
          <w:tcPr>
            <w:tcW w:w="1255" w:type="pct"/>
            <w:tcBorders>
              <w:top w:val="single" w:sz="4" w:space="0" w:color="auto"/>
              <w:left w:val="single" w:sz="4" w:space="0" w:color="auto"/>
              <w:bottom w:val="single" w:sz="4" w:space="0" w:color="auto"/>
              <w:right w:val="single" w:sz="4" w:space="0" w:color="auto"/>
            </w:tcBorders>
            <w:shd w:val="solid" w:color="FFFFFF" w:fill="auto"/>
            <w:vAlign w:val="center"/>
          </w:tcPr>
          <w:p w14:paraId="3CA7E9DC" w14:textId="02FA1827" w:rsidR="00044A55" w:rsidRPr="00205C60" w:rsidRDefault="00044A55" w:rsidP="00044A55">
            <w:pPr>
              <w:jc w:val="center"/>
              <w:rPr>
                <w:rFonts w:ascii="Verdana" w:hAnsi="Verdana" w:cs="Arial"/>
                <w:snapToGrid w:val="0"/>
                <w:sz w:val="22"/>
                <w:szCs w:val="22"/>
              </w:rPr>
            </w:pPr>
            <w:r w:rsidRPr="00205C60">
              <w:rPr>
                <w:rFonts w:ascii="Verdana" w:hAnsi="Verdana" w:cs="Arial"/>
                <w:snapToGrid w:val="0"/>
                <w:sz w:val="22"/>
                <w:szCs w:val="22"/>
              </w:rPr>
              <w:t>0,40</w:t>
            </w:r>
          </w:p>
        </w:tc>
      </w:tr>
      <w:tr w:rsidR="00B55E00" w:rsidRPr="00205C60" w14:paraId="6BA25D83" w14:textId="77777777" w:rsidTr="0051238E">
        <w:trPr>
          <w:trHeight w:val="262"/>
          <w:jc w:val="center"/>
        </w:trPr>
        <w:tc>
          <w:tcPr>
            <w:tcW w:w="638" w:type="pct"/>
            <w:tcBorders>
              <w:top w:val="single" w:sz="4" w:space="0" w:color="auto"/>
              <w:left w:val="single" w:sz="4" w:space="0" w:color="auto"/>
              <w:bottom w:val="single" w:sz="4" w:space="0" w:color="auto"/>
              <w:right w:val="single" w:sz="4" w:space="0" w:color="auto"/>
            </w:tcBorders>
            <w:shd w:val="solid" w:color="FFFFFF" w:fill="auto"/>
            <w:vAlign w:val="center"/>
          </w:tcPr>
          <w:p w14:paraId="762D4957" w14:textId="755580FD" w:rsidR="00B55E00" w:rsidRPr="00205C60" w:rsidRDefault="00B55E00" w:rsidP="006E18E7">
            <w:pPr>
              <w:jc w:val="center"/>
              <w:rPr>
                <w:rFonts w:ascii="Verdana" w:hAnsi="Verdana" w:cs="Arial"/>
                <w:snapToGrid w:val="0"/>
                <w:sz w:val="22"/>
                <w:szCs w:val="22"/>
              </w:rPr>
            </w:pPr>
            <w:r w:rsidRPr="00205C60">
              <w:rPr>
                <w:rFonts w:ascii="Verdana" w:hAnsi="Verdana" w:cs="Arial"/>
                <w:snapToGrid w:val="0"/>
                <w:sz w:val="22"/>
                <w:szCs w:val="22"/>
              </w:rPr>
              <w:t>2021</w:t>
            </w:r>
          </w:p>
        </w:tc>
        <w:tc>
          <w:tcPr>
            <w:tcW w:w="1361" w:type="pct"/>
            <w:tcBorders>
              <w:top w:val="single" w:sz="4" w:space="0" w:color="auto"/>
              <w:left w:val="single" w:sz="4" w:space="0" w:color="auto"/>
              <w:bottom w:val="single" w:sz="4" w:space="0" w:color="auto"/>
              <w:right w:val="single" w:sz="4" w:space="0" w:color="auto"/>
            </w:tcBorders>
            <w:shd w:val="solid" w:color="FFFFFF" w:fill="auto"/>
            <w:vAlign w:val="center"/>
          </w:tcPr>
          <w:p w14:paraId="4263751C" w14:textId="078FC7C9" w:rsidR="00B55E00" w:rsidRPr="00205C60" w:rsidRDefault="00E925E2" w:rsidP="006E18E7">
            <w:pPr>
              <w:jc w:val="center"/>
              <w:rPr>
                <w:rFonts w:ascii="Verdana" w:hAnsi="Verdana" w:cs="Arial"/>
                <w:snapToGrid w:val="0"/>
                <w:sz w:val="22"/>
                <w:szCs w:val="22"/>
              </w:rPr>
            </w:pPr>
            <w:r w:rsidRPr="00205C60">
              <w:rPr>
                <w:rFonts w:ascii="Verdana" w:hAnsi="Verdana" w:cs="Arial"/>
                <w:snapToGrid w:val="0"/>
                <w:sz w:val="22"/>
                <w:szCs w:val="22"/>
              </w:rPr>
              <w:t>310</w:t>
            </w:r>
            <w:r w:rsidR="00B55E00" w:rsidRPr="00205C60">
              <w:rPr>
                <w:rFonts w:ascii="Verdana" w:hAnsi="Verdana" w:cs="Arial"/>
                <w:snapToGrid w:val="0"/>
                <w:sz w:val="22"/>
                <w:szCs w:val="22"/>
              </w:rPr>
              <w:t>.</w:t>
            </w:r>
            <w:r w:rsidRPr="00205C60">
              <w:rPr>
                <w:rFonts w:ascii="Verdana" w:hAnsi="Verdana" w:cs="Arial"/>
                <w:snapToGrid w:val="0"/>
                <w:sz w:val="22"/>
                <w:szCs w:val="22"/>
              </w:rPr>
              <w:t>190</w:t>
            </w:r>
            <w:r w:rsidR="00B55E00" w:rsidRPr="00205C60">
              <w:rPr>
                <w:rFonts w:ascii="Verdana" w:hAnsi="Verdana" w:cs="Arial"/>
                <w:snapToGrid w:val="0"/>
                <w:sz w:val="22"/>
                <w:szCs w:val="22"/>
              </w:rPr>
              <w:t>.</w:t>
            </w:r>
            <w:r w:rsidRPr="00205C60">
              <w:rPr>
                <w:rFonts w:ascii="Verdana" w:hAnsi="Verdana" w:cs="Arial"/>
                <w:snapToGrid w:val="0"/>
                <w:sz w:val="22"/>
                <w:szCs w:val="22"/>
              </w:rPr>
              <w:t>170</w:t>
            </w:r>
          </w:p>
        </w:tc>
        <w:tc>
          <w:tcPr>
            <w:tcW w:w="288" w:type="pct"/>
            <w:tcBorders>
              <w:top w:val="single" w:sz="4" w:space="0" w:color="auto"/>
              <w:left w:val="single" w:sz="4" w:space="0" w:color="auto"/>
              <w:bottom w:val="single" w:sz="4" w:space="0" w:color="auto"/>
              <w:right w:val="nil"/>
            </w:tcBorders>
            <w:shd w:val="solid" w:color="FFFFFF" w:fill="auto"/>
            <w:vAlign w:val="center"/>
          </w:tcPr>
          <w:p w14:paraId="7C90793A" w14:textId="77777777" w:rsidR="00B55E00" w:rsidRPr="00205C60" w:rsidRDefault="00B55E00" w:rsidP="006E18E7">
            <w:pPr>
              <w:jc w:val="center"/>
              <w:rPr>
                <w:rFonts w:ascii="Verdana" w:hAnsi="Verdana" w:cs="Arial"/>
                <w:snapToGrid w:val="0"/>
                <w:sz w:val="22"/>
                <w:szCs w:val="22"/>
              </w:rPr>
            </w:pPr>
          </w:p>
        </w:tc>
        <w:tc>
          <w:tcPr>
            <w:tcW w:w="1168" w:type="pct"/>
            <w:tcBorders>
              <w:top w:val="single" w:sz="4" w:space="0" w:color="auto"/>
              <w:left w:val="nil"/>
              <w:bottom w:val="single" w:sz="4" w:space="0" w:color="auto"/>
              <w:right w:val="nil"/>
            </w:tcBorders>
            <w:vAlign w:val="center"/>
          </w:tcPr>
          <w:p w14:paraId="4D879FE7" w14:textId="3369A77C" w:rsidR="00B55E00" w:rsidRPr="00205C60" w:rsidRDefault="004F6950" w:rsidP="005451CD">
            <w:pPr>
              <w:jc w:val="center"/>
              <w:rPr>
                <w:rFonts w:ascii="Verdana" w:hAnsi="Verdana" w:cs="Arial"/>
                <w:snapToGrid w:val="0"/>
                <w:sz w:val="22"/>
                <w:szCs w:val="22"/>
              </w:rPr>
            </w:pPr>
            <w:r w:rsidRPr="00205C60">
              <w:rPr>
                <w:rFonts w:ascii="Verdana" w:hAnsi="Verdana" w:cs="Arial"/>
                <w:snapToGrid w:val="0"/>
                <w:sz w:val="22"/>
                <w:szCs w:val="22"/>
              </w:rPr>
              <w:t>6</w:t>
            </w:r>
            <w:r w:rsidR="00E925E2" w:rsidRPr="00205C60">
              <w:rPr>
                <w:rFonts w:ascii="Verdana" w:hAnsi="Verdana" w:cs="Arial"/>
                <w:snapToGrid w:val="0"/>
                <w:sz w:val="22"/>
                <w:szCs w:val="22"/>
              </w:rPr>
              <w:t>75</w:t>
            </w:r>
            <w:r w:rsidRPr="00205C60">
              <w:rPr>
                <w:rFonts w:ascii="Verdana" w:hAnsi="Verdana" w:cs="Arial"/>
                <w:snapToGrid w:val="0"/>
                <w:sz w:val="22"/>
                <w:szCs w:val="22"/>
              </w:rPr>
              <w:t>.8</w:t>
            </w:r>
            <w:r w:rsidR="00E925E2" w:rsidRPr="00205C60">
              <w:rPr>
                <w:rFonts w:ascii="Verdana" w:hAnsi="Verdana" w:cs="Arial"/>
                <w:snapToGrid w:val="0"/>
                <w:sz w:val="22"/>
                <w:szCs w:val="22"/>
              </w:rPr>
              <w:t>54</w:t>
            </w:r>
            <w:r w:rsidRPr="00205C60">
              <w:rPr>
                <w:rFonts w:ascii="Verdana" w:hAnsi="Verdana" w:cs="Arial"/>
                <w:snapToGrid w:val="0"/>
                <w:sz w:val="22"/>
                <w:szCs w:val="22"/>
              </w:rPr>
              <w:t>.</w:t>
            </w:r>
            <w:r w:rsidR="00E925E2" w:rsidRPr="00205C60">
              <w:rPr>
                <w:rFonts w:ascii="Verdana" w:hAnsi="Verdana" w:cs="Arial"/>
                <w:snapToGrid w:val="0"/>
                <w:sz w:val="22"/>
                <w:szCs w:val="22"/>
              </w:rPr>
              <w:t>423</w:t>
            </w:r>
          </w:p>
        </w:tc>
        <w:tc>
          <w:tcPr>
            <w:tcW w:w="290" w:type="pct"/>
            <w:tcBorders>
              <w:top w:val="single" w:sz="4" w:space="0" w:color="auto"/>
              <w:left w:val="nil"/>
              <w:bottom w:val="single" w:sz="4" w:space="0" w:color="auto"/>
              <w:right w:val="single" w:sz="4" w:space="0" w:color="auto"/>
            </w:tcBorders>
            <w:shd w:val="solid" w:color="FFFFFF" w:fill="auto"/>
            <w:vAlign w:val="center"/>
          </w:tcPr>
          <w:p w14:paraId="670E483E" w14:textId="77777777" w:rsidR="00B55E00" w:rsidRPr="00205C60" w:rsidRDefault="00B55E00" w:rsidP="006E18E7">
            <w:pPr>
              <w:jc w:val="center"/>
              <w:rPr>
                <w:rFonts w:ascii="Verdana" w:hAnsi="Verdana" w:cs="Arial"/>
                <w:snapToGrid w:val="0"/>
                <w:sz w:val="22"/>
                <w:szCs w:val="22"/>
              </w:rPr>
            </w:pPr>
          </w:p>
        </w:tc>
        <w:tc>
          <w:tcPr>
            <w:tcW w:w="1255" w:type="pct"/>
            <w:tcBorders>
              <w:top w:val="single" w:sz="4" w:space="0" w:color="auto"/>
              <w:left w:val="single" w:sz="4" w:space="0" w:color="auto"/>
              <w:bottom w:val="single" w:sz="4" w:space="0" w:color="auto"/>
              <w:right w:val="single" w:sz="4" w:space="0" w:color="auto"/>
            </w:tcBorders>
            <w:shd w:val="solid" w:color="FFFFFF" w:fill="auto"/>
            <w:vAlign w:val="center"/>
          </w:tcPr>
          <w:p w14:paraId="29F65EDF" w14:textId="14B76776" w:rsidR="00B55E00" w:rsidRPr="00205C60" w:rsidRDefault="00F14FC8" w:rsidP="006E18E7">
            <w:pPr>
              <w:jc w:val="center"/>
              <w:rPr>
                <w:rFonts w:ascii="Verdana" w:hAnsi="Verdana" w:cs="Arial"/>
                <w:snapToGrid w:val="0"/>
                <w:sz w:val="22"/>
                <w:szCs w:val="22"/>
              </w:rPr>
            </w:pPr>
            <w:r w:rsidRPr="00205C60">
              <w:rPr>
                <w:rFonts w:ascii="Verdana" w:hAnsi="Verdana" w:cs="Arial"/>
                <w:snapToGrid w:val="0"/>
                <w:sz w:val="22"/>
                <w:szCs w:val="22"/>
              </w:rPr>
              <w:t>0,4</w:t>
            </w:r>
            <w:r w:rsidR="00E925E2" w:rsidRPr="00205C60">
              <w:rPr>
                <w:rFonts w:ascii="Verdana" w:hAnsi="Verdana" w:cs="Arial"/>
                <w:snapToGrid w:val="0"/>
                <w:sz w:val="22"/>
                <w:szCs w:val="22"/>
              </w:rPr>
              <w:t>6</w:t>
            </w:r>
          </w:p>
        </w:tc>
      </w:tr>
    </w:tbl>
    <w:p w14:paraId="3CA7E9DE" w14:textId="77777777" w:rsidR="004B1C01" w:rsidRPr="00205C60" w:rsidRDefault="004B1C01">
      <w:pPr>
        <w:jc w:val="both"/>
        <w:rPr>
          <w:rFonts w:ascii="Verdana" w:hAnsi="Verdana" w:cs="Arial"/>
          <w:sz w:val="22"/>
          <w:szCs w:val="22"/>
        </w:rPr>
      </w:pPr>
    </w:p>
    <w:p w14:paraId="3CA7E9E0" w14:textId="50C8CA79" w:rsidR="00CD34CC" w:rsidRPr="00205C60" w:rsidRDefault="00743BE9">
      <w:pPr>
        <w:jc w:val="both"/>
        <w:rPr>
          <w:rFonts w:ascii="Verdana" w:hAnsi="Verdana" w:cs="Arial"/>
          <w:sz w:val="22"/>
          <w:szCs w:val="22"/>
        </w:rPr>
      </w:pPr>
      <w:r w:rsidRPr="00205C60">
        <w:rPr>
          <w:rFonts w:ascii="Verdana" w:hAnsi="Verdana" w:cs="Arial"/>
          <w:sz w:val="22"/>
          <w:szCs w:val="22"/>
        </w:rPr>
        <w:t>Técnicamente con el uso eficiente y eficaz de los activos fijos como las plantas generadoras y el sistema de distribución</w:t>
      </w:r>
      <w:r w:rsidR="0034774F" w:rsidRPr="00205C60">
        <w:rPr>
          <w:rFonts w:ascii="Verdana" w:hAnsi="Verdana" w:cs="Arial"/>
          <w:sz w:val="22"/>
          <w:szCs w:val="22"/>
        </w:rPr>
        <w:t xml:space="preserve">- </w:t>
      </w:r>
      <w:r w:rsidR="000734CB" w:rsidRPr="00205C60">
        <w:rPr>
          <w:rFonts w:ascii="Verdana" w:hAnsi="Verdana" w:cs="Arial"/>
          <w:sz w:val="22"/>
          <w:szCs w:val="22"/>
        </w:rPr>
        <w:t>comercialización la</w:t>
      </w:r>
      <w:r w:rsidR="0034774F" w:rsidRPr="00205C60">
        <w:rPr>
          <w:rFonts w:ascii="Verdana" w:hAnsi="Verdana" w:cs="Arial"/>
          <w:sz w:val="22"/>
          <w:szCs w:val="22"/>
        </w:rPr>
        <w:t xml:space="preserve"> empresa logra alcanzar las ventas anuales</w:t>
      </w:r>
      <w:r w:rsidRPr="00205C60">
        <w:rPr>
          <w:rFonts w:ascii="Verdana" w:hAnsi="Verdana" w:cs="Arial"/>
          <w:sz w:val="22"/>
          <w:szCs w:val="22"/>
        </w:rPr>
        <w:t>.</w:t>
      </w:r>
      <w:r w:rsidR="0034774F" w:rsidRPr="00205C60">
        <w:rPr>
          <w:rFonts w:ascii="Verdana" w:hAnsi="Verdana" w:cs="Arial"/>
          <w:sz w:val="22"/>
          <w:szCs w:val="22"/>
        </w:rPr>
        <w:t xml:space="preserve"> </w:t>
      </w:r>
    </w:p>
    <w:p w14:paraId="3CA7E9E1" w14:textId="77777777" w:rsidR="00CD34CC" w:rsidRPr="00205C60" w:rsidRDefault="00CD34CC">
      <w:pPr>
        <w:jc w:val="both"/>
        <w:rPr>
          <w:rFonts w:ascii="Verdana" w:hAnsi="Verdana" w:cs="Arial"/>
          <w:sz w:val="22"/>
          <w:szCs w:val="22"/>
        </w:rPr>
      </w:pPr>
    </w:p>
    <w:p w14:paraId="3CA7E9E2" w14:textId="045F4980" w:rsidR="00D825BA" w:rsidRPr="00205C60" w:rsidRDefault="008964BB">
      <w:pPr>
        <w:jc w:val="both"/>
        <w:rPr>
          <w:rFonts w:ascii="Verdana" w:hAnsi="Verdana" w:cs="Arial"/>
          <w:sz w:val="22"/>
          <w:szCs w:val="22"/>
        </w:rPr>
      </w:pPr>
      <w:r w:rsidRPr="00205C60">
        <w:rPr>
          <w:rFonts w:ascii="Verdana" w:hAnsi="Verdana" w:cs="Arial"/>
          <w:sz w:val="22"/>
          <w:szCs w:val="22"/>
        </w:rPr>
        <w:t>En el año 20</w:t>
      </w:r>
      <w:r w:rsidR="003F31B4" w:rsidRPr="00205C60">
        <w:rPr>
          <w:rFonts w:ascii="Verdana" w:hAnsi="Verdana" w:cs="Arial"/>
          <w:sz w:val="22"/>
          <w:szCs w:val="22"/>
        </w:rPr>
        <w:t>2</w:t>
      </w:r>
      <w:r w:rsidR="00AA357E" w:rsidRPr="00205C60">
        <w:rPr>
          <w:rFonts w:ascii="Verdana" w:hAnsi="Verdana" w:cs="Arial"/>
          <w:sz w:val="22"/>
          <w:szCs w:val="22"/>
        </w:rPr>
        <w:t>2</w:t>
      </w:r>
      <w:r w:rsidRPr="00205C60">
        <w:rPr>
          <w:rFonts w:ascii="Verdana" w:hAnsi="Verdana" w:cs="Arial"/>
          <w:sz w:val="22"/>
          <w:szCs w:val="22"/>
        </w:rPr>
        <w:t xml:space="preserve">, el indicador presenta </w:t>
      </w:r>
      <w:r w:rsidR="00AA357E" w:rsidRPr="00205C60">
        <w:rPr>
          <w:rFonts w:ascii="Verdana" w:hAnsi="Verdana" w:cs="Arial"/>
          <w:sz w:val="22"/>
          <w:szCs w:val="22"/>
        </w:rPr>
        <w:t>un aumento con</w:t>
      </w:r>
      <w:r w:rsidR="0048692A" w:rsidRPr="00205C60">
        <w:rPr>
          <w:rFonts w:ascii="Verdana" w:hAnsi="Verdana" w:cs="Arial"/>
          <w:sz w:val="22"/>
          <w:szCs w:val="22"/>
        </w:rPr>
        <w:t xml:space="preserve"> r</w:t>
      </w:r>
      <w:r w:rsidRPr="00205C60">
        <w:rPr>
          <w:rFonts w:ascii="Verdana" w:hAnsi="Verdana" w:cs="Arial"/>
          <w:sz w:val="22"/>
          <w:szCs w:val="22"/>
        </w:rPr>
        <w:t>especto al año anterior</w:t>
      </w:r>
      <w:r w:rsidR="0048692A" w:rsidRPr="00205C60">
        <w:rPr>
          <w:rFonts w:ascii="Verdana" w:hAnsi="Verdana" w:cs="Arial"/>
          <w:sz w:val="22"/>
          <w:szCs w:val="22"/>
        </w:rPr>
        <w:t xml:space="preserve"> debido principalmente </w:t>
      </w:r>
      <w:r w:rsidR="00CA43E9" w:rsidRPr="00205C60">
        <w:rPr>
          <w:rFonts w:ascii="Verdana" w:hAnsi="Verdana" w:cs="Arial"/>
          <w:sz w:val="22"/>
          <w:szCs w:val="22"/>
        </w:rPr>
        <w:t xml:space="preserve">por </w:t>
      </w:r>
      <w:r w:rsidR="009407AC" w:rsidRPr="00205C60">
        <w:rPr>
          <w:rFonts w:ascii="Verdana" w:hAnsi="Verdana" w:cs="Arial"/>
          <w:sz w:val="22"/>
          <w:szCs w:val="22"/>
        </w:rPr>
        <w:t xml:space="preserve">el aumento en </w:t>
      </w:r>
      <w:r w:rsidR="00CA43E9" w:rsidRPr="00205C60">
        <w:rPr>
          <w:rFonts w:ascii="Verdana" w:hAnsi="Verdana" w:cs="Arial"/>
          <w:sz w:val="22"/>
          <w:szCs w:val="22"/>
        </w:rPr>
        <w:t>las ventas de energía</w:t>
      </w:r>
      <w:r w:rsidR="00B86428" w:rsidRPr="00205C60">
        <w:rPr>
          <w:rFonts w:ascii="Verdana" w:hAnsi="Verdana" w:cs="Arial"/>
          <w:sz w:val="22"/>
          <w:szCs w:val="22"/>
        </w:rPr>
        <w:t>, las cuales se</w:t>
      </w:r>
      <w:r w:rsidR="00BA4C6A" w:rsidRPr="00205C60">
        <w:rPr>
          <w:rFonts w:ascii="Verdana" w:hAnsi="Verdana" w:cs="Arial"/>
          <w:sz w:val="22"/>
          <w:szCs w:val="22"/>
        </w:rPr>
        <w:t xml:space="preserve"> vieron </w:t>
      </w:r>
      <w:r w:rsidR="00974BBD" w:rsidRPr="00205C60">
        <w:rPr>
          <w:rFonts w:ascii="Verdana" w:hAnsi="Verdana" w:cs="Arial"/>
          <w:sz w:val="22"/>
          <w:szCs w:val="22"/>
        </w:rPr>
        <w:t>influenciadas por el aumento en las ventas en MWh</w:t>
      </w:r>
      <w:r w:rsidR="00F125E9" w:rsidRPr="00205C60">
        <w:rPr>
          <w:rFonts w:ascii="Verdana" w:hAnsi="Verdana" w:cs="Arial"/>
          <w:sz w:val="22"/>
          <w:szCs w:val="22"/>
        </w:rPr>
        <w:t>,</w:t>
      </w:r>
      <w:r w:rsidR="00974BBD" w:rsidRPr="00205C60">
        <w:rPr>
          <w:rFonts w:ascii="Verdana" w:hAnsi="Verdana" w:cs="Arial"/>
          <w:sz w:val="22"/>
          <w:szCs w:val="22"/>
        </w:rPr>
        <w:t xml:space="preserve"> así como por el incremento</w:t>
      </w:r>
      <w:r w:rsidR="00B86428" w:rsidRPr="00205C60">
        <w:rPr>
          <w:rFonts w:ascii="Verdana" w:hAnsi="Verdana" w:cs="Arial"/>
          <w:sz w:val="22"/>
          <w:szCs w:val="22"/>
        </w:rPr>
        <w:t xml:space="preserve"> </w:t>
      </w:r>
      <w:r w:rsidR="00BA4C6A" w:rsidRPr="00205C60">
        <w:rPr>
          <w:rFonts w:ascii="Verdana" w:hAnsi="Verdana" w:cs="Arial"/>
          <w:sz w:val="22"/>
          <w:szCs w:val="22"/>
        </w:rPr>
        <w:t>en el precio de venta debido al ajuste tarifario aprobado según RE-0080-IE-2021</w:t>
      </w:r>
      <w:r w:rsidRPr="00205C60">
        <w:rPr>
          <w:rFonts w:ascii="Verdana" w:hAnsi="Verdana" w:cs="Arial"/>
          <w:sz w:val="22"/>
          <w:szCs w:val="22"/>
        </w:rPr>
        <w:t>.</w:t>
      </w:r>
    </w:p>
    <w:p w14:paraId="3CA7E9E3" w14:textId="77777777" w:rsidR="008964BB" w:rsidRPr="00205C60" w:rsidRDefault="008964BB">
      <w:pPr>
        <w:jc w:val="both"/>
        <w:rPr>
          <w:rFonts w:ascii="Verdana" w:hAnsi="Verdana" w:cs="Arial"/>
          <w:sz w:val="22"/>
          <w:szCs w:val="22"/>
        </w:rPr>
      </w:pPr>
    </w:p>
    <w:p w14:paraId="3CA7E9E4" w14:textId="77777777" w:rsidR="008964BB" w:rsidRPr="00205C60" w:rsidRDefault="008964BB">
      <w:pPr>
        <w:jc w:val="both"/>
        <w:rPr>
          <w:rFonts w:ascii="Verdana" w:hAnsi="Verdana" w:cs="Arial"/>
          <w:sz w:val="22"/>
          <w:szCs w:val="22"/>
        </w:rPr>
      </w:pPr>
    </w:p>
    <w:p w14:paraId="3CA7E9E5" w14:textId="77777777" w:rsidR="0051238E" w:rsidRPr="00205C60" w:rsidRDefault="00B44125" w:rsidP="00882F32">
      <w:pPr>
        <w:pStyle w:val="Prrafodelista"/>
        <w:numPr>
          <w:ilvl w:val="0"/>
          <w:numId w:val="27"/>
        </w:numPr>
        <w:rPr>
          <w:rFonts w:ascii="Verdana" w:hAnsi="Verdana" w:cs="Arial"/>
          <w:b/>
          <w:sz w:val="22"/>
          <w:szCs w:val="22"/>
        </w:rPr>
      </w:pPr>
      <w:r w:rsidRPr="00205C60">
        <w:rPr>
          <w:rFonts w:ascii="Verdana" w:hAnsi="Verdana" w:cs="Arial"/>
          <w:b/>
          <w:sz w:val="22"/>
          <w:szCs w:val="22"/>
        </w:rPr>
        <w:t xml:space="preserve">Período medio de cobro </w:t>
      </w:r>
    </w:p>
    <w:p w14:paraId="3CA7E9E6" w14:textId="77777777" w:rsidR="0051238E" w:rsidRPr="00205C60" w:rsidRDefault="0051238E" w:rsidP="0051238E">
      <w:pPr>
        <w:ind w:left="1080"/>
        <w:rPr>
          <w:rFonts w:ascii="Verdana" w:hAnsi="Verdana" w:cs="Arial"/>
          <w:b/>
          <w:sz w:val="22"/>
          <w:szCs w:val="22"/>
          <w:u w:val="single"/>
        </w:rPr>
      </w:pPr>
    </w:p>
    <w:p w14:paraId="3CA7E9E7" w14:textId="0967A9EC" w:rsidR="007A65EF" w:rsidRPr="00205C60" w:rsidRDefault="00AC28C6" w:rsidP="0051238E">
      <w:pPr>
        <w:jc w:val="both"/>
        <w:rPr>
          <w:rFonts w:ascii="Verdana" w:hAnsi="Verdana" w:cs="Arial"/>
          <w:sz w:val="22"/>
          <w:szCs w:val="22"/>
        </w:rPr>
      </w:pPr>
      <w:r w:rsidRPr="00205C60">
        <w:rPr>
          <w:rFonts w:ascii="Verdana" w:hAnsi="Verdana" w:cs="Arial"/>
          <w:sz w:val="22"/>
          <w:szCs w:val="22"/>
        </w:rPr>
        <w:t xml:space="preserve">A través de </w:t>
      </w:r>
      <w:r w:rsidR="001E5409" w:rsidRPr="00205C60">
        <w:rPr>
          <w:rFonts w:ascii="Verdana" w:hAnsi="Verdana" w:cs="Arial"/>
          <w:sz w:val="22"/>
          <w:szCs w:val="22"/>
        </w:rPr>
        <w:t>este</w:t>
      </w:r>
      <w:r w:rsidRPr="00205C60">
        <w:rPr>
          <w:rFonts w:ascii="Verdana" w:hAnsi="Verdana" w:cs="Arial"/>
          <w:sz w:val="22"/>
          <w:szCs w:val="22"/>
        </w:rPr>
        <w:t xml:space="preserve"> índice se determina el promedio de días que tarda la Compañía en recuperar los montos facturados </w:t>
      </w:r>
      <w:r w:rsidR="00776354" w:rsidRPr="00205C60">
        <w:rPr>
          <w:rFonts w:ascii="Verdana" w:hAnsi="Verdana" w:cs="Arial"/>
          <w:sz w:val="22"/>
          <w:szCs w:val="22"/>
        </w:rPr>
        <w:t xml:space="preserve">pendientes </w:t>
      </w:r>
      <w:r w:rsidRPr="00205C60">
        <w:rPr>
          <w:rFonts w:ascii="Verdana" w:hAnsi="Verdana" w:cs="Arial"/>
          <w:sz w:val="22"/>
          <w:szCs w:val="22"/>
        </w:rPr>
        <w:t xml:space="preserve">por concepto </w:t>
      </w:r>
      <w:r w:rsidR="00B44125" w:rsidRPr="00205C60">
        <w:rPr>
          <w:rFonts w:ascii="Verdana" w:hAnsi="Verdana" w:cs="Arial"/>
          <w:sz w:val="22"/>
          <w:szCs w:val="22"/>
        </w:rPr>
        <w:t xml:space="preserve">de las ventas </w:t>
      </w:r>
      <w:r w:rsidR="008106E2" w:rsidRPr="00205C60">
        <w:rPr>
          <w:rFonts w:ascii="Verdana" w:hAnsi="Verdana" w:cs="Arial"/>
          <w:sz w:val="22"/>
          <w:szCs w:val="22"/>
        </w:rPr>
        <w:t xml:space="preserve">directas </w:t>
      </w:r>
      <w:r w:rsidR="008153FF" w:rsidRPr="00205C60">
        <w:rPr>
          <w:rFonts w:ascii="Verdana" w:hAnsi="Verdana" w:cs="Arial"/>
          <w:sz w:val="22"/>
          <w:szCs w:val="22"/>
        </w:rPr>
        <w:t xml:space="preserve">de energía </w:t>
      </w:r>
      <w:r w:rsidR="008106E2" w:rsidRPr="00205C60">
        <w:rPr>
          <w:rFonts w:ascii="Verdana" w:hAnsi="Verdana" w:cs="Arial"/>
          <w:sz w:val="22"/>
          <w:szCs w:val="22"/>
        </w:rPr>
        <w:t>a</w:t>
      </w:r>
      <w:r w:rsidR="007A65EF" w:rsidRPr="00205C60">
        <w:rPr>
          <w:rFonts w:ascii="Verdana" w:hAnsi="Verdana" w:cs="Arial"/>
          <w:sz w:val="22"/>
          <w:szCs w:val="22"/>
        </w:rPr>
        <w:t>l ICE por servicio eléctrico,</w:t>
      </w:r>
      <w:r w:rsidR="008106E2" w:rsidRPr="00205C60">
        <w:rPr>
          <w:rFonts w:ascii="Verdana" w:hAnsi="Verdana" w:cs="Arial"/>
          <w:sz w:val="22"/>
          <w:szCs w:val="22"/>
        </w:rPr>
        <w:t xml:space="preserve"> </w:t>
      </w:r>
      <w:r w:rsidR="00B93496" w:rsidRPr="00205C60">
        <w:rPr>
          <w:rFonts w:ascii="Verdana" w:hAnsi="Verdana" w:cs="Arial"/>
          <w:sz w:val="22"/>
          <w:szCs w:val="22"/>
        </w:rPr>
        <w:t>clientes y</w:t>
      </w:r>
      <w:r w:rsidR="008106E2" w:rsidRPr="00205C60">
        <w:rPr>
          <w:rFonts w:ascii="Verdana" w:hAnsi="Verdana" w:cs="Arial"/>
          <w:sz w:val="22"/>
          <w:szCs w:val="22"/>
        </w:rPr>
        <w:t xml:space="preserve"> dependencias de </w:t>
      </w:r>
      <w:r w:rsidRPr="00205C60">
        <w:rPr>
          <w:rFonts w:ascii="Verdana" w:hAnsi="Verdana" w:cs="Arial"/>
          <w:sz w:val="22"/>
          <w:szCs w:val="22"/>
        </w:rPr>
        <w:t>G</w:t>
      </w:r>
      <w:r w:rsidR="008106E2" w:rsidRPr="00205C60">
        <w:rPr>
          <w:rFonts w:ascii="Verdana" w:hAnsi="Verdana" w:cs="Arial"/>
          <w:sz w:val="22"/>
          <w:szCs w:val="22"/>
        </w:rPr>
        <w:t>obierno</w:t>
      </w:r>
      <w:r w:rsidR="007A65EF" w:rsidRPr="00205C60">
        <w:rPr>
          <w:rFonts w:ascii="Verdana" w:hAnsi="Verdana" w:cs="Arial"/>
          <w:sz w:val="22"/>
          <w:szCs w:val="22"/>
        </w:rPr>
        <w:t xml:space="preserve">.  </w:t>
      </w:r>
    </w:p>
    <w:p w14:paraId="3CA7E9E8" w14:textId="77777777" w:rsidR="0051238E" w:rsidRPr="00205C60" w:rsidRDefault="0051238E" w:rsidP="0051238E">
      <w:pPr>
        <w:jc w:val="both"/>
        <w:rPr>
          <w:rFonts w:ascii="Verdana" w:hAnsi="Verdana" w:cs="Arial"/>
          <w:sz w:val="22"/>
          <w:szCs w:val="22"/>
        </w:rPr>
      </w:pPr>
    </w:p>
    <w:p w14:paraId="3CA7E9E9" w14:textId="77777777" w:rsidR="002C53CF" w:rsidRPr="00205C60" w:rsidRDefault="00AB0A70" w:rsidP="0051238E">
      <w:pPr>
        <w:jc w:val="both"/>
        <w:rPr>
          <w:rFonts w:ascii="Verdana" w:hAnsi="Verdana" w:cs="Arial"/>
          <w:sz w:val="22"/>
          <w:szCs w:val="22"/>
        </w:rPr>
      </w:pPr>
      <w:r w:rsidRPr="00205C60">
        <w:rPr>
          <w:rFonts w:ascii="Verdana" w:hAnsi="Verdana" w:cs="Arial"/>
          <w:sz w:val="22"/>
          <w:szCs w:val="22"/>
        </w:rPr>
        <w:t xml:space="preserve">Este indicador </w:t>
      </w:r>
      <w:r w:rsidR="008362CD" w:rsidRPr="00205C60">
        <w:rPr>
          <w:rFonts w:ascii="Verdana" w:hAnsi="Verdana" w:cs="Arial"/>
          <w:sz w:val="22"/>
          <w:szCs w:val="22"/>
        </w:rPr>
        <w:t xml:space="preserve">no </w:t>
      </w:r>
      <w:r w:rsidR="006F12BA" w:rsidRPr="00205C60">
        <w:rPr>
          <w:rFonts w:ascii="Verdana" w:hAnsi="Verdana" w:cs="Arial"/>
          <w:sz w:val="22"/>
          <w:szCs w:val="22"/>
        </w:rPr>
        <w:t xml:space="preserve">incluye </w:t>
      </w:r>
      <w:r w:rsidR="008362CD" w:rsidRPr="00205C60">
        <w:rPr>
          <w:rFonts w:ascii="Verdana" w:hAnsi="Verdana" w:cs="Arial"/>
          <w:sz w:val="22"/>
          <w:szCs w:val="22"/>
        </w:rPr>
        <w:t xml:space="preserve">en el componente de los ingresos, </w:t>
      </w:r>
      <w:r w:rsidR="001A5552" w:rsidRPr="00205C60">
        <w:rPr>
          <w:rFonts w:ascii="Verdana" w:hAnsi="Verdana" w:cs="Arial"/>
          <w:sz w:val="22"/>
          <w:szCs w:val="22"/>
        </w:rPr>
        <w:t xml:space="preserve">el </w:t>
      </w:r>
      <w:r w:rsidR="003F04AF" w:rsidRPr="00205C60">
        <w:rPr>
          <w:rFonts w:ascii="Verdana" w:hAnsi="Verdana" w:cs="Arial"/>
          <w:sz w:val="22"/>
          <w:szCs w:val="22"/>
        </w:rPr>
        <w:t>alquiler de postes</w:t>
      </w:r>
      <w:r w:rsidR="001A5552" w:rsidRPr="00205C60">
        <w:rPr>
          <w:rFonts w:ascii="Verdana" w:hAnsi="Verdana" w:cs="Arial"/>
          <w:sz w:val="22"/>
          <w:szCs w:val="22"/>
        </w:rPr>
        <w:t xml:space="preserve"> para servicio de telefonía</w:t>
      </w:r>
      <w:r w:rsidRPr="00205C60">
        <w:rPr>
          <w:rFonts w:ascii="Verdana" w:hAnsi="Verdana" w:cs="Arial"/>
          <w:sz w:val="22"/>
          <w:szCs w:val="22"/>
        </w:rPr>
        <w:t>, por ser distint</w:t>
      </w:r>
      <w:r w:rsidR="00A66B0C" w:rsidRPr="00205C60">
        <w:rPr>
          <w:rFonts w:ascii="Verdana" w:hAnsi="Verdana" w:cs="Arial"/>
          <w:sz w:val="22"/>
          <w:szCs w:val="22"/>
        </w:rPr>
        <w:t>o</w:t>
      </w:r>
      <w:r w:rsidRPr="00205C60">
        <w:rPr>
          <w:rFonts w:ascii="Verdana" w:hAnsi="Verdana" w:cs="Arial"/>
          <w:sz w:val="22"/>
          <w:szCs w:val="22"/>
        </w:rPr>
        <w:t xml:space="preserve"> a la actividad principal de la Compañía</w:t>
      </w:r>
      <w:r w:rsidR="003F04AF" w:rsidRPr="00205C60">
        <w:rPr>
          <w:rFonts w:ascii="Verdana" w:hAnsi="Verdana" w:cs="Arial"/>
          <w:sz w:val="22"/>
          <w:szCs w:val="22"/>
        </w:rPr>
        <w:t>.</w:t>
      </w:r>
      <w:r w:rsidR="006F12BA" w:rsidRPr="00205C60">
        <w:rPr>
          <w:rFonts w:ascii="Verdana" w:hAnsi="Verdana" w:cs="Arial"/>
          <w:sz w:val="22"/>
          <w:szCs w:val="22"/>
        </w:rPr>
        <w:t xml:space="preserve"> </w:t>
      </w:r>
      <w:r w:rsidR="003F04AF" w:rsidRPr="00205C60">
        <w:rPr>
          <w:rFonts w:ascii="Verdana" w:hAnsi="Verdana" w:cs="Arial"/>
          <w:sz w:val="22"/>
          <w:szCs w:val="22"/>
        </w:rPr>
        <w:t xml:space="preserve">Tampoco considera cobros por </w:t>
      </w:r>
      <w:r w:rsidR="006F12BA" w:rsidRPr="00205C60">
        <w:rPr>
          <w:rFonts w:ascii="Verdana" w:hAnsi="Verdana" w:cs="Arial"/>
          <w:sz w:val="22"/>
          <w:szCs w:val="22"/>
        </w:rPr>
        <w:t>daños a instalaciones eléctricas, Fondo de Ahorro y Prés</w:t>
      </w:r>
      <w:r w:rsidR="00794799" w:rsidRPr="00205C60">
        <w:rPr>
          <w:rFonts w:ascii="Verdana" w:hAnsi="Verdana" w:cs="Arial"/>
          <w:sz w:val="22"/>
          <w:szCs w:val="22"/>
        </w:rPr>
        <w:t>tamo, ni otras partidas menores</w:t>
      </w:r>
      <w:r w:rsidR="001D69FF" w:rsidRPr="00205C60">
        <w:rPr>
          <w:rFonts w:ascii="Verdana" w:hAnsi="Verdana" w:cs="Arial"/>
          <w:sz w:val="22"/>
          <w:szCs w:val="22"/>
        </w:rPr>
        <w:t xml:space="preserve"> como convenios de pago y financiamiento, </w:t>
      </w:r>
      <w:r w:rsidR="00794799" w:rsidRPr="00205C60">
        <w:rPr>
          <w:rFonts w:ascii="Verdana" w:hAnsi="Verdana" w:cs="Arial"/>
          <w:sz w:val="22"/>
          <w:szCs w:val="22"/>
        </w:rPr>
        <w:t>que representan una participación mu</w:t>
      </w:r>
      <w:r w:rsidR="002C53CF" w:rsidRPr="00205C60">
        <w:rPr>
          <w:rFonts w:ascii="Verdana" w:hAnsi="Verdana" w:cs="Arial"/>
          <w:sz w:val="22"/>
          <w:szCs w:val="22"/>
        </w:rPr>
        <w:t>y pequeña en términos relativos y que no se relacionan con la actividad</w:t>
      </w:r>
      <w:r w:rsidR="0034774F" w:rsidRPr="00205C60">
        <w:rPr>
          <w:rFonts w:ascii="Verdana" w:hAnsi="Verdana" w:cs="Arial"/>
          <w:sz w:val="22"/>
          <w:szCs w:val="22"/>
        </w:rPr>
        <w:t xml:space="preserve"> ordinaria</w:t>
      </w:r>
      <w:r w:rsidR="002C53CF" w:rsidRPr="00205C60">
        <w:rPr>
          <w:rFonts w:ascii="Verdana" w:hAnsi="Verdana" w:cs="Arial"/>
          <w:sz w:val="22"/>
          <w:szCs w:val="22"/>
        </w:rPr>
        <w:t xml:space="preserve"> de la empresa.</w:t>
      </w:r>
    </w:p>
    <w:p w14:paraId="3CA7E9EA" w14:textId="77777777" w:rsidR="00B83A30" w:rsidRPr="00205C60" w:rsidRDefault="00B83A30" w:rsidP="0051238E">
      <w:pPr>
        <w:jc w:val="both"/>
        <w:rPr>
          <w:rFonts w:ascii="Verdana" w:hAnsi="Verdana" w:cs="Arial"/>
          <w:sz w:val="22"/>
          <w:szCs w:val="22"/>
        </w:rPr>
      </w:pPr>
    </w:p>
    <w:p w14:paraId="3CA7E9EB" w14:textId="1F1CD49B" w:rsidR="006035FC" w:rsidRPr="00205C60" w:rsidRDefault="00B83A30" w:rsidP="0051238E">
      <w:pPr>
        <w:jc w:val="both"/>
        <w:rPr>
          <w:rFonts w:ascii="Verdana" w:hAnsi="Verdana" w:cs="Arial"/>
          <w:sz w:val="22"/>
          <w:szCs w:val="22"/>
        </w:rPr>
      </w:pPr>
      <w:r w:rsidRPr="00205C60">
        <w:rPr>
          <w:rFonts w:ascii="Verdana" w:hAnsi="Verdana" w:cs="Arial"/>
          <w:sz w:val="22"/>
          <w:szCs w:val="22"/>
        </w:rPr>
        <w:lastRenderedPageBreak/>
        <w:t xml:space="preserve">Los montos </w:t>
      </w:r>
      <w:r w:rsidR="00AB0A70" w:rsidRPr="00205C60">
        <w:rPr>
          <w:rFonts w:ascii="Verdana" w:hAnsi="Verdana" w:cs="Arial"/>
          <w:sz w:val="22"/>
          <w:szCs w:val="22"/>
        </w:rPr>
        <w:t xml:space="preserve">de cuentas por cobrar </w:t>
      </w:r>
      <w:r w:rsidRPr="00205C60">
        <w:rPr>
          <w:rFonts w:ascii="Verdana" w:hAnsi="Verdana" w:cs="Arial"/>
          <w:sz w:val="22"/>
          <w:szCs w:val="22"/>
        </w:rPr>
        <w:t xml:space="preserve">utilizados en el cálculo de la razón cuentas por cobrar a ventas diarias </w:t>
      </w:r>
      <w:r w:rsidR="006035FC" w:rsidRPr="00205C60">
        <w:rPr>
          <w:rFonts w:ascii="Verdana" w:hAnsi="Verdana" w:cs="Arial"/>
          <w:sz w:val="22"/>
          <w:szCs w:val="22"/>
        </w:rPr>
        <w:t xml:space="preserve">son los que aparecen en </w:t>
      </w:r>
      <w:r w:rsidR="003B58DC" w:rsidRPr="00205C60">
        <w:rPr>
          <w:rFonts w:ascii="Verdana" w:hAnsi="Verdana" w:cs="Arial"/>
          <w:sz w:val="22"/>
          <w:szCs w:val="22"/>
        </w:rPr>
        <w:t xml:space="preserve">la nota </w:t>
      </w:r>
      <w:r w:rsidR="006221A2" w:rsidRPr="00205C60">
        <w:rPr>
          <w:rFonts w:ascii="Verdana" w:hAnsi="Verdana" w:cs="Arial"/>
          <w:sz w:val="22"/>
          <w:szCs w:val="22"/>
        </w:rPr>
        <w:t>1</w:t>
      </w:r>
      <w:r w:rsidR="003B58DC" w:rsidRPr="00205C60">
        <w:rPr>
          <w:rFonts w:ascii="Verdana" w:hAnsi="Verdana" w:cs="Arial"/>
          <w:sz w:val="22"/>
          <w:szCs w:val="22"/>
        </w:rPr>
        <w:t>4</w:t>
      </w:r>
      <w:r w:rsidR="00852E60" w:rsidRPr="00205C60">
        <w:rPr>
          <w:rFonts w:ascii="Verdana" w:hAnsi="Verdana" w:cs="Arial"/>
          <w:sz w:val="22"/>
          <w:szCs w:val="22"/>
        </w:rPr>
        <w:t xml:space="preserve"> (</w:t>
      </w:r>
      <w:r w:rsidR="00A46768" w:rsidRPr="00205C60">
        <w:rPr>
          <w:rFonts w:ascii="Verdana" w:hAnsi="Verdana" w:cs="Arial"/>
          <w:sz w:val="22"/>
          <w:szCs w:val="22"/>
        </w:rPr>
        <w:t>pág.</w:t>
      </w:r>
      <w:r w:rsidR="00852E60" w:rsidRPr="00205C60">
        <w:rPr>
          <w:rFonts w:ascii="Verdana" w:hAnsi="Verdana" w:cs="Arial"/>
          <w:sz w:val="22"/>
          <w:szCs w:val="22"/>
        </w:rPr>
        <w:t xml:space="preserve"> 4</w:t>
      </w:r>
      <w:r w:rsidR="001B262C" w:rsidRPr="00205C60">
        <w:rPr>
          <w:rFonts w:ascii="Verdana" w:hAnsi="Verdana" w:cs="Arial"/>
          <w:sz w:val="22"/>
          <w:szCs w:val="22"/>
        </w:rPr>
        <w:t>0</w:t>
      </w:r>
      <w:r w:rsidR="00852E60" w:rsidRPr="00205C60">
        <w:rPr>
          <w:rFonts w:ascii="Verdana" w:hAnsi="Verdana" w:cs="Arial"/>
          <w:sz w:val="22"/>
          <w:szCs w:val="22"/>
        </w:rPr>
        <w:t>)</w:t>
      </w:r>
      <w:r w:rsidR="006035FC" w:rsidRPr="00205C60">
        <w:rPr>
          <w:rFonts w:ascii="Verdana" w:hAnsi="Verdana" w:cs="Arial"/>
          <w:sz w:val="22"/>
          <w:szCs w:val="22"/>
        </w:rPr>
        <w:t xml:space="preserve"> de </w:t>
      </w:r>
      <w:r w:rsidR="006221A2" w:rsidRPr="00205C60">
        <w:rPr>
          <w:rFonts w:ascii="Verdana" w:hAnsi="Verdana" w:cs="Arial"/>
          <w:sz w:val="22"/>
          <w:szCs w:val="22"/>
        </w:rPr>
        <w:t>los estados financieros auditados</w:t>
      </w:r>
      <w:r w:rsidR="006035FC" w:rsidRPr="00205C60">
        <w:rPr>
          <w:rFonts w:ascii="Verdana" w:hAnsi="Verdana" w:cs="Arial"/>
          <w:sz w:val="22"/>
          <w:szCs w:val="22"/>
        </w:rPr>
        <w:t xml:space="preserve">.  </w:t>
      </w:r>
    </w:p>
    <w:p w14:paraId="3CA7E9EC" w14:textId="77777777" w:rsidR="00496CDC" w:rsidRPr="00205C60" w:rsidRDefault="00496CDC" w:rsidP="0051238E">
      <w:pPr>
        <w:jc w:val="both"/>
        <w:rPr>
          <w:rFonts w:ascii="Verdana" w:hAnsi="Verdana" w:cs="Arial"/>
          <w:sz w:val="22"/>
          <w:szCs w:val="22"/>
        </w:rPr>
      </w:pPr>
    </w:p>
    <w:p w14:paraId="3CA7E9ED" w14:textId="571B3CAC" w:rsidR="00772D52" w:rsidRPr="00205C60" w:rsidRDefault="006035FC" w:rsidP="0051238E">
      <w:pPr>
        <w:jc w:val="both"/>
        <w:rPr>
          <w:rFonts w:ascii="Verdana" w:hAnsi="Verdana" w:cs="Arial"/>
          <w:sz w:val="22"/>
          <w:szCs w:val="22"/>
        </w:rPr>
      </w:pPr>
      <w:bookmarkStart w:id="105" w:name="_Hlk135314699"/>
      <w:r w:rsidRPr="000272DD">
        <w:rPr>
          <w:rFonts w:ascii="Verdana" w:hAnsi="Verdana" w:cs="Arial"/>
          <w:color w:val="000000" w:themeColor="text1"/>
          <w:sz w:val="22"/>
          <w:szCs w:val="22"/>
        </w:rPr>
        <w:t>Estas cifras r</w:t>
      </w:r>
      <w:r w:rsidR="00B83A30" w:rsidRPr="000272DD">
        <w:rPr>
          <w:rFonts w:ascii="Verdana" w:hAnsi="Verdana" w:cs="Arial"/>
          <w:color w:val="000000" w:themeColor="text1"/>
          <w:sz w:val="22"/>
          <w:szCs w:val="22"/>
        </w:rPr>
        <w:t>epresenta</w:t>
      </w:r>
      <w:r w:rsidRPr="000272DD">
        <w:rPr>
          <w:rFonts w:ascii="Verdana" w:hAnsi="Verdana" w:cs="Arial"/>
          <w:color w:val="000000" w:themeColor="text1"/>
          <w:sz w:val="22"/>
          <w:szCs w:val="22"/>
        </w:rPr>
        <w:t xml:space="preserve">ron </w:t>
      </w:r>
      <w:r w:rsidR="00DF78A1" w:rsidRPr="000272DD">
        <w:rPr>
          <w:rFonts w:ascii="Verdana" w:hAnsi="Verdana" w:cs="Arial"/>
          <w:color w:val="000000" w:themeColor="text1"/>
          <w:sz w:val="22"/>
          <w:szCs w:val="22"/>
        </w:rPr>
        <w:t>e</w:t>
      </w:r>
      <w:r w:rsidR="00284DA2" w:rsidRPr="000272DD">
        <w:rPr>
          <w:rFonts w:ascii="Verdana" w:hAnsi="Verdana" w:cs="Arial"/>
          <w:color w:val="000000" w:themeColor="text1"/>
          <w:sz w:val="22"/>
          <w:szCs w:val="22"/>
        </w:rPr>
        <w:t xml:space="preserve">n el </w:t>
      </w:r>
      <w:r w:rsidR="00EA40D0" w:rsidRPr="000272DD">
        <w:rPr>
          <w:rFonts w:ascii="Verdana" w:hAnsi="Verdana" w:cs="Arial"/>
          <w:color w:val="000000" w:themeColor="text1"/>
          <w:sz w:val="22"/>
          <w:szCs w:val="22"/>
        </w:rPr>
        <w:t xml:space="preserve">2019 un </w:t>
      </w:r>
      <w:r w:rsidR="004E78FA" w:rsidRPr="000272DD">
        <w:rPr>
          <w:rFonts w:ascii="Verdana" w:hAnsi="Verdana" w:cs="Arial"/>
          <w:color w:val="000000" w:themeColor="text1"/>
          <w:sz w:val="22"/>
          <w:szCs w:val="22"/>
        </w:rPr>
        <w:t>9,00%</w:t>
      </w:r>
      <w:r w:rsidR="008057BA" w:rsidRPr="000272DD">
        <w:rPr>
          <w:rFonts w:ascii="Verdana" w:hAnsi="Verdana" w:cs="Arial"/>
          <w:color w:val="000000" w:themeColor="text1"/>
          <w:sz w:val="22"/>
          <w:szCs w:val="22"/>
        </w:rPr>
        <w:t>,</w:t>
      </w:r>
      <w:r w:rsidR="0089106D" w:rsidRPr="000272DD">
        <w:rPr>
          <w:rFonts w:ascii="Verdana" w:hAnsi="Verdana" w:cs="Arial"/>
          <w:color w:val="000000" w:themeColor="text1"/>
          <w:sz w:val="22"/>
          <w:szCs w:val="22"/>
        </w:rPr>
        <w:t xml:space="preserve"> en el 2020 un </w:t>
      </w:r>
      <w:r w:rsidR="004E78FA" w:rsidRPr="000272DD">
        <w:rPr>
          <w:rFonts w:ascii="Verdana" w:hAnsi="Verdana" w:cs="Arial"/>
          <w:color w:val="000000" w:themeColor="text1"/>
          <w:sz w:val="22"/>
          <w:szCs w:val="22"/>
        </w:rPr>
        <w:t>8,74%</w:t>
      </w:r>
      <w:r w:rsidR="00E742B7" w:rsidRPr="000272DD">
        <w:rPr>
          <w:rFonts w:ascii="Verdana" w:hAnsi="Verdana" w:cs="Arial"/>
          <w:color w:val="000000" w:themeColor="text1"/>
          <w:sz w:val="22"/>
          <w:szCs w:val="22"/>
        </w:rPr>
        <w:t xml:space="preserve">, </w:t>
      </w:r>
      <w:r w:rsidR="005B3C69" w:rsidRPr="000272DD">
        <w:rPr>
          <w:rFonts w:ascii="Verdana" w:hAnsi="Verdana" w:cs="Arial"/>
          <w:color w:val="000000" w:themeColor="text1"/>
          <w:sz w:val="22"/>
          <w:szCs w:val="22"/>
        </w:rPr>
        <w:t xml:space="preserve">un </w:t>
      </w:r>
      <w:r w:rsidR="004E78FA" w:rsidRPr="000272DD">
        <w:rPr>
          <w:rFonts w:ascii="Verdana" w:hAnsi="Verdana" w:cs="Arial"/>
          <w:color w:val="000000" w:themeColor="text1"/>
          <w:sz w:val="22"/>
          <w:szCs w:val="22"/>
        </w:rPr>
        <w:t>7,98%</w:t>
      </w:r>
      <w:r w:rsidR="005B3C69" w:rsidRPr="000272DD">
        <w:rPr>
          <w:rFonts w:ascii="Verdana" w:hAnsi="Verdana" w:cs="Arial"/>
          <w:color w:val="000000" w:themeColor="text1"/>
          <w:sz w:val="22"/>
          <w:szCs w:val="22"/>
        </w:rPr>
        <w:t xml:space="preserve"> </w:t>
      </w:r>
      <w:r w:rsidR="008057BA" w:rsidRPr="000272DD">
        <w:rPr>
          <w:rFonts w:ascii="Verdana" w:hAnsi="Verdana" w:cs="Arial"/>
          <w:color w:val="000000" w:themeColor="text1"/>
          <w:sz w:val="22"/>
          <w:szCs w:val="22"/>
        </w:rPr>
        <w:t>para el año 2021</w:t>
      </w:r>
      <w:r w:rsidR="00E742B7" w:rsidRPr="000272DD">
        <w:rPr>
          <w:rFonts w:ascii="Verdana" w:hAnsi="Verdana" w:cs="Arial"/>
          <w:color w:val="000000" w:themeColor="text1"/>
          <w:sz w:val="22"/>
          <w:szCs w:val="22"/>
        </w:rPr>
        <w:t xml:space="preserve"> y de 7,65% para el 2022</w:t>
      </w:r>
      <w:r w:rsidR="008057BA" w:rsidRPr="000272DD">
        <w:rPr>
          <w:rFonts w:ascii="Verdana" w:hAnsi="Verdana" w:cs="Arial"/>
          <w:color w:val="000000" w:themeColor="text1"/>
          <w:sz w:val="22"/>
          <w:szCs w:val="22"/>
        </w:rPr>
        <w:t xml:space="preserve"> </w:t>
      </w:r>
      <w:r w:rsidR="008F7049" w:rsidRPr="000272DD">
        <w:rPr>
          <w:rFonts w:ascii="Verdana" w:hAnsi="Verdana" w:cs="Arial"/>
          <w:color w:val="000000" w:themeColor="text1"/>
          <w:sz w:val="22"/>
          <w:szCs w:val="22"/>
        </w:rPr>
        <w:t>del total</w:t>
      </w:r>
      <w:r w:rsidR="00B86BF2" w:rsidRPr="000272DD">
        <w:rPr>
          <w:rFonts w:ascii="Verdana" w:hAnsi="Verdana" w:cs="Arial"/>
          <w:color w:val="000000" w:themeColor="text1"/>
          <w:sz w:val="22"/>
          <w:szCs w:val="22"/>
        </w:rPr>
        <w:t xml:space="preserve"> de </w:t>
      </w:r>
      <w:r w:rsidR="007552E9" w:rsidRPr="000272DD">
        <w:rPr>
          <w:rFonts w:ascii="Verdana" w:hAnsi="Verdana" w:cs="Arial"/>
          <w:color w:val="000000" w:themeColor="text1"/>
          <w:sz w:val="22"/>
          <w:szCs w:val="22"/>
        </w:rPr>
        <w:t>ventas de energía</w:t>
      </w:r>
      <w:r w:rsidR="00B86BF2" w:rsidRPr="000272DD">
        <w:rPr>
          <w:rFonts w:ascii="Verdana" w:hAnsi="Verdana" w:cs="Arial"/>
          <w:sz w:val="22"/>
          <w:szCs w:val="22"/>
        </w:rPr>
        <w:t>.</w:t>
      </w:r>
    </w:p>
    <w:tbl>
      <w:tblPr>
        <w:tblW w:w="4193" w:type="pct"/>
        <w:jc w:val="center"/>
        <w:tblCellMar>
          <w:left w:w="30" w:type="dxa"/>
          <w:right w:w="30" w:type="dxa"/>
        </w:tblCellMar>
        <w:tblLook w:val="0000" w:firstRow="0" w:lastRow="0" w:firstColumn="0" w:lastColumn="0" w:noHBand="0" w:noVBand="0"/>
      </w:tblPr>
      <w:tblGrid>
        <w:gridCol w:w="1145"/>
        <w:gridCol w:w="1487"/>
        <w:gridCol w:w="465"/>
        <w:gridCol w:w="252"/>
        <w:gridCol w:w="1282"/>
        <w:gridCol w:w="418"/>
        <w:gridCol w:w="523"/>
        <w:gridCol w:w="2075"/>
      </w:tblGrid>
      <w:tr w:rsidR="00B064D6" w:rsidRPr="00205C60" w14:paraId="3CA7E9F0" w14:textId="77777777" w:rsidTr="00E73B6C">
        <w:trPr>
          <w:cantSplit/>
          <w:trHeight w:val="474"/>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bookmarkEnd w:id="105"/>
          <w:p w14:paraId="3CA7E9EF" w14:textId="344FD6F1" w:rsidR="00B064D6" w:rsidRPr="00205C60" w:rsidRDefault="005F26C2" w:rsidP="006E18E7">
            <w:pPr>
              <w:jc w:val="center"/>
              <w:rPr>
                <w:rFonts w:ascii="Verdana" w:hAnsi="Verdana" w:cs="Arial"/>
                <w:b/>
                <w:snapToGrid w:val="0"/>
                <w:sz w:val="22"/>
                <w:szCs w:val="22"/>
              </w:rPr>
            </w:pPr>
            <w:r w:rsidRPr="00205C60">
              <w:rPr>
                <w:rFonts w:ascii="Verdana" w:hAnsi="Verdana" w:cs="Arial"/>
                <w:sz w:val="22"/>
                <w:szCs w:val="22"/>
              </w:rPr>
              <w:t xml:space="preserve"> </w:t>
            </w:r>
            <w:r w:rsidR="00B064D6" w:rsidRPr="00205C60">
              <w:rPr>
                <w:rFonts w:ascii="Verdana" w:hAnsi="Verdana" w:cs="Arial"/>
                <w:b/>
                <w:snapToGrid w:val="0"/>
                <w:sz w:val="22"/>
                <w:szCs w:val="22"/>
              </w:rPr>
              <w:t xml:space="preserve">Cálculo de las Ventas </w:t>
            </w:r>
            <w:r w:rsidR="001743A2" w:rsidRPr="00205C60">
              <w:rPr>
                <w:rFonts w:ascii="Verdana" w:hAnsi="Verdana" w:cs="Arial"/>
                <w:b/>
                <w:snapToGrid w:val="0"/>
                <w:sz w:val="22"/>
                <w:szCs w:val="22"/>
              </w:rPr>
              <w:t>Diarias (</w:t>
            </w:r>
            <w:r w:rsidR="00B064D6" w:rsidRPr="00205C60">
              <w:rPr>
                <w:rFonts w:ascii="Verdana" w:hAnsi="Verdana" w:cs="Arial"/>
                <w:b/>
                <w:snapToGrid w:val="0"/>
                <w:sz w:val="22"/>
                <w:szCs w:val="22"/>
              </w:rPr>
              <w:t>datos en miles de colones)</w:t>
            </w:r>
          </w:p>
        </w:tc>
      </w:tr>
      <w:tr w:rsidR="00E73B6C" w:rsidRPr="00205C60" w14:paraId="3CA7E9F7" w14:textId="77777777" w:rsidTr="003E6C15">
        <w:trPr>
          <w:trHeight w:val="341"/>
          <w:jc w:val="center"/>
        </w:trPr>
        <w:tc>
          <w:tcPr>
            <w:tcW w:w="749" w:type="pct"/>
            <w:tcBorders>
              <w:top w:val="single" w:sz="4" w:space="0" w:color="auto"/>
              <w:left w:val="single" w:sz="4" w:space="0" w:color="auto"/>
              <w:bottom w:val="single" w:sz="4" w:space="0" w:color="auto"/>
              <w:right w:val="single" w:sz="4" w:space="0" w:color="auto"/>
            </w:tcBorders>
            <w:vAlign w:val="center"/>
          </w:tcPr>
          <w:p w14:paraId="3CA7E9F1" w14:textId="77777777" w:rsidR="00B064D6" w:rsidRPr="00205C60" w:rsidRDefault="00B064D6" w:rsidP="006E18E7">
            <w:pPr>
              <w:jc w:val="center"/>
              <w:rPr>
                <w:rFonts w:ascii="Verdana" w:hAnsi="Verdana" w:cs="Arial"/>
                <w:b/>
                <w:bCs/>
                <w:snapToGrid w:val="0"/>
                <w:sz w:val="22"/>
                <w:szCs w:val="22"/>
              </w:rPr>
            </w:pPr>
            <w:r w:rsidRPr="00205C60">
              <w:rPr>
                <w:rFonts w:ascii="Verdana" w:hAnsi="Verdana" w:cs="Arial"/>
                <w:b/>
                <w:bCs/>
                <w:snapToGrid w:val="0"/>
                <w:sz w:val="22"/>
                <w:szCs w:val="22"/>
              </w:rPr>
              <w:t>Año</w:t>
            </w:r>
          </w:p>
        </w:tc>
        <w:tc>
          <w:tcPr>
            <w:tcW w:w="1276" w:type="pct"/>
            <w:gridSpan w:val="2"/>
            <w:tcBorders>
              <w:top w:val="nil"/>
              <w:left w:val="single" w:sz="4" w:space="0" w:color="auto"/>
              <w:bottom w:val="single" w:sz="4" w:space="0" w:color="auto"/>
              <w:right w:val="nil"/>
            </w:tcBorders>
            <w:shd w:val="solid" w:color="FFFFFF" w:fill="auto"/>
            <w:vAlign w:val="center"/>
          </w:tcPr>
          <w:p w14:paraId="3CA7E9F2" w14:textId="77777777" w:rsidR="00B064D6" w:rsidRPr="00205C60" w:rsidRDefault="00B064D6" w:rsidP="006E18E7">
            <w:pPr>
              <w:jc w:val="center"/>
              <w:rPr>
                <w:rFonts w:ascii="Verdana" w:hAnsi="Verdana" w:cs="Arial"/>
                <w:b/>
                <w:bCs/>
                <w:snapToGrid w:val="0"/>
                <w:sz w:val="22"/>
                <w:szCs w:val="22"/>
              </w:rPr>
            </w:pPr>
            <w:r w:rsidRPr="00205C60">
              <w:rPr>
                <w:rFonts w:ascii="Verdana" w:hAnsi="Verdana" w:cs="Arial"/>
                <w:b/>
                <w:bCs/>
                <w:snapToGrid w:val="0"/>
                <w:sz w:val="22"/>
                <w:szCs w:val="22"/>
              </w:rPr>
              <w:t xml:space="preserve">Ventas </w:t>
            </w:r>
            <w:r w:rsidR="00C40A85" w:rsidRPr="00205C60">
              <w:rPr>
                <w:rFonts w:ascii="Verdana" w:hAnsi="Verdana" w:cs="Arial"/>
                <w:b/>
                <w:bCs/>
                <w:snapToGrid w:val="0"/>
                <w:sz w:val="22"/>
                <w:szCs w:val="22"/>
              </w:rPr>
              <w:t>de Energía</w:t>
            </w:r>
          </w:p>
        </w:tc>
        <w:tc>
          <w:tcPr>
            <w:tcW w:w="165" w:type="pct"/>
            <w:tcBorders>
              <w:top w:val="nil"/>
              <w:left w:val="nil"/>
              <w:bottom w:val="single" w:sz="4" w:space="0" w:color="auto"/>
              <w:right w:val="nil"/>
            </w:tcBorders>
            <w:shd w:val="solid" w:color="FFFFFF" w:fill="auto"/>
            <w:vAlign w:val="center"/>
          </w:tcPr>
          <w:p w14:paraId="3CA7E9F3" w14:textId="77777777" w:rsidR="00B064D6" w:rsidRPr="00205C60" w:rsidRDefault="00B064D6" w:rsidP="006E18E7">
            <w:pPr>
              <w:jc w:val="center"/>
              <w:rPr>
                <w:rFonts w:ascii="Verdana" w:hAnsi="Verdana" w:cs="Arial"/>
                <w:b/>
                <w:bCs/>
                <w:snapToGrid w:val="0"/>
                <w:sz w:val="22"/>
                <w:szCs w:val="22"/>
              </w:rPr>
            </w:pPr>
            <w:r w:rsidRPr="00205C60">
              <w:rPr>
                <w:rFonts w:ascii="Verdana" w:hAnsi="Verdana" w:cs="Arial"/>
                <w:b/>
                <w:bCs/>
                <w:snapToGrid w:val="0"/>
                <w:sz w:val="22"/>
                <w:szCs w:val="22"/>
              </w:rPr>
              <w:t>÷</w:t>
            </w:r>
          </w:p>
        </w:tc>
        <w:tc>
          <w:tcPr>
            <w:tcW w:w="838" w:type="pct"/>
            <w:tcBorders>
              <w:top w:val="nil"/>
              <w:left w:val="nil"/>
              <w:bottom w:val="single" w:sz="4" w:space="0" w:color="auto"/>
              <w:right w:val="nil"/>
            </w:tcBorders>
            <w:vAlign w:val="center"/>
          </w:tcPr>
          <w:p w14:paraId="3CA7E9F4" w14:textId="77777777" w:rsidR="00B064D6" w:rsidRPr="00205C60" w:rsidRDefault="00B064D6" w:rsidP="006E18E7">
            <w:pPr>
              <w:jc w:val="center"/>
              <w:rPr>
                <w:rFonts w:ascii="Verdana" w:hAnsi="Verdana" w:cs="Arial"/>
                <w:b/>
                <w:bCs/>
                <w:snapToGrid w:val="0"/>
                <w:sz w:val="22"/>
                <w:szCs w:val="22"/>
              </w:rPr>
            </w:pPr>
            <w:r w:rsidRPr="00205C60">
              <w:rPr>
                <w:rFonts w:ascii="Verdana" w:hAnsi="Verdana" w:cs="Arial"/>
                <w:b/>
                <w:bCs/>
                <w:snapToGrid w:val="0"/>
                <w:sz w:val="22"/>
                <w:szCs w:val="22"/>
              </w:rPr>
              <w:t>Días</w:t>
            </w:r>
          </w:p>
        </w:tc>
        <w:tc>
          <w:tcPr>
            <w:tcW w:w="615" w:type="pct"/>
            <w:gridSpan w:val="2"/>
            <w:tcBorders>
              <w:top w:val="nil"/>
              <w:left w:val="nil"/>
              <w:bottom w:val="single" w:sz="4" w:space="0" w:color="auto"/>
              <w:right w:val="nil"/>
            </w:tcBorders>
            <w:shd w:val="solid" w:color="FFFFFF" w:fill="auto"/>
            <w:vAlign w:val="center"/>
          </w:tcPr>
          <w:p w14:paraId="3CA7E9F5" w14:textId="77777777" w:rsidR="00B064D6" w:rsidRPr="00205C60" w:rsidRDefault="00B064D6" w:rsidP="006E18E7">
            <w:pPr>
              <w:jc w:val="center"/>
              <w:rPr>
                <w:rFonts w:ascii="Verdana" w:hAnsi="Verdana" w:cs="Arial"/>
                <w:snapToGrid w:val="0"/>
                <w:sz w:val="22"/>
                <w:szCs w:val="22"/>
              </w:rPr>
            </w:pPr>
            <w:r w:rsidRPr="00205C60">
              <w:rPr>
                <w:rFonts w:ascii="Verdana" w:hAnsi="Verdana" w:cs="Arial"/>
                <w:snapToGrid w:val="0"/>
                <w:sz w:val="22"/>
                <w:szCs w:val="22"/>
              </w:rPr>
              <w:t>=</w:t>
            </w:r>
          </w:p>
        </w:tc>
        <w:tc>
          <w:tcPr>
            <w:tcW w:w="1357" w:type="pct"/>
            <w:tcBorders>
              <w:top w:val="nil"/>
              <w:left w:val="nil"/>
              <w:bottom w:val="single" w:sz="4" w:space="0" w:color="auto"/>
              <w:right w:val="single" w:sz="4" w:space="0" w:color="auto"/>
            </w:tcBorders>
            <w:vAlign w:val="center"/>
          </w:tcPr>
          <w:p w14:paraId="3CA7E9F6" w14:textId="77777777" w:rsidR="00B064D6" w:rsidRPr="00205C60" w:rsidRDefault="00B064D6" w:rsidP="006E18E7">
            <w:pPr>
              <w:jc w:val="center"/>
              <w:rPr>
                <w:rFonts w:ascii="Verdana" w:hAnsi="Verdana" w:cs="Arial"/>
                <w:b/>
                <w:bCs/>
                <w:snapToGrid w:val="0"/>
                <w:sz w:val="22"/>
                <w:szCs w:val="22"/>
              </w:rPr>
            </w:pPr>
            <w:r w:rsidRPr="00205C60">
              <w:rPr>
                <w:rFonts w:ascii="Verdana" w:hAnsi="Verdana" w:cs="Arial"/>
                <w:b/>
                <w:bCs/>
                <w:snapToGrid w:val="0"/>
                <w:sz w:val="22"/>
                <w:szCs w:val="22"/>
              </w:rPr>
              <w:t>Ventas Diarias</w:t>
            </w:r>
          </w:p>
        </w:tc>
      </w:tr>
      <w:tr w:rsidR="003E6C15" w:rsidRPr="00205C60" w14:paraId="3CA7EA05" w14:textId="77777777" w:rsidTr="003E6C15">
        <w:trPr>
          <w:trHeight w:val="257"/>
          <w:jc w:val="center"/>
        </w:trPr>
        <w:tc>
          <w:tcPr>
            <w:tcW w:w="749" w:type="pct"/>
            <w:tcBorders>
              <w:top w:val="single" w:sz="4" w:space="0" w:color="auto"/>
              <w:left w:val="single" w:sz="4" w:space="0" w:color="auto"/>
              <w:bottom w:val="single" w:sz="4" w:space="0" w:color="auto"/>
              <w:right w:val="single" w:sz="4" w:space="0" w:color="auto"/>
            </w:tcBorders>
            <w:vAlign w:val="center"/>
          </w:tcPr>
          <w:p w14:paraId="3CA7E9FF" w14:textId="3F984446" w:rsidR="003E6C15" w:rsidRPr="00205C60" w:rsidRDefault="003E6C15" w:rsidP="003E6C15">
            <w:pPr>
              <w:jc w:val="center"/>
              <w:rPr>
                <w:rFonts w:ascii="Verdana" w:hAnsi="Verdana" w:cs="Arial"/>
                <w:snapToGrid w:val="0"/>
                <w:sz w:val="22"/>
                <w:szCs w:val="22"/>
              </w:rPr>
            </w:pPr>
            <w:r w:rsidRPr="00205C60">
              <w:rPr>
                <w:rFonts w:ascii="Verdana" w:hAnsi="Verdana" w:cs="Arial"/>
                <w:snapToGrid w:val="0"/>
                <w:sz w:val="22"/>
                <w:szCs w:val="22"/>
              </w:rPr>
              <w:t>2020</w:t>
            </w:r>
          </w:p>
        </w:tc>
        <w:tc>
          <w:tcPr>
            <w:tcW w:w="1276" w:type="pct"/>
            <w:gridSpan w:val="2"/>
            <w:tcBorders>
              <w:top w:val="single" w:sz="4" w:space="0" w:color="auto"/>
              <w:left w:val="single" w:sz="4" w:space="0" w:color="auto"/>
              <w:bottom w:val="single" w:sz="4" w:space="0" w:color="auto"/>
              <w:right w:val="single" w:sz="4" w:space="0" w:color="auto"/>
            </w:tcBorders>
            <w:shd w:val="solid" w:color="FFFFFF" w:fill="auto"/>
            <w:vAlign w:val="center"/>
          </w:tcPr>
          <w:p w14:paraId="3CA7EA00" w14:textId="7D545236" w:rsidR="003E6C15" w:rsidRPr="00205C60" w:rsidRDefault="003E6C15" w:rsidP="003E6C15">
            <w:pPr>
              <w:jc w:val="center"/>
              <w:rPr>
                <w:rFonts w:ascii="Verdana" w:hAnsi="Verdana" w:cs="Arial"/>
                <w:snapToGrid w:val="0"/>
                <w:sz w:val="22"/>
                <w:szCs w:val="22"/>
              </w:rPr>
            </w:pPr>
            <w:r w:rsidRPr="00205C60">
              <w:rPr>
                <w:rFonts w:ascii="Verdana" w:hAnsi="Verdana" w:cs="Arial"/>
                <w:snapToGrid w:val="0"/>
                <w:sz w:val="22"/>
                <w:szCs w:val="22"/>
              </w:rPr>
              <w:t>330.195.042</w:t>
            </w:r>
          </w:p>
        </w:tc>
        <w:tc>
          <w:tcPr>
            <w:tcW w:w="165" w:type="pct"/>
            <w:tcBorders>
              <w:top w:val="single" w:sz="4" w:space="0" w:color="auto"/>
              <w:left w:val="single" w:sz="4" w:space="0" w:color="auto"/>
              <w:bottom w:val="single" w:sz="4" w:space="0" w:color="auto"/>
              <w:right w:val="nil"/>
            </w:tcBorders>
            <w:vAlign w:val="center"/>
          </w:tcPr>
          <w:p w14:paraId="3CA7EA01" w14:textId="77777777" w:rsidR="003E6C15" w:rsidRPr="00205C60" w:rsidRDefault="003E6C15" w:rsidP="003E6C15">
            <w:pPr>
              <w:jc w:val="center"/>
              <w:rPr>
                <w:rFonts w:ascii="Verdana" w:hAnsi="Verdana" w:cs="Arial"/>
                <w:snapToGrid w:val="0"/>
                <w:sz w:val="22"/>
                <w:szCs w:val="22"/>
              </w:rPr>
            </w:pPr>
          </w:p>
        </w:tc>
        <w:tc>
          <w:tcPr>
            <w:tcW w:w="838" w:type="pct"/>
            <w:tcBorders>
              <w:top w:val="single" w:sz="4" w:space="0" w:color="auto"/>
              <w:left w:val="nil"/>
              <w:bottom w:val="single" w:sz="4" w:space="0" w:color="auto"/>
              <w:right w:val="nil"/>
            </w:tcBorders>
            <w:vAlign w:val="center"/>
          </w:tcPr>
          <w:p w14:paraId="3CA7EA02" w14:textId="6734FB86" w:rsidR="003E6C15" w:rsidRPr="00205C60" w:rsidRDefault="003E6C15" w:rsidP="003E6C15">
            <w:pPr>
              <w:jc w:val="center"/>
              <w:rPr>
                <w:rFonts w:ascii="Verdana" w:hAnsi="Verdana" w:cs="Arial"/>
                <w:snapToGrid w:val="0"/>
                <w:sz w:val="22"/>
                <w:szCs w:val="22"/>
              </w:rPr>
            </w:pPr>
            <w:r w:rsidRPr="00205C60">
              <w:rPr>
                <w:rFonts w:ascii="Verdana" w:hAnsi="Verdana" w:cs="Arial"/>
                <w:snapToGrid w:val="0"/>
                <w:sz w:val="22"/>
                <w:szCs w:val="22"/>
              </w:rPr>
              <w:t>360</w:t>
            </w:r>
          </w:p>
        </w:tc>
        <w:tc>
          <w:tcPr>
            <w:tcW w:w="615" w:type="pct"/>
            <w:gridSpan w:val="2"/>
            <w:tcBorders>
              <w:top w:val="single" w:sz="4" w:space="0" w:color="auto"/>
              <w:left w:val="nil"/>
              <w:bottom w:val="single" w:sz="4" w:space="0" w:color="auto"/>
              <w:right w:val="single" w:sz="4" w:space="0" w:color="auto"/>
            </w:tcBorders>
            <w:vAlign w:val="center"/>
          </w:tcPr>
          <w:p w14:paraId="3CA7EA03" w14:textId="77777777" w:rsidR="003E6C15" w:rsidRPr="00205C60" w:rsidRDefault="003E6C15" w:rsidP="003E6C15">
            <w:pPr>
              <w:jc w:val="center"/>
              <w:rPr>
                <w:rFonts w:ascii="Verdana" w:hAnsi="Verdana" w:cs="Arial"/>
                <w:snapToGrid w:val="0"/>
                <w:sz w:val="22"/>
                <w:szCs w:val="22"/>
              </w:rPr>
            </w:pPr>
          </w:p>
        </w:tc>
        <w:tc>
          <w:tcPr>
            <w:tcW w:w="1357" w:type="pct"/>
            <w:tcBorders>
              <w:top w:val="single" w:sz="4" w:space="0" w:color="auto"/>
              <w:left w:val="single" w:sz="4" w:space="0" w:color="auto"/>
              <w:bottom w:val="single" w:sz="4" w:space="0" w:color="auto"/>
              <w:right w:val="single" w:sz="4" w:space="0" w:color="auto"/>
            </w:tcBorders>
            <w:vAlign w:val="center"/>
          </w:tcPr>
          <w:p w14:paraId="3CA7EA04" w14:textId="44B7E476" w:rsidR="003E6C15" w:rsidRPr="00205C60" w:rsidRDefault="003E6C15" w:rsidP="003E6C15">
            <w:pPr>
              <w:jc w:val="center"/>
              <w:rPr>
                <w:rFonts w:ascii="Verdana" w:hAnsi="Verdana" w:cs="Arial"/>
                <w:snapToGrid w:val="0"/>
                <w:sz w:val="22"/>
                <w:szCs w:val="22"/>
              </w:rPr>
            </w:pPr>
            <w:r w:rsidRPr="00205C60">
              <w:rPr>
                <w:rFonts w:ascii="Verdana" w:hAnsi="Verdana" w:cs="Arial"/>
                <w:snapToGrid w:val="0"/>
                <w:sz w:val="22"/>
                <w:szCs w:val="22"/>
              </w:rPr>
              <w:t>917.208</w:t>
            </w:r>
          </w:p>
        </w:tc>
      </w:tr>
      <w:tr w:rsidR="003E6C15" w:rsidRPr="00205C60" w14:paraId="3CA7EA0C" w14:textId="77777777" w:rsidTr="003E6C15">
        <w:trPr>
          <w:trHeight w:val="257"/>
          <w:jc w:val="center"/>
        </w:trPr>
        <w:tc>
          <w:tcPr>
            <w:tcW w:w="749" w:type="pct"/>
            <w:tcBorders>
              <w:top w:val="single" w:sz="4" w:space="0" w:color="auto"/>
              <w:left w:val="single" w:sz="4" w:space="0" w:color="auto"/>
              <w:bottom w:val="single" w:sz="4" w:space="0" w:color="auto"/>
              <w:right w:val="single" w:sz="4" w:space="0" w:color="auto"/>
            </w:tcBorders>
            <w:vAlign w:val="center"/>
          </w:tcPr>
          <w:p w14:paraId="3CA7EA06" w14:textId="52788E2A" w:rsidR="003E6C15" w:rsidRPr="00205C60" w:rsidRDefault="003E6C15" w:rsidP="003E6C15">
            <w:pPr>
              <w:jc w:val="center"/>
              <w:rPr>
                <w:rFonts w:ascii="Verdana" w:hAnsi="Verdana" w:cs="Arial"/>
                <w:snapToGrid w:val="0"/>
                <w:sz w:val="22"/>
                <w:szCs w:val="22"/>
              </w:rPr>
            </w:pPr>
            <w:r w:rsidRPr="00205C60">
              <w:rPr>
                <w:rFonts w:ascii="Verdana" w:hAnsi="Verdana" w:cs="Arial"/>
                <w:snapToGrid w:val="0"/>
                <w:sz w:val="22"/>
                <w:szCs w:val="22"/>
              </w:rPr>
              <w:t>2021</w:t>
            </w:r>
          </w:p>
        </w:tc>
        <w:tc>
          <w:tcPr>
            <w:tcW w:w="1276" w:type="pct"/>
            <w:gridSpan w:val="2"/>
            <w:tcBorders>
              <w:top w:val="single" w:sz="4" w:space="0" w:color="auto"/>
              <w:left w:val="single" w:sz="4" w:space="0" w:color="auto"/>
              <w:bottom w:val="single" w:sz="4" w:space="0" w:color="auto"/>
              <w:right w:val="single" w:sz="4" w:space="0" w:color="auto"/>
            </w:tcBorders>
            <w:shd w:val="solid" w:color="FFFFFF" w:fill="auto"/>
            <w:vAlign w:val="center"/>
          </w:tcPr>
          <w:p w14:paraId="3CA7EA07" w14:textId="7DCC6B0F" w:rsidR="003E6C15" w:rsidRPr="00205C60" w:rsidRDefault="003E6C15" w:rsidP="003E6C15">
            <w:pPr>
              <w:jc w:val="center"/>
              <w:rPr>
                <w:rFonts w:ascii="Verdana" w:hAnsi="Verdana" w:cs="Arial"/>
                <w:snapToGrid w:val="0"/>
                <w:sz w:val="22"/>
                <w:szCs w:val="22"/>
              </w:rPr>
            </w:pPr>
            <w:r w:rsidRPr="00205C60">
              <w:rPr>
                <w:rFonts w:ascii="Verdana" w:hAnsi="Verdana" w:cs="Arial"/>
                <w:snapToGrid w:val="0"/>
                <w:sz w:val="22"/>
                <w:szCs w:val="22"/>
              </w:rPr>
              <w:t>278.589.835</w:t>
            </w:r>
          </w:p>
        </w:tc>
        <w:tc>
          <w:tcPr>
            <w:tcW w:w="165" w:type="pct"/>
            <w:tcBorders>
              <w:top w:val="single" w:sz="4" w:space="0" w:color="auto"/>
              <w:left w:val="single" w:sz="4" w:space="0" w:color="auto"/>
              <w:bottom w:val="single" w:sz="4" w:space="0" w:color="auto"/>
              <w:right w:val="nil"/>
            </w:tcBorders>
            <w:vAlign w:val="center"/>
          </w:tcPr>
          <w:p w14:paraId="3CA7EA08" w14:textId="77777777" w:rsidR="003E6C15" w:rsidRPr="00205C60" w:rsidRDefault="003E6C15" w:rsidP="003E6C15">
            <w:pPr>
              <w:jc w:val="center"/>
              <w:rPr>
                <w:rFonts w:ascii="Verdana" w:hAnsi="Verdana" w:cs="Arial"/>
                <w:snapToGrid w:val="0"/>
                <w:sz w:val="22"/>
                <w:szCs w:val="22"/>
              </w:rPr>
            </w:pPr>
          </w:p>
        </w:tc>
        <w:tc>
          <w:tcPr>
            <w:tcW w:w="838" w:type="pct"/>
            <w:tcBorders>
              <w:top w:val="single" w:sz="4" w:space="0" w:color="auto"/>
              <w:left w:val="nil"/>
              <w:bottom w:val="single" w:sz="4" w:space="0" w:color="auto"/>
              <w:right w:val="nil"/>
            </w:tcBorders>
            <w:vAlign w:val="center"/>
          </w:tcPr>
          <w:p w14:paraId="3CA7EA09" w14:textId="37694B59" w:rsidR="003E6C15" w:rsidRPr="00205C60" w:rsidRDefault="003E6C15" w:rsidP="003E6C15">
            <w:pPr>
              <w:jc w:val="center"/>
              <w:rPr>
                <w:rFonts w:ascii="Verdana" w:hAnsi="Verdana" w:cs="Arial"/>
                <w:snapToGrid w:val="0"/>
                <w:sz w:val="22"/>
                <w:szCs w:val="22"/>
              </w:rPr>
            </w:pPr>
            <w:r w:rsidRPr="00205C60">
              <w:rPr>
                <w:rFonts w:ascii="Verdana" w:hAnsi="Verdana" w:cs="Arial"/>
                <w:snapToGrid w:val="0"/>
                <w:sz w:val="22"/>
                <w:szCs w:val="22"/>
              </w:rPr>
              <w:t>360</w:t>
            </w:r>
          </w:p>
        </w:tc>
        <w:tc>
          <w:tcPr>
            <w:tcW w:w="615" w:type="pct"/>
            <w:gridSpan w:val="2"/>
            <w:tcBorders>
              <w:top w:val="single" w:sz="4" w:space="0" w:color="auto"/>
              <w:left w:val="nil"/>
              <w:bottom w:val="single" w:sz="4" w:space="0" w:color="auto"/>
              <w:right w:val="single" w:sz="4" w:space="0" w:color="auto"/>
            </w:tcBorders>
            <w:vAlign w:val="center"/>
          </w:tcPr>
          <w:p w14:paraId="3CA7EA0A" w14:textId="77777777" w:rsidR="003E6C15" w:rsidRPr="00205C60" w:rsidRDefault="003E6C15" w:rsidP="003E6C15">
            <w:pPr>
              <w:jc w:val="center"/>
              <w:rPr>
                <w:rFonts w:ascii="Verdana" w:hAnsi="Verdana" w:cs="Arial"/>
                <w:snapToGrid w:val="0"/>
                <w:sz w:val="22"/>
                <w:szCs w:val="22"/>
              </w:rPr>
            </w:pPr>
          </w:p>
        </w:tc>
        <w:tc>
          <w:tcPr>
            <w:tcW w:w="1357" w:type="pct"/>
            <w:tcBorders>
              <w:top w:val="single" w:sz="4" w:space="0" w:color="auto"/>
              <w:left w:val="single" w:sz="4" w:space="0" w:color="auto"/>
              <w:bottom w:val="single" w:sz="4" w:space="0" w:color="auto"/>
              <w:right w:val="single" w:sz="4" w:space="0" w:color="auto"/>
            </w:tcBorders>
            <w:vAlign w:val="center"/>
          </w:tcPr>
          <w:p w14:paraId="3CA7EA0B" w14:textId="0940627B" w:rsidR="003E6C15" w:rsidRPr="00205C60" w:rsidRDefault="003E6C15" w:rsidP="003E6C15">
            <w:pPr>
              <w:jc w:val="center"/>
              <w:rPr>
                <w:rFonts w:ascii="Verdana" w:hAnsi="Verdana" w:cs="Arial"/>
                <w:snapToGrid w:val="0"/>
                <w:sz w:val="22"/>
                <w:szCs w:val="22"/>
              </w:rPr>
            </w:pPr>
            <w:r w:rsidRPr="00205C60">
              <w:rPr>
                <w:rFonts w:ascii="Verdana" w:hAnsi="Verdana" w:cs="Arial"/>
                <w:snapToGrid w:val="0"/>
                <w:sz w:val="22"/>
                <w:szCs w:val="22"/>
              </w:rPr>
              <w:t>773.861</w:t>
            </w:r>
          </w:p>
        </w:tc>
      </w:tr>
      <w:tr w:rsidR="001C3E9F" w:rsidRPr="00205C60" w14:paraId="0B65BA29" w14:textId="77777777" w:rsidTr="003E6C15">
        <w:trPr>
          <w:trHeight w:val="257"/>
          <w:jc w:val="center"/>
        </w:trPr>
        <w:tc>
          <w:tcPr>
            <w:tcW w:w="749" w:type="pct"/>
            <w:tcBorders>
              <w:top w:val="single" w:sz="4" w:space="0" w:color="auto"/>
              <w:left w:val="single" w:sz="4" w:space="0" w:color="auto"/>
              <w:bottom w:val="single" w:sz="4" w:space="0" w:color="auto"/>
              <w:right w:val="single" w:sz="4" w:space="0" w:color="auto"/>
            </w:tcBorders>
            <w:vAlign w:val="center"/>
          </w:tcPr>
          <w:p w14:paraId="12F936A4" w14:textId="6122495A" w:rsidR="001C3E9F" w:rsidRPr="00205C60" w:rsidRDefault="001C3E9F" w:rsidP="006E18E7">
            <w:pPr>
              <w:jc w:val="center"/>
              <w:rPr>
                <w:rFonts w:ascii="Verdana" w:hAnsi="Verdana" w:cs="Arial"/>
                <w:snapToGrid w:val="0"/>
                <w:sz w:val="22"/>
                <w:szCs w:val="22"/>
              </w:rPr>
            </w:pPr>
            <w:r w:rsidRPr="00205C60">
              <w:rPr>
                <w:rFonts w:ascii="Verdana" w:hAnsi="Verdana" w:cs="Arial"/>
                <w:snapToGrid w:val="0"/>
                <w:sz w:val="22"/>
                <w:szCs w:val="22"/>
              </w:rPr>
              <w:t>202</w:t>
            </w:r>
            <w:r w:rsidR="00541177" w:rsidRPr="00205C60">
              <w:rPr>
                <w:rFonts w:ascii="Verdana" w:hAnsi="Verdana" w:cs="Arial"/>
                <w:snapToGrid w:val="0"/>
                <w:sz w:val="22"/>
                <w:szCs w:val="22"/>
              </w:rPr>
              <w:t>2</w:t>
            </w:r>
          </w:p>
        </w:tc>
        <w:tc>
          <w:tcPr>
            <w:tcW w:w="1276" w:type="pct"/>
            <w:gridSpan w:val="2"/>
            <w:tcBorders>
              <w:top w:val="single" w:sz="4" w:space="0" w:color="auto"/>
              <w:left w:val="single" w:sz="4" w:space="0" w:color="auto"/>
              <w:bottom w:val="single" w:sz="4" w:space="0" w:color="auto"/>
              <w:right w:val="single" w:sz="4" w:space="0" w:color="auto"/>
            </w:tcBorders>
            <w:shd w:val="solid" w:color="FFFFFF" w:fill="auto"/>
            <w:vAlign w:val="center"/>
          </w:tcPr>
          <w:p w14:paraId="7DB1ED85" w14:textId="4566B2AE" w:rsidR="001C3E9F" w:rsidRPr="00205C60" w:rsidRDefault="00A239B7" w:rsidP="006E18E7">
            <w:pPr>
              <w:jc w:val="center"/>
              <w:rPr>
                <w:rFonts w:ascii="Verdana" w:hAnsi="Verdana" w:cs="Arial"/>
                <w:snapToGrid w:val="0"/>
                <w:sz w:val="22"/>
                <w:szCs w:val="22"/>
              </w:rPr>
            </w:pPr>
            <w:r w:rsidRPr="00205C60">
              <w:rPr>
                <w:rFonts w:ascii="Verdana" w:hAnsi="Verdana" w:cs="Arial"/>
                <w:snapToGrid w:val="0"/>
                <w:sz w:val="22"/>
                <w:szCs w:val="22"/>
              </w:rPr>
              <w:t>310</w:t>
            </w:r>
            <w:r w:rsidR="001C3E9F" w:rsidRPr="00205C60">
              <w:rPr>
                <w:rFonts w:ascii="Verdana" w:hAnsi="Verdana" w:cs="Arial"/>
                <w:snapToGrid w:val="0"/>
                <w:sz w:val="22"/>
                <w:szCs w:val="22"/>
              </w:rPr>
              <w:t>.</w:t>
            </w:r>
            <w:r w:rsidRPr="00205C60">
              <w:rPr>
                <w:rFonts w:ascii="Verdana" w:hAnsi="Verdana" w:cs="Arial"/>
                <w:snapToGrid w:val="0"/>
                <w:sz w:val="22"/>
                <w:szCs w:val="22"/>
              </w:rPr>
              <w:t>190</w:t>
            </w:r>
            <w:r w:rsidR="001C3E9F" w:rsidRPr="00205C60">
              <w:rPr>
                <w:rFonts w:ascii="Verdana" w:hAnsi="Verdana" w:cs="Arial"/>
                <w:snapToGrid w:val="0"/>
                <w:sz w:val="22"/>
                <w:szCs w:val="22"/>
              </w:rPr>
              <w:t>.</w:t>
            </w:r>
            <w:r w:rsidRPr="00205C60">
              <w:rPr>
                <w:rFonts w:ascii="Verdana" w:hAnsi="Verdana" w:cs="Arial"/>
                <w:snapToGrid w:val="0"/>
                <w:sz w:val="22"/>
                <w:szCs w:val="22"/>
              </w:rPr>
              <w:t>170</w:t>
            </w:r>
          </w:p>
        </w:tc>
        <w:tc>
          <w:tcPr>
            <w:tcW w:w="165" w:type="pct"/>
            <w:tcBorders>
              <w:top w:val="single" w:sz="4" w:space="0" w:color="auto"/>
              <w:left w:val="single" w:sz="4" w:space="0" w:color="auto"/>
              <w:bottom w:val="single" w:sz="4" w:space="0" w:color="auto"/>
              <w:right w:val="nil"/>
            </w:tcBorders>
            <w:vAlign w:val="center"/>
          </w:tcPr>
          <w:p w14:paraId="2DF20426" w14:textId="77777777" w:rsidR="001C3E9F" w:rsidRPr="00205C60" w:rsidRDefault="001C3E9F" w:rsidP="006E18E7">
            <w:pPr>
              <w:jc w:val="center"/>
              <w:rPr>
                <w:rFonts w:ascii="Verdana" w:hAnsi="Verdana" w:cs="Arial"/>
                <w:snapToGrid w:val="0"/>
                <w:sz w:val="22"/>
                <w:szCs w:val="22"/>
              </w:rPr>
            </w:pPr>
          </w:p>
        </w:tc>
        <w:tc>
          <w:tcPr>
            <w:tcW w:w="838" w:type="pct"/>
            <w:tcBorders>
              <w:top w:val="single" w:sz="4" w:space="0" w:color="auto"/>
              <w:left w:val="nil"/>
              <w:bottom w:val="single" w:sz="4" w:space="0" w:color="auto"/>
              <w:right w:val="nil"/>
            </w:tcBorders>
            <w:vAlign w:val="center"/>
          </w:tcPr>
          <w:p w14:paraId="3895F0F5" w14:textId="16F27B0E" w:rsidR="001C3E9F" w:rsidRPr="00205C60" w:rsidRDefault="00641414" w:rsidP="006E18E7">
            <w:pPr>
              <w:jc w:val="center"/>
              <w:rPr>
                <w:rFonts w:ascii="Verdana" w:hAnsi="Verdana" w:cs="Arial"/>
                <w:snapToGrid w:val="0"/>
                <w:sz w:val="22"/>
                <w:szCs w:val="22"/>
              </w:rPr>
            </w:pPr>
            <w:r w:rsidRPr="00205C60">
              <w:rPr>
                <w:rFonts w:ascii="Verdana" w:hAnsi="Verdana" w:cs="Arial"/>
                <w:snapToGrid w:val="0"/>
                <w:sz w:val="22"/>
                <w:szCs w:val="22"/>
              </w:rPr>
              <w:t>360</w:t>
            </w:r>
          </w:p>
        </w:tc>
        <w:tc>
          <w:tcPr>
            <w:tcW w:w="615" w:type="pct"/>
            <w:gridSpan w:val="2"/>
            <w:tcBorders>
              <w:top w:val="single" w:sz="4" w:space="0" w:color="auto"/>
              <w:left w:val="nil"/>
              <w:bottom w:val="single" w:sz="4" w:space="0" w:color="auto"/>
              <w:right w:val="single" w:sz="4" w:space="0" w:color="auto"/>
            </w:tcBorders>
            <w:vAlign w:val="center"/>
          </w:tcPr>
          <w:p w14:paraId="6B49C7F5" w14:textId="77777777" w:rsidR="001C3E9F" w:rsidRPr="00205C60" w:rsidRDefault="001C3E9F" w:rsidP="006E18E7">
            <w:pPr>
              <w:jc w:val="center"/>
              <w:rPr>
                <w:rFonts w:ascii="Verdana" w:hAnsi="Verdana" w:cs="Arial"/>
                <w:snapToGrid w:val="0"/>
                <w:sz w:val="22"/>
                <w:szCs w:val="22"/>
              </w:rPr>
            </w:pPr>
          </w:p>
        </w:tc>
        <w:tc>
          <w:tcPr>
            <w:tcW w:w="1357" w:type="pct"/>
            <w:tcBorders>
              <w:top w:val="single" w:sz="4" w:space="0" w:color="auto"/>
              <w:left w:val="single" w:sz="4" w:space="0" w:color="auto"/>
              <w:bottom w:val="single" w:sz="4" w:space="0" w:color="auto"/>
              <w:right w:val="single" w:sz="4" w:space="0" w:color="auto"/>
            </w:tcBorders>
            <w:vAlign w:val="center"/>
          </w:tcPr>
          <w:p w14:paraId="088903DC" w14:textId="1189633F" w:rsidR="001C3E9F" w:rsidRPr="00205C60" w:rsidRDefault="00A239B7" w:rsidP="006E18E7">
            <w:pPr>
              <w:jc w:val="center"/>
              <w:rPr>
                <w:rFonts w:ascii="Verdana" w:hAnsi="Verdana" w:cs="Arial"/>
                <w:snapToGrid w:val="0"/>
                <w:sz w:val="22"/>
                <w:szCs w:val="22"/>
              </w:rPr>
            </w:pPr>
            <w:r w:rsidRPr="00205C60">
              <w:rPr>
                <w:rFonts w:ascii="Verdana" w:hAnsi="Verdana" w:cs="Arial"/>
                <w:snapToGrid w:val="0"/>
                <w:sz w:val="22"/>
                <w:szCs w:val="22"/>
              </w:rPr>
              <w:t>861</w:t>
            </w:r>
            <w:r w:rsidR="0028361F" w:rsidRPr="00205C60">
              <w:rPr>
                <w:rFonts w:ascii="Verdana" w:hAnsi="Verdana" w:cs="Arial"/>
                <w:snapToGrid w:val="0"/>
                <w:sz w:val="22"/>
                <w:szCs w:val="22"/>
              </w:rPr>
              <w:t>.</w:t>
            </w:r>
            <w:r w:rsidRPr="00205C60">
              <w:rPr>
                <w:rFonts w:ascii="Verdana" w:hAnsi="Verdana" w:cs="Arial"/>
                <w:snapToGrid w:val="0"/>
                <w:sz w:val="22"/>
                <w:szCs w:val="22"/>
              </w:rPr>
              <w:t>639</w:t>
            </w:r>
          </w:p>
        </w:tc>
      </w:tr>
      <w:tr w:rsidR="00531011" w:rsidRPr="00205C60" w14:paraId="3CA7EA10" w14:textId="77777777" w:rsidTr="003E6C15">
        <w:tblPrEx>
          <w:tblBorders>
            <w:top w:val="single" w:sz="4" w:space="0" w:color="auto"/>
            <w:left w:val="single" w:sz="4" w:space="0" w:color="auto"/>
            <w:bottom w:val="single" w:sz="4" w:space="0" w:color="auto"/>
            <w:right w:val="single" w:sz="4" w:space="0" w:color="auto"/>
          </w:tblBorders>
        </w:tblPrEx>
        <w:trPr>
          <w:cantSplit/>
          <w:trHeight w:val="540"/>
          <w:jc w:val="center"/>
        </w:trPr>
        <w:tc>
          <w:tcPr>
            <w:tcW w:w="3028" w:type="pct"/>
            <w:gridSpan w:val="5"/>
            <w:tcBorders>
              <w:top w:val="single" w:sz="4" w:space="0" w:color="auto"/>
              <w:left w:val="single" w:sz="4" w:space="0" w:color="auto"/>
              <w:bottom w:val="single" w:sz="4" w:space="0" w:color="auto"/>
              <w:right w:val="nil"/>
            </w:tcBorders>
            <w:shd w:val="solid" w:color="FFFFFF" w:fill="auto"/>
            <w:vAlign w:val="center"/>
          </w:tcPr>
          <w:p w14:paraId="3CA7EA0D" w14:textId="77777777" w:rsidR="00531011" w:rsidRPr="00205C60" w:rsidRDefault="00531011" w:rsidP="006E18E7">
            <w:pPr>
              <w:jc w:val="center"/>
              <w:rPr>
                <w:rFonts w:ascii="Verdana" w:hAnsi="Verdana" w:cs="Arial"/>
                <w:b/>
                <w:snapToGrid w:val="0"/>
                <w:sz w:val="22"/>
                <w:szCs w:val="22"/>
              </w:rPr>
            </w:pPr>
            <w:r w:rsidRPr="00205C60">
              <w:rPr>
                <w:rFonts w:ascii="Verdana" w:hAnsi="Verdana" w:cs="Arial"/>
                <w:b/>
                <w:snapToGrid w:val="0"/>
                <w:sz w:val="22"/>
                <w:szCs w:val="22"/>
              </w:rPr>
              <w:t>Cálculos (miles de colones)</w:t>
            </w:r>
          </w:p>
        </w:tc>
        <w:tc>
          <w:tcPr>
            <w:tcW w:w="273" w:type="pct"/>
            <w:tcBorders>
              <w:top w:val="single" w:sz="4" w:space="0" w:color="auto"/>
              <w:left w:val="nil"/>
              <w:bottom w:val="single" w:sz="4" w:space="0" w:color="auto"/>
              <w:right w:val="nil"/>
            </w:tcBorders>
            <w:shd w:val="solid" w:color="FFFFFF" w:fill="auto"/>
            <w:vAlign w:val="center"/>
          </w:tcPr>
          <w:p w14:paraId="3CA7EA0E" w14:textId="77777777" w:rsidR="00531011" w:rsidRPr="00205C60" w:rsidRDefault="00531011" w:rsidP="006E18E7">
            <w:pPr>
              <w:jc w:val="center"/>
              <w:rPr>
                <w:rFonts w:ascii="Verdana" w:hAnsi="Verdana" w:cs="Arial"/>
                <w:b/>
                <w:snapToGrid w:val="0"/>
                <w:sz w:val="22"/>
                <w:szCs w:val="22"/>
              </w:rPr>
            </w:pPr>
          </w:p>
        </w:tc>
        <w:tc>
          <w:tcPr>
            <w:tcW w:w="1699" w:type="pct"/>
            <w:gridSpan w:val="2"/>
            <w:tcBorders>
              <w:top w:val="single" w:sz="4" w:space="0" w:color="auto"/>
              <w:left w:val="nil"/>
              <w:bottom w:val="single" w:sz="4" w:space="0" w:color="auto"/>
              <w:right w:val="single" w:sz="4" w:space="0" w:color="auto"/>
            </w:tcBorders>
            <w:shd w:val="solid" w:color="FFFFFF" w:fill="auto"/>
            <w:vAlign w:val="center"/>
          </w:tcPr>
          <w:p w14:paraId="3CA7EA0F" w14:textId="77777777" w:rsidR="00531011" w:rsidRPr="00205C60" w:rsidRDefault="00531011" w:rsidP="006E18E7">
            <w:pPr>
              <w:jc w:val="center"/>
              <w:rPr>
                <w:rFonts w:ascii="Verdana" w:hAnsi="Verdana" w:cs="Arial"/>
                <w:b/>
                <w:snapToGrid w:val="0"/>
                <w:sz w:val="22"/>
                <w:szCs w:val="22"/>
              </w:rPr>
            </w:pPr>
            <w:r w:rsidRPr="00205C60">
              <w:rPr>
                <w:rFonts w:ascii="Verdana" w:hAnsi="Verdana" w:cs="Arial"/>
                <w:b/>
                <w:snapToGrid w:val="0"/>
                <w:sz w:val="22"/>
                <w:szCs w:val="22"/>
              </w:rPr>
              <w:t>Resultados</w:t>
            </w:r>
          </w:p>
        </w:tc>
      </w:tr>
      <w:tr w:rsidR="00E73B6C" w:rsidRPr="00205C60" w14:paraId="3CA7EA17" w14:textId="77777777" w:rsidTr="00C52DB7">
        <w:tblPrEx>
          <w:tblBorders>
            <w:top w:val="single" w:sz="4" w:space="0" w:color="auto"/>
            <w:left w:val="single" w:sz="4" w:space="0" w:color="auto"/>
            <w:bottom w:val="single" w:sz="4" w:space="0" w:color="auto"/>
            <w:right w:val="single" w:sz="4" w:space="0" w:color="auto"/>
          </w:tblBorders>
        </w:tblPrEx>
        <w:trPr>
          <w:trHeight w:val="485"/>
          <w:jc w:val="center"/>
        </w:trPr>
        <w:tc>
          <w:tcPr>
            <w:tcW w:w="749" w:type="pct"/>
            <w:tcBorders>
              <w:top w:val="single" w:sz="4" w:space="0" w:color="auto"/>
              <w:left w:val="single" w:sz="4" w:space="0" w:color="auto"/>
              <w:bottom w:val="single" w:sz="4" w:space="0" w:color="auto"/>
              <w:right w:val="single" w:sz="4" w:space="0" w:color="auto"/>
            </w:tcBorders>
            <w:shd w:val="solid" w:color="FFFFFF" w:fill="auto"/>
            <w:vAlign w:val="center"/>
          </w:tcPr>
          <w:p w14:paraId="3CA7EA11" w14:textId="77777777" w:rsidR="00531011" w:rsidRPr="00205C60" w:rsidRDefault="00531011" w:rsidP="006E18E7">
            <w:pPr>
              <w:jc w:val="center"/>
              <w:rPr>
                <w:rFonts w:ascii="Verdana" w:hAnsi="Verdana" w:cs="Arial"/>
                <w:b/>
                <w:bCs/>
                <w:snapToGrid w:val="0"/>
                <w:sz w:val="22"/>
                <w:szCs w:val="22"/>
              </w:rPr>
            </w:pPr>
            <w:r w:rsidRPr="00205C60">
              <w:rPr>
                <w:rFonts w:ascii="Verdana" w:hAnsi="Verdana" w:cs="Arial"/>
                <w:b/>
                <w:bCs/>
                <w:snapToGrid w:val="0"/>
                <w:sz w:val="22"/>
                <w:szCs w:val="22"/>
              </w:rPr>
              <w:t>Año</w:t>
            </w:r>
          </w:p>
        </w:tc>
        <w:tc>
          <w:tcPr>
            <w:tcW w:w="972" w:type="pct"/>
            <w:tcBorders>
              <w:top w:val="single" w:sz="4" w:space="0" w:color="auto"/>
              <w:left w:val="single" w:sz="4" w:space="0" w:color="auto"/>
              <w:bottom w:val="single" w:sz="4" w:space="0" w:color="auto"/>
              <w:right w:val="nil"/>
            </w:tcBorders>
            <w:shd w:val="solid" w:color="FFFFFF" w:fill="auto"/>
            <w:vAlign w:val="center"/>
          </w:tcPr>
          <w:p w14:paraId="3CA7EA12" w14:textId="77777777" w:rsidR="00531011" w:rsidRPr="00205C60" w:rsidRDefault="00531011" w:rsidP="006E18E7">
            <w:pPr>
              <w:jc w:val="center"/>
              <w:rPr>
                <w:rFonts w:ascii="Verdana" w:hAnsi="Verdana" w:cs="Arial"/>
                <w:b/>
                <w:bCs/>
                <w:snapToGrid w:val="0"/>
                <w:sz w:val="22"/>
                <w:szCs w:val="22"/>
              </w:rPr>
            </w:pPr>
            <w:r w:rsidRPr="00205C60">
              <w:rPr>
                <w:rFonts w:ascii="Verdana" w:hAnsi="Verdana" w:cs="Arial"/>
                <w:b/>
                <w:bCs/>
                <w:snapToGrid w:val="0"/>
                <w:sz w:val="22"/>
                <w:szCs w:val="22"/>
              </w:rPr>
              <w:t>Cuentas por Cobrar</w:t>
            </w:r>
          </w:p>
        </w:tc>
        <w:tc>
          <w:tcPr>
            <w:tcW w:w="304" w:type="pct"/>
            <w:tcBorders>
              <w:top w:val="single" w:sz="4" w:space="0" w:color="auto"/>
              <w:left w:val="nil"/>
              <w:bottom w:val="single" w:sz="4" w:space="0" w:color="auto"/>
              <w:right w:val="nil"/>
            </w:tcBorders>
            <w:shd w:val="solid" w:color="FFFFFF" w:fill="auto"/>
            <w:vAlign w:val="center"/>
          </w:tcPr>
          <w:p w14:paraId="3CA7EA13" w14:textId="77777777" w:rsidR="00531011" w:rsidRPr="00205C60" w:rsidRDefault="00531011" w:rsidP="006E18E7">
            <w:pPr>
              <w:jc w:val="center"/>
              <w:rPr>
                <w:rFonts w:ascii="Verdana" w:hAnsi="Verdana" w:cs="Arial"/>
                <w:b/>
                <w:bCs/>
                <w:snapToGrid w:val="0"/>
                <w:sz w:val="22"/>
                <w:szCs w:val="22"/>
              </w:rPr>
            </w:pPr>
            <w:r w:rsidRPr="00205C60">
              <w:rPr>
                <w:rFonts w:ascii="Verdana" w:hAnsi="Verdana" w:cs="Arial"/>
                <w:b/>
                <w:bCs/>
                <w:snapToGrid w:val="0"/>
                <w:sz w:val="22"/>
                <w:szCs w:val="22"/>
              </w:rPr>
              <w:t>÷</w:t>
            </w:r>
          </w:p>
        </w:tc>
        <w:tc>
          <w:tcPr>
            <w:tcW w:w="1003" w:type="pct"/>
            <w:gridSpan w:val="2"/>
            <w:tcBorders>
              <w:top w:val="single" w:sz="4" w:space="0" w:color="auto"/>
              <w:left w:val="nil"/>
              <w:bottom w:val="single" w:sz="4" w:space="0" w:color="auto"/>
              <w:right w:val="nil"/>
            </w:tcBorders>
            <w:vAlign w:val="center"/>
          </w:tcPr>
          <w:p w14:paraId="3CA7EA14" w14:textId="77777777" w:rsidR="00531011" w:rsidRPr="00205C60" w:rsidRDefault="00531011" w:rsidP="006E18E7">
            <w:pPr>
              <w:jc w:val="center"/>
              <w:rPr>
                <w:rFonts w:ascii="Verdana" w:hAnsi="Verdana" w:cs="Arial"/>
                <w:b/>
                <w:bCs/>
                <w:snapToGrid w:val="0"/>
                <w:sz w:val="22"/>
                <w:szCs w:val="22"/>
              </w:rPr>
            </w:pPr>
            <w:r w:rsidRPr="00205C60">
              <w:rPr>
                <w:rFonts w:ascii="Verdana" w:hAnsi="Verdana" w:cs="Arial"/>
                <w:b/>
                <w:bCs/>
                <w:snapToGrid w:val="0"/>
                <w:sz w:val="22"/>
                <w:szCs w:val="22"/>
              </w:rPr>
              <w:t>Ventas Diarias</w:t>
            </w:r>
          </w:p>
        </w:tc>
        <w:tc>
          <w:tcPr>
            <w:tcW w:w="273" w:type="pct"/>
            <w:tcBorders>
              <w:top w:val="single" w:sz="4" w:space="0" w:color="auto"/>
              <w:left w:val="nil"/>
              <w:bottom w:val="single" w:sz="4" w:space="0" w:color="auto"/>
              <w:right w:val="nil"/>
            </w:tcBorders>
            <w:shd w:val="solid" w:color="FFFFFF" w:fill="auto"/>
            <w:vAlign w:val="center"/>
          </w:tcPr>
          <w:p w14:paraId="3CA7EA15" w14:textId="77777777" w:rsidR="00531011" w:rsidRPr="00205C60" w:rsidRDefault="00531011" w:rsidP="006E18E7">
            <w:pPr>
              <w:jc w:val="center"/>
              <w:rPr>
                <w:rFonts w:ascii="Verdana" w:hAnsi="Verdana" w:cs="Arial"/>
                <w:snapToGrid w:val="0"/>
                <w:sz w:val="22"/>
                <w:szCs w:val="22"/>
              </w:rPr>
            </w:pPr>
            <w:r w:rsidRPr="00205C60">
              <w:rPr>
                <w:rFonts w:ascii="Verdana" w:hAnsi="Verdana" w:cs="Arial"/>
                <w:snapToGrid w:val="0"/>
                <w:sz w:val="22"/>
                <w:szCs w:val="22"/>
              </w:rPr>
              <w:t>=</w:t>
            </w:r>
          </w:p>
        </w:tc>
        <w:tc>
          <w:tcPr>
            <w:tcW w:w="1699" w:type="pct"/>
            <w:gridSpan w:val="2"/>
            <w:tcBorders>
              <w:top w:val="single" w:sz="4" w:space="0" w:color="auto"/>
              <w:left w:val="nil"/>
              <w:bottom w:val="single" w:sz="4" w:space="0" w:color="auto"/>
              <w:right w:val="single" w:sz="4" w:space="0" w:color="auto"/>
            </w:tcBorders>
            <w:shd w:val="solid" w:color="FFFFFF" w:fill="auto"/>
            <w:vAlign w:val="center"/>
          </w:tcPr>
          <w:p w14:paraId="3CA7EA16" w14:textId="340F520F" w:rsidR="00531011" w:rsidRPr="00205C60" w:rsidRDefault="00531011" w:rsidP="006E18E7">
            <w:pPr>
              <w:jc w:val="center"/>
              <w:rPr>
                <w:rFonts w:ascii="Verdana" w:hAnsi="Verdana" w:cs="Arial"/>
                <w:b/>
                <w:bCs/>
                <w:snapToGrid w:val="0"/>
                <w:sz w:val="22"/>
                <w:szCs w:val="22"/>
              </w:rPr>
            </w:pPr>
            <w:r w:rsidRPr="00205C60">
              <w:rPr>
                <w:rFonts w:ascii="Verdana" w:hAnsi="Verdana" w:cs="Arial"/>
                <w:b/>
                <w:bCs/>
                <w:snapToGrid w:val="0"/>
                <w:sz w:val="22"/>
                <w:szCs w:val="22"/>
              </w:rPr>
              <w:t xml:space="preserve">Indicador </w:t>
            </w:r>
            <w:r w:rsidR="00B9303D" w:rsidRPr="00205C60">
              <w:rPr>
                <w:rFonts w:ascii="Verdana" w:hAnsi="Verdana" w:cs="Arial"/>
                <w:b/>
                <w:bCs/>
                <w:snapToGrid w:val="0"/>
                <w:sz w:val="22"/>
                <w:szCs w:val="22"/>
              </w:rPr>
              <w:t xml:space="preserve">        </w:t>
            </w:r>
            <w:proofErr w:type="gramStart"/>
            <w:r w:rsidR="00B9303D" w:rsidRPr="00205C60">
              <w:rPr>
                <w:rFonts w:ascii="Verdana" w:hAnsi="Verdana" w:cs="Arial"/>
                <w:b/>
                <w:bCs/>
                <w:snapToGrid w:val="0"/>
                <w:sz w:val="22"/>
                <w:szCs w:val="22"/>
              </w:rPr>
              <w:t xml:space="preserve">   </w:t>
            </w:r>
            <w:r w:rsidR="00E559ED" w:rsidRPr="00205C60">
              <w:rPr>
                <w:rFonts w:ascii="Verdana" w:hAnsi="Verdana" w:cs="Arial"/>
                <w:b/>
                <w:bCs/>
                <w:snapToGrid w:val="0"/>
                <w:sz w:val="22"/>
                <w:szCs w:val="22"/>
              </w:rPr>
              <w:t>(</w:t>
            </w:r>
            <w:proofErr w:type="gramEnd"/>
            <w:r w:rsidR="00B9303D" w:rsidRPr="00205C60">
              <w:rPr>
                <w:rFonts w:ascii="Verdana" w:hAnsi="Verdana" w:cs="Arial"/>
                <w:b/>
                <w:bCs/>
                <w:snapToGrid w:val="0"/>
                <w:sz w:val="22"/>
                <w:szCs w:val="22"/>
              </w:rPr>
              <w:t>d</w:t>
            </w:r>
            <w:r w:rsidR="00E559ED" w:rsidRPr="00205C60">
              <w:rPr>
                <w:rFonts w:ascii="Verdana" w:hAnsi="Verdana" w:cs="Arial"/>
                <w:b/>
                <w:bCs/>
                <w:snapToGrid w:val="0"/>
                <w:sz w:val="22"/>
                <w:szCs w:val="22"/>
              </w:rPr>
              <w:t>ías</w:t>
            </w:r>
            <w:r w:rsidRPr="00205C60">
              <w:rPr>
                <w:rFonts w:ascii="Verdana" w:hAnsi="Verdana" w:cs="Arial"/>
                <w:b/>
                <w:bCs/>
                <w:snapToGrid w:val="0"/>
                <w:sz w:val="22"/>
                <w:szCs w:val="22"/>
              </w:rPr>
              <w:t xml:space="preserve"> C X C )</w:t>
            </w:r>
          </w:p>
        </w:tc>
      </w:tr>
      <w:tr w:rsidR="00541177" w:rsidRPr="00205C60" w14:paraId="3CA7EA25" w14:textId="77777777" w:rsidTr="00C52DB7">
        <w:tblPrEx>
          <w:tblBorders>
            <w:top w:val="single" w:sz="4" w:space="0" w:color="auto"/>
            <w:left w:val="single" w:sz="4" w:space="0" w:color="auto"/>
            <w:bottom w:val="single" w:sz="4" w:space="0" w:color="auto"/>
            <w:right w:val="single" w:sz="4" w:space="0" w:color="auto"/>
          </w:tblBorders>
        </w:tblPrEx>
        <w:trPr>
          <w:trHeight w:val="257"/>
          <w:jc w:val="center"/>
        </w:trPr>
        <w:tc>
          <w:tcPr>
            <w:tcW w:w="749" w:type="pct"/>
            <w:tcBorders>
              <w:top w:val="single" w:sz="4" w:space="0" w:color="auto"/>
              <w:left w:val="single" w:sz="4" w:space="0" w:color="auto"/>
              <w:bottom w:val="single" w:sz="4" w:space="0" w:color="auto"/>
              <w:right w:val="single" w:sz="4" w:space="0" w:color="auto"/>
            </w:tcBorders>
            <w:shd w:val="solid" w:color="FFFFFF" w:fill="auto"/>
            <w:vAlign w:val="center"/>
          </w:tcPr>
          <w:p w14:paraId="3CA7EA1F" w14:textId="117ED75F" w:rsidR="00541177" w:rsidRPr="00205C60" w:rsidRDefault="00541177" w:rsidP="00541177">
            <w:pPr>
              <w:jc w:val="center"/>
              <w:rPr>
                <w:rFonts w:ascii="Verdana" w:hAnsi="Verdana" w:cs="Arial"/>
                <w:snapToGrid w:val="0"/>
                <w:sz w:val="22"/>
                <w:szCs w:val="22"/>
              </w:rPr>
            </w:pPr>
            <w:r w:rsidRPr="00205C60">
              <w:rPr>
                <w:rFonts w:ascii="Verdana" w:hAnsi="Verdana" w:cs="Arial"/>
                <w:snapToGrid w:val="0"/>
                <w:sz w:val="22"/>
                <w:szCs w:val="22"/>
              </w:rPr>
              <w:t>2020</w:t>
            </w:r>
          </w:p>
        </w:tc>
        <w:tc>
          <w:tcPr>
            <w:tcW w:w="972" w:type="pct"/>
            <w:tcBorders>
              <w:top w:val="single" w:sz="4" w:space="0" w:color="auto"/>
              <w:left w:val="single" w:sz="4" w:space="0" w:color="auto"/>
              <w:bottom w:val="single" w:sz="4" w:space="0" w:color="auto"/>
              <w:right w:val="single" w:sz="4" w:space="0" w:color="auto"/>
            </w:tcBorders>
            <w:shd w:val="solid" w:color="FFFFFF" w:fill="auto"/>
            <w:vAlign w:val="center"/>
          </w:tcPr>
          <w:p w14:paraId="3CA7EA20" w14:textId="3CBC099C" w:rsidR="00541177" w:rsidRPr="00205C60" w:rsidRDefault="00541177" w:rsidP="00541177">
            <w:pPr>
              <w:jc w:val="center"/>
              <w:rPr>
                <w:rFonts w:ascii="Verdana" w:hAnsi="Verdana" w:cs="Arial"/>
                <w:snapToGrid w:val="0"/>
                <w:sz w:val="22"/>
                <w:szCs w:val="22"/>
              </w:rPr>
            </w:pPr>
            <w:r w:rsidRPr="00205C60">
              <w:rPr>
                <w:rFonts w:ascii="Verdana" w:hAnsi="Verdana" w:cs="Arial"/>
                <w:snapToGrid w:val="0"/>
                <w:sz w:val="22"/>
                <w:szCs w:val="22"/>
              </w:rPr>
              <w:t>28.865.040</w:t>
            </w:r>
          </w:p>
        </w:tc>
        <w:tc>
          <w:tcPr>
            <w:tcW w:w="304" w:type="pct"/>
            <w:tcBorders>
              <w:top w:val="single" w:sz="4" w:space="0" w:color="auto"/>
              <w:left w:val="single" w:sz="4" w:space="0" w:color="auto"/>
              <w:bottom w:val="single" w:sz="4" w:space="0" w:color="auto"/>
              <w:right w:val="nil"/>
            </w:tcBorders>
            <w:shd w:val="solid" w:color="FFFFFF" w:fill="auto"/>
            <w:vAlign w:val="center"/>
          </w:tcPr>
          <w:p w14:paraId="3CA7EA21" w14:textId="77777777" w:rsidR="00541177" w:rsidRPr="00205C60" w:rsidRDefault="00541177" w:rsidP="00541177">
            <w:pPr>
              <w:jc w:val="center"/>
              <w:rPr>
                <w:rFonts w:ascii="Verdana" w:hAnsi="Verdana" w:cs="Arial"/>
                <w:snapToGrid w:val="0"/>
                <w:sz w:val="22"/>
                <w:szCs w:val="22"/>
              </w:rPr>
            </w:pPr>
          </w:p>
        </w:tc>
        <w:tc>
          <w:tcPr>
            <w:tcW w:w="1003" w:type="pct"/>
            <w:gridSpan w:val="2"/>
            <w:tcBorders>
              <w:top w:val="single" w:sz="4" w:space="0" w:color="auto"/>
              <w:left w:val="nil"/>
              <w:bottom w:val="single" w:sz="4" w:space="0" w:color="auto"/>
              <w:right w:val="nil"/>
            </w:tcBorders>
            <w:vAlign w:val="center"/>
          </w:tcPr>
          <w:p w14:paraId="3CA7EA22" w14:textId="110DF7B0" w:rsidR="00541177" w:rsidRPr="00205C60" w:rsidRDefault="00541177" w:rsidP="00541177">
            <w:pPr>
              <w:jc w:val="center"/>
              <w:rPr>
                <w:rFonts w:ascii="Verdana" w:hAnsi="Verdana" w:cs="Arial"/>
                <w:snapToGrid w:val="0"/>
                <w:sz w:val="22"/>
                <w:szCs w:val="22"/>
              </w:rPr>
            </w:pPr>
            <w:r w:rsidRPr="00205C60">
              <w:rPr>
                <w:rFonts w:ascii="Verdana" w:hAnsi="Verdana" w:cs="Arial"/>
                <w:snapToGrid w:val="0"/>
                <w:sz w:val="22"/>
                <w:szCs w:val="22"/>
              </w:rPr>
              <w:t>917.208</w:t>
            </w:r>
          </w:p>
        </w:tc>
        <w:tc>
          <w:tcPr>
            <w:tcW w:w="273" w:type="pct"/>
            <w:tcBorders>
              <w:top w:val="single" w:sz="4" w:space="0" w:color="auto"/>
              <w:left w:val="nil"/>
              <w:bottom w:val="single" w:sz="4" w:space="0" w:color="auto"/>
              <w:right w:val="single" w:sz="4" w:space="0" w:color="auto"/>
            </w:tcBorders>
            <w:shd w:val="solid" w:color="FFFFFF" w:fill="auto"/>
            <w:vAlign w:val="center"/>
          </w:tcPr>
          <w:p w14:paraId="3CA7EA23" w14:textId="77777777" w:rsidR="00541177" w:rsidRPr="00205C60" w:rsidRDefault="00541177" w:rsidP="00541177">
            <w:pPr>
              <w:jc w:val="center"/>
              <w:rPr>
                <w:rFonts w:ascii="Verdana" w:hAnsi="Verdana" w:cs="Arial"/>
                <w:snapToGrid w:val="0"/>
                <w:sz w:val="22"/>
                <w:szCs w:val="22"/>
              </w:rPr>
            </w:pPr>
          </w:p>
        </w:tc>
        <w:tc>
          <w:tcPr>
            <w:tcW w:w="1699" w:type="pct"/>
            <w:gridSpan w:val="2"/>
            <w:tcBorders>
              <w:top w:val="single" w:sz="4" w:space="0" w:color="auto"/>
              <w:left w:val="single" w:sz="4" w:space="0" w:color="auto"/>
              <w:bottom w:val="single" w:sz="4" w:space="0" w:color="auto"/>
              <w:right w:val="single" w:sz="4" w:space="0" w:color="auto"/>
            </w:tcBorders>
            <w:shd w:val="solid" w:color="FFFFFF" w:fill="auto"/>
            <w:vAlign w:val="center"/>
          </w:tcPr>
          <w:p w14:paraId="3CA7EA24" w14:textId="426C9EEE" w:rsidR="00541177" w:rsidRPr="00205C60" w:rsidRDefault="00541177" w:rsidP="00541177">
            <w:pPr>
              <w:jc w:val="center"/>
              <w:rPr>
                <w:rFonts w:ascii="Verdana" w:hAnsi="Verdana" w:cs="Arial"/>
                <w:snapToGrid w:val="0"/>
                <w:sz w:val="22"/>
                <w:szCs w:val="22"/>
              </w:rPr>
            </w:pPr>
            <w:r w:rsidRPr="00205C60">
              <w:rPr>
                <w:rFonts w:ascii="Verdana" w:hAnsi="Verdana" w:cs="Arial"/>
                <w:snapToGrid w:val="0"/>
                <w:sz w:val="22"/>
                <w:szCs w:val="22"/>
              </w:rPr>
              <w:t>31</w:t>
            </w:r>
          </w:p>
        </w:tc>
      </w:tr>
      <w:tr w:rsidR="00541177" w:rsidRPr="00205C60" w14:paraId="3CA7EA2C" w14:textId="77777777" w:rsidTr="00C52DB7">
        <w:tblPrEx>
          <w:tblBorders>
            <w:top w:val="single" w:sz="4" w:space="0" w:color="auto"/>
            <w:left w:val="single" w:sz="4" w:space="0" w:color="auto"/>
            <w:bottom w:val="single" w:sz="4" w:space="0" w:color="auto"/>
            <w:right w:val="single" w:sz="4" w:space="0" w:color="auto"/>
          </w:tblBorders>
        </w:tblPrEx>
        <w:trPr>
          <w:trHeight w:val="257"/>
          <w:jc w:val="center"/>
        </w:trPr>
        <w:tc>
          <w:tcPr>
            <w:tcW w:w="749" w:type="pct"/>
            <w:tcBorders>
              <w:top w:val="single" w:sz="4" w:space="0" w:color="auto"/>
              <w:left w:val="single" w:sz="4" w:space="0" w:color="auto"/>
              <w:bottom w:val="single" w:sz="4" w:space="0" w:color="auto"/>
              <w:right w:val="single" w:sz="4" w:space="0" w:color="auto"/>
            </w:tcBorders>
            <w:shd w:val="solid" w:color="FFFFFF" w:fill="auto"/>
            <w:vAlign w:val="center"/>
          </w:tcPr>
          <w:p w14:paraId="3CA7EA26" w14:textId="6730554F" w:rsidR="00541177" w:rsidRPr="00205C60" w:rsidRDefault="00541177" w:rsidP="00541177">
            <w:pPr>
              <w:jc w:val="center"/>
              <w:rPr>
                <w:rFonts w:ascii="Verdana" w:hAnsi="Verdana" w:cs="Arial"/>
                <w:snapToGrid w:val="0"/>
                <w:sz w:val="22"/>
                <w:szCs w:val="22"/>
              </w:rPr>
            </w:pPr>
            <w:r w:rsidRPr="00205C60">
              <w:rPr>
                <w:rFonts w:ascii="Verdana" w:hAnsi="Verdana" w:cs="Arial"/>
                <w:snapToGrid w:val="0"/>
                <w:sz w:val="22"/>
                <w:szCs w:val="22"/>
              </w:rPr>
              <w:t>2021</w:t>
            </w:r>
          </w:p>
        </w:tc>
        <w:tc>
          <w:tcPr>
            <w:tcW w:w="972" w:type="pct"/>
            <w:tcBorders>
              <w:top w:val="single" w:sz="4" w:space="0" w:color="auto"/>
              <w:left w:val="single" w:sz="4" w:space="0" w:color="auto"/>
              <w:bottom w:val="single" w:sz="4" w:space="0" w:color="auto"/>
              <w:right w:val="single" w:sz="4" w:space="0" w:color="auto"/>
            </w:tcBorders>
            <w:shd w:val="solid" w:color="FFFFFF" w:fill="auto"/>
            <w:vAlign w:val="center"/>
          </w:tcPr>
          <w:p w14:paraId="3CA7EA27" w14:textId="3FA4A200" w:rsidR="00541177" w:rsidRPr="00205C60" w:rsidRDefault="00541177" w:rsidP="00541177">
            <w:pPr>
              <w:jc w:val="center"/>
              <w:rPr>
                <w:rFonts w:ascii="Verdana" w:hAnsi="Verdana" w:cs="Arial"/>
                <w:snapToGrid w:val="0"/>
                <w:sz w:val="22"/>
                <w:szCs w:val="22"/>
              </w:rPr>
            </w:pPr>
            <w:r w:rsidRPr="00205C60">
              <w:rPr>
                <w:rFonts w:ascii="Verdana" w:hAnsi="Verdana" w:cs="Arial"/>
                <w:snapToGrid w:val="0"/>
                <w:sz w:val="22"/>
                <w:szCs w:val="22"/>
              </w:rPr>
              <w:t>22.244.090</w:t>
            </w:r>
          </w:p>
        </w:tc>
        <w:tc>
          <w:tcPr>
            <w:tcW w:w="304" w:type="pct"/>
            <w:tcBorders>
              <w:top w:val="single" w:sz="4" w:space="0" w:color="auto"/>
              <w:left w:val="single" w:sz="4" w:space="0" w:color="auto"/>
              <w:bottom w:val="single" w:sz="4" w:space="0" w:color="auto"/>
              <w:right w:val="nil"/>
            </w:tcBorders>
            <w:shd w:val="solid" w:color="FFFFFF" w:fill="auto"/>
            <w:vAlign w:val="center"/>
          </w:tcPr>
          <w:p w14:paraId="3CA7EA28" w14:textId="77777777" w:rsidR="00541177" w:rsidRPr="00205C60" w:rsidRDefault="00541177" w:rsidP="00541177">
            <w:pPr>
              <w:jc w:val="center"/>
              <w:rPr>
                <w:rFonts w:ascii="Verdana" w:hAnsi="Verdana" w:cs="Arial"/>
                <w:snapToGrid w:val="0"/>
                <w:sz w:val="22"/>
                <w:szCs w:val="22"/>
              </w:rPr>
            </w:pPr>
          </w:p>
        </w:tc>
        <w:tc>
          <w:tcPr>
            <w:tcW w:w="1003" w:type="pct"/>
            <w:gridSpan w:val="2"/>
            <w:tcBorders>
              <w:top w:val="single" w:sz="4" w:space="0" w:color="auto"/>
              <w:left w:val="nil"/>
              <w:bottom w:val="single" w:sz="4" w:space="0" w:color="auto"/>
              <w:right w:val="nil"/>
            </w:tcBorders>
            <w:vAlign w:val="center"/>
          </w:tcPr>
          <w:p w14:paraId="3CA7EA29" w14:textId="35A69669" w:rsidR="00541177" w:rsidRPr="00205C60" w:rsidRDefault="00541177" w:rsidP="00541177">
            <w:pPr>
              <w:jc w:val="center"/>
              <w:rPr>
                <w:rFonts w:ascii="Verdana" w:hAnsi="Verdana" w:cs="Arial"/>
                <w:snapToGrid w:val="0"/>
                <w:sz w:val="22"/>
                <w:szCs w:val="22"/>
              </w:rPr>
            </w:pPr>
            <w:r w:rsidRPr="00205C60">
              <w:rPr>
                <w:rFonts w:ascii="Verdana" w:hAnsi="Verdana" w:cs="Arial"/>
                <w:snapToGrid w:val="0"/>
                <w:sz w:val="22"/>
                <w:szCs w:val="22"/>
              </w:rPr>
              <w:t>773.861</w:t>
            </w:r>
          </w:p>
        </w:tc>
        <w:tc>
          <w:tcPr>
            <w:tcW w:w="273" w:type="pct"/>
            <w:tcBorders>
              <w:top w:val="single" w:sz="4" w:space="0" w:color="auto"/>
              <w:left w:val="nil"/>
              <w:bottom w:val="single" w:sz="4" w:space="0" w:color="auto"/>
              <w:right w:val="single" w:sz="4" w:space="0" w:color="auto"/>
            </w:tcBorders>
            <w:shd w:val="solid" w:color="FFFFFF" w:fill="auto"/>
            <w:vAlign w:val="center"/>
          </w:tcPr>
          <w:p w14:paraId="3CA7EA2A" w14:textId="77777777" w:rsidR="00541177" w:rsidRPr="00205C60" w:rsidRDefault="00541177" w:rsidP="00541177">
            <w:pPr>
              <w:jc w:val="center"/>
              <w:rPr>
                <w:rFonts w:ascii="Verdana" w:hAnsi="Verdana" w:cs="Arial"/>
                <w:snapToGrid w:val="0"/>
                <w:sz w:val="22"/>
                <w:szCs w:val="22"/>
              </w:rPr>
            </w:pPr>
          </w:p>
        </w:tc>
        <w:tc>
          <w:tcPr>
            <w:tcW w:w="1699" w:type="pct"/>
            <w:gridSpan w:val="2"/>
            <w:tcBorders>
              <w:top w:val="single" w:sz="4" w:space="0" w:color="auto"/>
              <w:left w:val="single" w:sz="4" w:space="0" w:color="auto"/>
              <w:bottom w:val="single" w:sz="4" w:space="0" w:color="auto"/>
              <w:right w:val="single" w:sz="4" w:space="0" w:color="auto"/>
            </w:tcBorders>
            <w:shd w:val="solid" w:color="FFFFFF" w:fill="auto"/>
            <w:vAlign w:val="center"/>
          </w:tcPr>
          <w:p w14:paraId="3CA7EA2B" w14:textId="3AA98BCC" w:rsidR="00541177" w:rsidRPr="00205C60" w:rsidRDefault="00541177" w:rsidP="00541177">
            <w:pPr>
              <w:jc w:val="center"/>
              <w:rPr>
                <w:rFonts w:ascii="Verdana" w:hAnsi="Verdana" w:cs="Arial"/>
                <w:snapToGrid w:val="0"/>
                <w:sz w:val="22"/>
                <w:szCs w:val="22"/>
              </w:rPr>
            </w:pPr>
            <w:r w:rsidRPr="00205C60">
              <w:rPr>
                <w:rFonts w:ascii="Verdana" w:hAnsi="Verdana" w:cs="Arial"/>
                <w:snapToGrid w:val="0"/>
                <w:sz w:val="22"/>
                <w:szCs w:val="22"/>
              </w:rPr>
              <w:t>29</w:t>
            </w:r>
          </w:p>
        </w:tc>
      </w:tr>
      <w:tr w:rsidR="00FA30F6" w:rsidRPr="00205C60" w14:paraId="34019A88" w14:textId="77777777" w:rsidTr="00C52DB7">
        <w:tblPrEx>
          <w:tblBorders>
            <w:top w:val="single" w:sz="4" w:space="0" w:color="auto"/>
            <w:left w:val="single" w:sz="4" w:space="0" w:color="auto"/>
            <w:bottom w:val="single" w:sz="4" w:space="0" w:color="auto"/>
            <w:right w:val="single" w:sz="4" w:space="0" w:color="auto"/>
          </w:tblBorders>
        </w:tblPrEx>
        <w:trPr>
          <w:trHeight w:val="257"/>
          <w:jc w:val="center"/>
        </w:trPr>
        <w:tc>
          <w:tcPr>
            <w:tcW w:w="749" w:type="pct"/>
            <w:tcBorders>
              <w:top w:val="single" w:sz="4" w:space="0" w:color="auto"/>
              <w:left w:val="single" w:sz="4" w:space="0" w:color="auto"/>
              <w:bottom w:val="single" w:sz="4" w:space="0" w:color="auto"/>
              <w:right w:val="single" w:sz="4" w:space="0" w:color="auto"/>
            </w:tcBorders>
            <w:shd w:val="solid" w:color="FFFFFF" w:fill="auto"/>
            <w:vAlign w:val="center"/>
          </w:tcPr>
          <w:p w14:paraId="032E4C0F" w14:textId="3AB0425E" w:rsidR="00FA30F6" w:rsidRPr="00205C60" w:rsidRDefault="00FA30F6" w:rsidP="00D71DC2">
            <w:pPr>
              <w:jc w:val="center"/>
              <w:rPr>
                <w:rFonts w:ascii="Verdana" w:hAnsi="Verdana" w:cs="Arial"/>
                <w:snapToGrid w:val="0"/>
                <w:sz w:val="22"/>
                <w:szCs w:val="22"/>
              </w:rPr>
            </w:pPr>
            <w:r w:rsidRPr="00205C60">
              <w:rPr>
                <w:rFonts w:ascii="Verdana" w:hAnsi="Verdana" w:cs="Arial"/>
                <w:snapToGrid w:val="0"/>
                <w:sz w:val="22"/>
                <w:szCs w:val="22"/>
              </w:rPr>
              <w:t>2021</w:t>
            </w:r>
          </w:p>
        </w:tc>
        <w:tc>
          <w:tcPr>
            <w:tcW w:w="972" w:type="pct"/>
            <w:tcBorders>
              <w:top w:val="single" w:sz="4" w:space="0" w:color="auto"/>
              <w:left w:val="single" w:sz="4" w:space="0" w:color="auto"/>
              <w:bottom w:val="single" w:sz="4" w:space="0" w:color="auto"/>
              <w:right w:val="single" w:sz="4" w:space="0" w:color="auto"/>
            </w:tcBorders>
            <w:shd w:val="solid" w:color="FFFFFF" w:fill="auto"/>
            <w:vAlign w:val="center"/>
          </w:tcPr>
          <w:p w14:paraId="222897D8" w14:textId="0B916B21" w:rsidR="00FA30F6" w:rsidRPr="00205C60" w:rsidRDefault="00CF0FF1" w:rsidP="00D22DF3">
            <w:pPr>
              <w:jc w:val="center"/>
              <w:rPr>
                <w:rFonts w:ascii="Verdana" w:hAnsi="Verdana" w:cs="Arial"/>
                <w:snapToGrid w:val="0"/>
                <w:sz w:val="22"/>
                <w:szCs w:val="22"/>
              </w:rPr>
            </w:pPr>
            <w:r w:rsidRPr="00205C60">
              <w:rPr>
                <w:rFonts w:ascii="Verdana" w:hAnsi="Verdana" w:cs="Arial"/>
                <w:snapToGrid w:val="0"/>
                <w:sz w:val="22"/>
                <w:szCs w:val="22"/>
              </w:rPr>
              <w:t>2</w:t>
            </w:r>
            <w:r w:rsidR="00ED098C" w:rsidRPr="00205C60">
              <w:rPr>
                <w:rFonts w:ascii="Verdana" w:hAnsi="Verdana" w:cs="Arial"/>
                <w:snapToGrid w:val="0"/>
                <w:sz w:val="22"/>
                <w:szCs w:val="22"/>
              </w:rPr>
              <w:t>3</w:t>
            </w:r>
            <w:r w:rsidRPr="00205C60">
              <w:rPr>
                <w:rFonts w:ascii="Verdana" w:hAnsi="Verdana" w:cs="Arial"/>
                <w:snapToGrid w:val="0"/>
                <w:sz w:val="22"/>
                <w:szCs w:val="22"/>
              </w:rPr>
              <w:t>.</w:t>
            </w:r>
            <w:r w:rsidR="00ED098C" w:rsidRPr="00205C60">
              <w:rPr>
                <w:rFonts w:ascii="Verdana" w:hAnsi="Verdana" w:cs="Arial"/>
                <w:snapToGrid w:val="0"/>
                <w:sz w:val="22"/>
                <w:szCs w:val="22"/>
              </w:rPr>
              <w:t>734</w:t>
            </w:r>
            <w:r w:rsidRPr="00205C60">
              <w:rPr>
                <w:rFonts w:ascii="Verdana" w:hAnsi="Verdana" w:cs="Arial"/>
                <w:snapToGrid w:val="0"/>
                <w:sz w:val="22"/>
                <w:szCs w:val="22"/>
              </w:rPr>
              <w:t>.</w:t>
            </w:r>
            <w:r w:rsidR="00ED098C" w:rsidRPr="00205C60">
              <w:rPr>
                <w:rFonts w:ascii="Verdana" w:hAnsi="Verdana" w:cs="Arial"/>
                <w:snapToGrid w:val="0"/>
                <w:sz w:val="22"/>
                <w:szCs w:val="22"/>
              </w:rPr>
              <w:t>762</w:t>
            </w:r>
          </w:p>
        </w:tc>
        <w:tc>
          <w:tcPr>
            <w:tcW w:w="304" w:type="pct"/>
            <w:tcBorders>
              <w:top w:val="single" w:sz="4" w:space="0" w:color="auto"/>
              <w:left w:val="single" w:sz="4" w:space="0" w:color="auto"/>
              <w:bottom w:val="single" w:sz="4" w:space="0" w:color="auto"/>
              <w:right w:val="nil"/>
            </w:tcBorders>
            <w:shd w:val="solid" w:color="FFFFFF" w:fill="auto"/>
            <w:vAlign w:val="center"/>
          </w:tcPr>
          <w:p w14:paraId="0A55FC63" w14:textId="77777777" w:rsidR="00FA30F6" w:rsidRPr="00205C60" w:rsidRDefault="00FA30F6" w:rsidP="00D71DC2">
            <w:pPr>
              <w:jc w:val="center"/>
              <w:rPr>
                <w:rFonts w:ascii="Verdana" w:hAnsi="Verdana" w:cs="Arial"/>
                <w:snapToGrid w:val="0"/>
                <w:sz w:val="22"/>
                <w:szCs w:val="22"/>
              </w:rPr>
            </w:pPr>
          </w:p>
        </w:tc>
        <w:tc>
          <w:tcPr>
            <w:tcW w:w="1003" w:type="pct"/>
            <w:gridSpan w:val="2"/>
            <w:tcBorders>
              <w:top w:val="single" w:sz="4" w:space="0" w:color="auto"/>
              <w:left w:val="nil"/>
              <w:bottom w:val="single" w:sz="4" w:space="0" w:color="auto"/>
              <w:right w:val="nil"/>
            </w:tcBorders>
            <w:vAlign w:val="center"/>
          </w:tcPr>
          <w:p w14:paraId="1FC00DF3" w14:textId="7C57A425" w:rsidR="00FA30F6" w:rsidRPr="00205C60" w:rsidRDefault="0067152A" w:rsidP="00D71DC2">
            <w:pPr>
              <w:jc w:val="center"/>
              <w:rPr>
                <w:rFonts w:ascii="Verdana" w:hAnsi="Verdana" w:cs="Arial"/>
                <w:snapToGrid w:val="0"/>
                <w:sz w:val="22"/>
                <w:szCs w:val="22"/>
              </w:rPr>
            </w:pPr>
            <w:r w:rsidRPr="00205C60">
              <w:rPr>
                <w:rFonts w:ascii="Verdana" w:hAnsi="Verdana" w:cs="Arial"/>
                <w:snapToGrid w:val="0"/>
                <w:sz w:val="22"/>
                <w:szCs w:val="22"/>
              </w:rPr>
              <w:t>861</w:t>
            </w:r>
            <w:r w:rsidR="00C8306D" w:rsidRPr="00205C60">
              <w:rPr>
                <w:rFonts w:ascii="Verdana" w:hAnsi="Verdana" w:cs="Arial"/>
                <w:snapToGrid w:val="0"/>
                <w:sz w:val="22"/>
                <w:szCs w:val="22"/>
              </w:rPr>
              <w:t>.</w:t>
            </w:r>
            <w:r w:rsidRPr="00205C60">
              <w:rPr>
                <w:rFonts w:ascii="Verdana" w:hAnsi="Verdana" w:cs="Arial"/>
                <w:snapToGrid w:val="0"/>
                <w:sz w:val="22"/>
                <w:szCs w:val="22"/>
              </w:rPr>
              <w:t>639</w:t>
            </w:r>
          </w:p>
        </w:tc>
        <w:tc>
          <w:tcPr>
            <w:tcW w:w="273" w:type="pct"/>
            <w:tcBorders>
              <w:top w:val="single" w:sz="4" w:space="0" w:color="auto"/>
              <w:left w:val="nil"/>
              <w:bottom w:val="single" w:sz="4" w:space="0" w:color="auto"/>
              <w:right w:val="single" w:sz="4" w:space="0" w:color="auto"/>
            </w:tcBorders>
            <w:shd w:val="solid" w:color="FFFFFF" w:fill="auto"/>
            <w:vAlign w:val="center"/>
          </w:tcPr>
          <w:p w14:paraId="25E3EEA8" w14:textId="77777777" w:rsidR="00FA30F6" w:rsidRPr="00205C60" w:rsidRDefault="00FA30F6" w:rsidP="00D71DC2">
            <w:pPr>
              <w:jc w:val="center"/>
              <w:rPr>
                <w:rFonts w:ascii="Verdana" w:hAnsi="Verdana" w:cs="Arial"/>
                <w:snapToGrid w:val="0"/>
                <w:sz w:val="22"/>
                <w:szCs w:val="22"/>
              </w:rPr>
            </w:pPr>
          </w:p>
        </w:tc>
        <w:tc>
          <w:tcPr>
            <w:tcW w:w="1699" w:type="pct"/>
            <w:gridSpan w:val="2"/>
            <w:tcBorders>
              <w:top w:val="single" w:sz="4" w:space="0" w:color="auto"/>
              <w:left w:val="single" w:sz="4" w:space="0" w:color="auto"/>
              <w:bottom w:val="single" w:sz="4" w:space="0" w:color="auto"/>
              <w:right w:val="single" w:sz="4" w:space="0" w:color="auto"/>
            </w:tcBorders>
            <w:shd w:val="solid" w:color="FFFFFF" w:fill="auto"/>
            <w:vAlign w:val="center"/>
          </w:tcPr>
          <w:p w14:paraId="34477288" w14:textId="01C5B6FB" w:rsidR="00FA30F6" w:rsidRPr="00205C60" w:rsidRDefault="005E3B5C" w:rsidP="00D71DC2">
            <w:pPr>
              <w:jc w:val="center"/>
              <w:rPr>
                <w:rFonts w:ascii="Verdana" w:hAnsi="Verdana" w:cs="Arial"/>
                <w:snapToGrid w:val="0"/>
                <w:sz w:val="22"/>
                <w:szCs w:val="22"/>
              </w:rPr>
            </w:pPr>
            <w:r w:rsidRPr="00205C60">
              <w:rPr>
                <w:rFonts w:ascii="Verdana" w:hAnsi="Verdana" w:cs="Arial"/>
                <w:snapToGrid w:val="0"/>
                <w:sz w:val="22"/>
                <w:szCs w:val="22"/>
              </w:rPr>
              <w:t>2</w:t>
            </w:r>
            <w:r w:rsidR="00DD20B7" w:rsidRPr="00205C60">
              <w:rPr>
                <w:rFonts w:ascii="Verdana" w:hAnsi="Verdana" w:cs="Arial"/>
                <w:snapToGrid w:val="0"/>
                <w:sz w:val="22"/>
                <w:szCs w:val="22"/>
              </w:rPr>
              <w:t>8</w:t>
            </w:r>
          </w:p>
        </w:tc>
      </w:tr>
    </w:tbl>
    <w:p w14:paraId="3CA7EA2E" w14:textId="77777777" w:rsidR="004C74F5" w:rsidRPr="00205C60" w:rsidRDefault="004C74F5" w:rsidP="00CD2E3D">
      <w:pPr>
        <w:pStyle w:val="Sangradetextonormal"/>
        <w:ind w:left="0"/>
        <w:jc w:val="both"/>
        <w:rPr>
          <w:rFonts w:ascii="Verdana" w:hAnsi="Verdana" w:cs="Arial"/>
          <w:b w:val="0"/>
          <w:color w:val="auto"/>
          <w:sz w:val="22"/>
          <w:szCs w:val="22"/>
        </w:rPr>
      </w:pPr>
    </w:p>
    <w:p w14:paraId="3CA7EA2F" w14:textId="1A856FB1" w:rsidR="00986E2D" w:rsidRPr="00205C60" w:rsidRDefault="006F0C93" w:rsidP="00CD2E3D">
      <w:pPr>
        <w:pStyle w:val="Sangradetextonormal"/>
        <w:ind w:left="0"/>
        <w:jc w:val="both"/>
        <w:rPr>
          <w:rFonts w:ascii="Verdana" w:hAnsi="Verdana" w:cs="Arial"/>
          <w:b w:val="0"/>
          <w:color w:val="auto"/>
          <w:sz w:val="22"/>
          <w:szCs w:val="22"/>
        </w:rPr>
      </w:pPr>
      <w:r w:rsidRPr="00205C60">
        <w:rPr>
          <w:rFonts w:ascii="Verdana" w:hAnsi="Verdana" w:cs="Arial"/>
          <w:b w:val="0"/>
          <w:color w:val="auto"/>
          <w:sz w:val="22"/>
          <w:szCs w:val="22"/>
        </w:rPr>
        <w:t xml:space="preserve">En el año </w:t>
      </w:r>
      <w:r w:rsidR="001743A2" w:rsidRPr="00205C60">
        <w:rPr>
          <w:rFonts w:ascii="Verdana" w:hAnsi="Verdana" w:cs="Arial"/>
          <w:b w:val="0"/>
          <w:color w:val="auto"/>
          <w:sz w:val="22"/>
          <w:szCs w:val="22"/>
        </w:rPr>
        <w:t>202</w:t>
      </w:r>
      <w:r w:rsidR="00E742B7" w:rsidRPr="00205C60">
        <w:rPr>
          <w:rFonts w:ascii="Verdana" w:hAnsi="Verdana" w:cs="Arial"/>
          <w:b w:val="0"/>
          <w:color w:val="auto"/>
          <w:sz w:val="22"/>
          <w:szCs w:val="22"/>
        </w:rPr>
        <w:t>2</w:t>
      </w:r>
      <w:r w:rsidR="002D2E5A" w:rsidRPr="00205C60">
        <w:rPr>
          <w:rFonts w:ascii="Verdana" w:hAnsi="Verdana" w:cs="Arial"/>
          <w:b w:val="0"/>
          <w:color w:val="auto"/>
          <w:sz w:val="22"/>
          <w:szCs w:val="22"/>
        </w:rPr>
        <w:t xml:space="preserve">, </w:t>
      </w:r>
      <w:r w:rsidR="00B44125" w:rsidRPr="00205C60">
        <w:rPr>
          <w:rFonts w:ascii="Verdana" w:hAnsi="Verdana" w:cs="Arial"/>
          <w:b w:val="0"/>
          <w:color w:val="auto"/>
          <w:sz w:val="22"/>
          <w:szCs w:val="22"/>
        </w:rPr>
        <w:t xml:space="preserve">se </w:t>
      </w:r>
      <w:r w:rsidR="00255FCC" w:rsidRPr="00205C60">
        <w:rPr>
          <w:rFonts w:ascii="Verdana" w:hAnsi="Verdana" w:cs="Arial"/>
          <w:b w:val="0"/>
          <w:color w:val="auto"/>
          <w:sz w:val="22"/>
          <w:szCs w:val="22"/>
        </w:rPr>
        <w:t>registra una mejora en</w:t>
      </w:r>
      <w:r w:rsidR="00385BA0" w:rsidRPr="00205C60">
        <w:rPr>
          <w:rFonts w:ascii="Verdana" w:hAnsi="Verdana" w:cs="Arial"/>
          <w:b w:val="0"/>
          <w:color w:val="auto"/>
          <w:sz w:val="22"/>
          <w:szCs w:val="22"/>
        </w:rPr>
        <w:t xml:space="preserve"> </w:t>
      </w:r>
      <w:r w:rsidRPr="00205C60">
        <w:rPr>
          <w:rFonts w:ascii="Verdana" w:hAnsi="Verdana" w:cs="Arial"/>
          <w:b w:val="0"/>
          <w:color w:val="auto"/>
          <w:sz w:val="22"/>
          <w:szCs w:val="22"/>
        </w:rPr>
        <w:t xml:space="preserve">el </w:t>
      </w:r>
      <w:r w:rsidR="00385BA0" w:rsidRPr="00205C60">
        <w:rPr>
          <w:rFonts w:ascii="Verdana" w:hAnsi="Verdana" w:cs="Arial"/>
          <w:b w:val="0"/>
          <w:color w:val="auto"/>
          <w:sz w:val="22"/>
          <w:szCs w:val="22"/>
        </w:rPr>
        <w:t xml:space="preserve">dato del </w:t>
      </w:r>
      <w:r w:rsidR="00D5340F" w:rsidRPr="00205C60">
        <w:rPr>
          <w:rFonts w:ascii="Verdana" w:hAnsi="Verdana" w:cs="Arial"/>
          <w:b w:val="0"/>
          <w:color w:val="auto"/>
          <w:sz w:val="22"/>
          <w:szCs w:val="22"/>
        </w:rPr>
        <w:t>número</w:t>
      </w:r>
      <w:r w:rsidR="002D2E5A" w:rsidRPr="00205C60">
        <w:rPr>
          <w:rFonts w:ascii="Verdana" w:hAnsi="Verdana" w:cs="Arial"/>
          <w:b w:val="0"/>
          <w:color w:val="auto"/>
          <w:sz w:val="22"/>
          <w:szCs w:val="22"/>
        </w:rPr>
        <w:t xml:space="preserve"> </w:t>
      </w:r>
      <w:r w:rsidR="009335B3" w:rsidRPr="00205C60">
        <w:rPr>
          <w:rFonts w:ascii="Verdana" w:hAnsi="Verdana" w:cs="Arial"/>
          <w:b w:val="0"/>
          <w:color w:val="auto"/>
          <w:sz w:val="22"/>
          <w:szCs w:val="22"/>
        </w:rPr>
        <w:t xml:space="preserve">promedio </w:t>
      </w:r>
      <w:r w:rsidR="002D2E5A" w:rsidRPr="00205C60">
        <w:rPr>
          <w:rFonts w:ascii="Verdana" w:hAnsi="Verdana" w:cs="Arial"/>
          <w:b w:val="0"/>
          <w:color w:val="auto"/>
          <w:sz w:val="22"/>
          <w:szCs w:val="22"/>
        </w:rPr>
        <w:t>de días que tard</w:t>
      </w:r>
      <w:r w:rsidR="00C63E70" w:rsidRPr="00205C60">
        <w:rPr>
          <w:rFonts w:ascii="Verdana" w:hAnsi="Verdana" w:cs="Arial"/>
          <w:b w:val="0"/>
          <w:color w:val="auto"/>
          <w:sz w:val="22"/>
          <w:szCs w:val="22"/>
        </w:rPr>
        <w:t>a</w:t>
      </w:r>
      <w:r w:rsidR="002D2E5A" w:rsidRPr="00205C60">
        <w:rPr>
          <w:rFonts w:ascii="Verdana" w:hAnsi="Verdana" w:cs="Arial"/>
          <w:b w:val="0"/>
          <w:color w:val="auto"/>
          <w:sz w:val="22"/>
          <w:szCs w:val="22"/>
        </w:rPr>
        <w:t xml:space="preserve"> la Compañía en recuperar los montos </w:t>
      </w:r>
      <w:r w:rsidR="00A1732A" w:rsidRPr="00205C60">
        <w:rPr>
          <w:rFonts w:ascii="Verdana" w:hAnsi="Verdana" w:cs="Arial"/>
          <w:b w:val="0"/>
          <w:color w:val="auto"/>
          <w:sz w:val="22"/>
          <w:szCs w:val="22"/>
        </w:rPr>
        <w:t>facturados a</w:t>
      </w:r>
      <w:r w:rsidR="009C6DA0" w:rsidRPr="00205C60">
        <w:rPr>
          <w:rFonts w:ascii="Verdana" w:hAnsi="Verdana" w:cs="Arial"/>
          <w:b w:val="0"/>
          <w:color w:val="auto"/>
          <w:sz w:val="22"/>
          <w:szCs w:val="22"/>
        </w:rPr>
        <w:t xml:space="preserve"> clientes directos</w:t>
      </w:r>
      <w:r w:rsidR="00CC716E" w:rsidRPr="00205C60">
        <w:rPr>
          <w:rFonts w:ascii="Verdana" w:hAnsi="Verdana" w:cs="Arial"/>
          <w:b w:val="0"/>
          <w:color w:val="auto"/>
          <w:sz w:val="22"/>
          <w:szCs w:val="22"/>
        </w:rPr>
        <w:t>, ICE</w:t>
      </w:r>
      <w:r w:rsidR="009C6DA0" w:rsidRPr="00205C60">
        <w:rPr>
          <w:rFonts w:ascii="Verdana" w:hAnsi="Verdana" w:cs="Arial"/>
          <w:b w:val="0"/>
          <w:color w:val="auto"/>
          <w:sz w:val="22"/>
          <w:szCs w:val="22"/>
        </w:rPr>
        <w:t xml:space="preserve"> y Gobierno</w:t>
      </w:r>
      <w:r w:rsidR="00EC6347" w:rsidRPr="00205C60">
        <w:rPr>
          <w:rFonts w:ascii="Verdana" w:hAnsi="Verdana" w:cs="Arial"/>
          <w:b w:val="0"/>
          <w:color w:val="auto"/>
          <w:sz w:val="22"/>
          <w:szCs w:val="22"/>
        </w:rPr>
        <w:t xml:space="preserve"> pasando de </w:t>
      </w:r>
      <w:r w:rsidR="00667126" w:rsidRPr="00205C60">
        <w:rPr>
          <w:rFonts w:ascii="Verdana" w:hAnsi="Verdana" w:cs="Arial"/>
          <w:b w:val="0"/>
          <w:color w:val="auto"/>
          <w:sz w:val="22"/>
          <w:szCs w:val="22"/>
        </w:rPr>
        <w:t>29</w:t>
      </w:r>
      <w:r w:rsidR="00EC6347" w:rsidRPr="00205C60">
        <w:rPr>
          <w:rFonts w:ascii="Verdana" w:hAnsi="Verdana" w:cs="Arial"/>
          <w:b w:val="0"/>
          <w:color w:val="auto"/>
          <w:sz w:val="22"/>
          <w:szCs w:val="22"/>
        </w:rPr>
        <w:t xml:space="preserve"> a </w:t>
      </w:r>
      <w:r w:rsidR="00667126" w:rsidRPr="00205C60">
        <w:rPr>
          <w:rFonts w:ascii="Verdana" w:hAnsi="Verdana" w:cs="Arial"/>
          <w:b w:val="0"/>
          <w:color w:val="auto"/>
          <w:sz w:val="22"/>
          <w:szCs w:val="22"/>
        </w:rPr>
        <w:t>28</w:t>
      </w:r>
      <w:r w:rsidR="00EC6347" w:rsidRPr="00205C60">
        <w:rPr>
          <w:rFonts w:ascii="Verdana" w:hAnsi="Verdana" w:cs="Arial"/>
          <w:b w:val="0"/>
          <w:color w:val="auto"/>
          <w:sz w:val="22"/>
          <w:szCs w:val="22"/>
        </w:rPr>
        <w:t xml:space="preserve"> días del </w:t>
      </w:r>
      <w:r w:rsidR="00706D2E" w:rsidRPr="00205C60">
        <w:rPr>
          <w:rFonts w:ascii="Verdana" w:hAnsi="Verdana" w:cs="Arial"/>
          <w:b w:val="0"/>
          <w:color w:val="auto"/>
          <w:sz w:val="22"/>
          <w:szCs w:val="22"/>
        </w:rPr>
        <w:t>periodo</w:t>
      </w:r>
      <w:r w:rsidR="00EC6347" w:rsidRPr="00205C60">
        <w:rPr>
          <w:rFonts w:ascii="Verdana" w:hAnsi="Verdana" w:cs="Arial"/>
          <w:b w:val="0"/>
          <w:color w:val="auto"/>
          <w:sz w:val="22"/>
          <w:szCs w:val="22"/>
        </w:rPr>
        <w:t xml:space="preserve"> 202</w:t>
      </w:r>
      <w:r w:rsidR="00A635C5" w:rsidRPr="00205C60">
        <w:rPr>
          <w:rFonts w:ascii="Verdana" w:hAnsi="Verdana" w:cs="Arial"/>
          <w:b w:val="0"/>
          <w:color w:val="auto"/>
          <w:sz w:val="22"/>
          <w:szCs w:val="22"/>
        </w:rPr>
        <w:t>1</w:t>
      </w:r>
      <w:r w:rsidR="00EC6347" w:rsidRPr="00205C60">
        <w:rPr>
          <w:rFonts w:ascii="Verdana" w:hAnsi="Verdana" w:cs="Arial"/>
          <w:b w:val="0"/>
          <w:color w:val="auto"/>
          <w:sz w:val="22"/>
          <w:szCs w:val="22"/>
        </w:rPr>
        <w:t xml:space="preserve"> </w:t>
      </w:r>
      <w:r w:rsidR="00A1732A" w:rsidRPr="00205C60">
        <w:rPr>
          <w:rFonts w:ascii="Verdana" w:hAnsi="Verdana" w:cs="Arial"/>
          <w:b w:val="0"/>
          <w:color w:val="auto"/>
          <w:sz w:val="22"/>
          <w:szCs w:val="22"/>
        </w:rPr>
        <w:t>al periodo</w:t>
      </w:r>
      <w:r w:rsidR="00706D2E" w:rsidRPr="00205C60">
        <w:rPr>
          <w:rFonts w:ascii="Verdana" w:hAnsi="Verdana" w:cs="Arial"/>
          <w:b w:val="0"/>
          <w:color w:val="auto"/>
          <w:sz w:val="22"/>
          <w:szCs w:val="22"/>
        </w:rPr>
        <w:t xml:space="preserve"> </w:t>
      </w:r>
      <w:r w:rsidR="00EC6347" w:rsidRPr="00205C60">
        <w:rPr>
          <w:rFonts w:ascii="Verdana" w:hAnsi="Verdana" w:cs="Arial"/>
          <w:b w:val="0"/>
          <w:color w:val="auto"/>
          <w:sz w:val="22"/>
          <w:szCs w:val="22"/>
        </w:rPr>
        <w:t>202</w:t>
      </w:r>
      <w:r w:rsidR="00A635C5" w:rsidRPr="00205C60">
        <w:rPr>
          <w:rFonts w:ascii="Verdana" w:hAnsi="Verdana" w:cs="Arial"/>
          <w:b w:val="0"/>
          <w:color w:val="auto"/>
          <w:sz w:val="22"/>
          <w:szCs w:val="22"/>
        </w:rPr>
        <w:t>2</w:t>
      </w:r>
      <w:r w:rsidR="001E44FE" w:rsidRPr="00205C60">
        <w:rPr>
          <w:rFonts w:ascii="Verdana" w:hAnsi="Verdana" w:cs="Arial"/>
          <w:b w:val="0"/>
          <w:color w:val="auto"/>
          <w:sz w:val="22"/>
          <w:szCs w:val="22"/>
        </w:rPr>
        <w:t xml:space="preserve">, lo que evidencia una </w:t>
      </w:r>
      <w:r w:rsidR="006B3A86" w:rsidRPr="00205C60">
        <w:rPr>
          <w:rFonts w:ascii="Verdana" w:hAnsi="Verdana" w:cs="Arial"/>
          <w:b w:val="0"/>
          <w:color w:val="auto"/>
          <w:sz w:val="22"/>
          <w:szCs w:val="22"/>
        </w:rPr>
        <w:t>correcta</w:t>
      </w:r>
      <w:r w:rsidR="001E44FE" w:rsidRPr="00205C60">
        <w:rPr>
          <w:rFonts w:ascii="Verdana" w:hAnsi="Verdana" w:cs="Arial"/>
          <w:b w:val="0"/>
          <w:color w:val="auto"/>
          <w:sz w:val="22"/>
          <w:szCs w:val="22"/>
        </w:rPr>
        <w:t xml:space="preserve"> gestión de cobro de la CNFL, S.A.</w:t>
      </w:r>
      <w:r w:rsidR="004242F8" w:rsidRPr="00205C60">
        <w:rPr>
          <w:rFonts w:ascii="Verdana" w:hAnsi="Verdana" w:cs="Arial"/>
          <w:b w:val="0"/>
          <w:color w:val="auto"/>
          <w:sz w:val="22"/>
          <w:szCs w:val="22"/>
        </w:rPr>
        <w:t xml:space="preserve">  </w:t>
      </w:r>
      <w:r w:rsidR="003424FE" w:rsidRPr="00205C60">
        <w:rPr>
          <w:rFonts w:ascii="Verdana" w:hAnsi="Verdana" w:cs="Arial"/>
          <w:b w:val="0"/>
          <w:color w:val="auto"/>
          <w:sz w:val="22"/>
          <w:szCs w:val="22"/>
        </w:rPr>
        <w:t xml:space="preserve">(CxC </w:t>
      </w:r>
      <w:r w:rsidR="00743CEF" w:rsidRPr="00205C60">
        <w:rPr>
          <w:rFonts w:ascii="Verdana" w:hAnsi="Verdana" w:cs="Arial"/>
          <w:b w:val="0"/>
          <w:color w:val="auto"/>
          <w:sz w:val="22"/>
          <w:szCs w:val="22"/>
        </w:rPr>
        <w:t xml:space="preserve">se muestra en la </w:t>
      </w:r>
      <w:r w:rsidR="003424FE" w:rsidRPr="00205C60">
        <w:rPr>
          <w:rFonts w:ascii="Verdana" w:hAnsi="Verdana" w:cs="Arial"/>
          <w:b w:val="0"/>
          <w:color w:val="auto"/>
          <w:sz w:val="22"/>
          <w:szCs w:val="22"/>
        </w:rPr>
        <w:t xml:space="preserve">página </w:t>
      </w:r>
      <w:r w:rsidR="00586BB8" w:rsidRPr="00205C60">
        <w:rPr>
          <w:rFonts w:ascii="Verdana" w:hAnsi="Verdana" w:cs="Arial"/>
          <w:b w:val="0"/>
          <w:color w:val="auto"/>
          <w:sz w:val="22"/>
          <w:szCs w:val="22"/>
        </w:rPr>
        <w:t>40</w:t>
      </w:r>
      <w:r w:rsidR="003424FE" w:rsidRPr="00205C60">
        <w:rPr>
          <w:rFonts w:ascii="Verdana" w:hAnsi="Verdana" w:cs="Arial"/>
          <w:b w:val="0"/>
          <w:color w:val="auto"/>
          <w:sz w:val="22"/>
          <w:szCs w:val="22"/>
        </w:rPr>
        <w:t xml:space="preserve"> Estados </w:t>
      </w:r>
      <w:r w:rsidR="00743CEF" w:rsidRPr="00205C60">
        <w:rPr>
          <w:rFonts w:ascii="Verdana" w:hAnsi="Verdana" w:cs="Arial"/>
          <w:b w:val="0"/>
          <w:color w:val="auto"/>
          <w:sz w:val="22"/>
          <w:szCs w:val="22"/>
        </w:rPr>
        <w:t xml:space="preserve">Financieros </w:t>
      </w:r>
      <w:r w:rsidR="003424FE" w:rsidRPr="00205C60">
        <w:rPr>
          <w:rFonts w:ascii="Verdana" w:hAnsi="Verdana" w:cs="Arial"/>
          <w:b w:val="0"/>
          <w:color w:val="auto"/>
          <w:sz w:val="22"/>
          <w:szCs w:val="22"/>
        </w:rPr>
        <w:t>Auditados)</w:t>
      </w:r>
    </w:p>
    <w:p w14:paraId="3CA7EA30" w14:textId="77777777" w:rsidR="004C74F5" w:rsidRPr="00205C60" w:rsidRDefault="004C74F5" w:rsidP="00CD2E3D">
      <w:pPr>
        <w:pStyle w:val="Sangradetextonormal"/>
        <w:ind w:left="0"/>
        <w:jc w:val="both"/>
        <w:rPr>
          <w:rFonts w:ascii="Verdana" w:hAnsi="Verdana" w:cs="Arial"/>
          <w:b w:val="0"/>
          <w:color w:val="auto"/>
          <w:sz w:val="22"/>
          <w:szCs w:val="22"/>
        </w:rPr>
      </w:pPr>
    </w:p>
    <w:p w14:paraId="3CA7EA31" w14:textId="32F94542" w:rsidR="004C74F5" w:rsidRPr="00205C60" w:rsidRDefault="004C74F5" w:rsidP="00CD2E3D">
      <w:pPr>
        <w:pStyle w:val="Sangradetextonormal"/>
        <w:ind w:left="0"/>
        <w:jc w:val="both"/>
        <w:rPr>
          <w:rFonts w:ascii="Verdana" w:hAnsi="Verdana" w:cs="Arial"/>
          <w:b w:val="0"/>
          <w:color w:val="auto"/>
          <w:sz w:val="22"/>
          <w:szCs w:val="22"/>
        </w:rPr>
      </w:pPr>
    </w:p>
    <w:p w14:paraId="3CA7EA32" w14:textId="77777777" w:rsidR="00A551BD" w:rsidRPr="00205C60" w:rsidRDefault="00B44125" w:rsidP="00882F32">
      <w:pPr>
        <w:pStyle w:val="Prrafodelista"/>
        <w:numPr>
          <w:ilvl w:val="0"/>
          <w:numId w:val="27"/>
        </w:numPr>
        <w:rPr>
          <w:rFonts w:ascii="Verdana" w:hAnsi="Verdana" w:cs="Arial"/>
          <w:b/>
          <w:sz w:val="22"/>
          <w:szCs w:val="22"/>
        </w:rPr>
      </w:pPr>
      <w:r w:rsidRPr="00205C60">
        <w:rPr>
          <w:rFonts w:ascii="Verdana" w:hAnsi="Verdana" w:cs="Arial"/>
          <w:b/>
          <w:sz w:val="22"/>
          <w:szCs w:val="22"/>
        </w:rPr>
        <w:t>Período medio de pago</w:t>
      </w:r>
    </w:p>
    <w:p w14:paraId="3CA7EA33" w14:textId="77777777" w:rsidR="0052728D" w:rsidRPr="00205C60" w:rsidRDefault="0052728D" w:rsidP="0052728D">
      <w:pPr>
        <w:rPr>
          <w:rFonts w:ascii="Verdana" w:hAnsi="Verdana" w:cs="Arial"/>
          <w:b/>
          <w:sz w:val="22"/>
          <w:szCs w:val="22"/>
        </w:rPr>
      </w:pPr>
    </w:p>
    <w:p w14:paraId="3CA7EA34" w14:textId="3E45771D" w:rsidR="00E20EB6" w:rsidRPr="00205C60" w:rsidRDefault="0052728D" w:rsidP="0052728D">
      <w:pPr>
        <w:jc w:val="both"/>
        <w:rPr>
          <w:rFonts w:ascii="Verdana" w:hAnsi="Verdana" w:cs="Arial"/>
          <w:sz w:val="22"/>
          <w:szCs w:val="22"/>
        </w:rPr>
      </w:pPr>
      <w:r w:rsidRPr="00205C60">
        <w:rPr>
          <w:rFonts w:ascii="Verdana" w:hAnsi="Verdana" w:cs="Arial"/>
          <w:sz w:val="22"/>
          <w:szCs w:val="22"/>
        </w:rPr>
        <w:t xml:space="preserve">A través de este índice se determina el promedio de días con que cuenta la Compañía para honrar los pagos al ICE por la compra de energía, así como por servicios </w:t>
      </w:r>
      <w:r w:rsidR="00160C84" w:rsidRPr="00205C60">
        <w:rPr>
          <w:rFonts w:ascii="Verdana" w:hAnsi="Verdana" w:cs="Arial"/>
          <w:sz w:val="22"/>
          <w:szCs w:val="22"/>
        </w:rPr>
        <w:t>telefónicos, licencias, relocalización de líneas telefónicas, por ejecución de estudios de ingeniería y otros servicios.</w:t>
      </w:r>
      <w:r w:rsidR="006E0FF6" w:rsidRPr="00205C60">
        <w:rPr>
          <w:rFonts w:ascii="Verdana" w:hAnsi="Verdana" w:cs="Arial"/>
          <w:sz w:val="22"/>
          <w:szCs w:val="22"/>
        </w:rPr>
        <w:t xml:space="preserve"> (ver página</w:t>
      </w:r>
      <w:r w:rsidR="00BF5F24" w:rsidRPr="00205C60">
        <w:rPr>
          <w:rFonts w:ascii="Verdana" w:hAnsi="Verdana" w:cs="Arial"/>
          <w:sz w:val="22"/>
          <w:szCs w:val="22"/>
        </w:rPr>
        <w:t xml:space="preserve"> </w:t>
      </w:r>
      <w:r w:rsidR="00CF109F" w:rsidRPr="00205C60">
        <w:rPr>
          <w:rFonts w:ascii="Verdana" w:hAnsi="Verdana" w:cs="Arial"/>
          <w:sz w:val="22"/>
          <w:szCs w:val="22"/>
        </w:rPr>
        <w:t>53</w:t>
      </w:r>
      <w:r w:rsidR="00BB5900" w:rsidRPr="00205C60">
        <w:rPr>
          <w:rFonts w:ascii="Verdana" w:hAnsi="Verdana" w:cs="Arial"/>
          <w:sz w:val="22"/>
          <w:szCs w:val="22"/>
        </w:rPr>
        <w:t xml:space="preserve"> del documento Estados Financieros Auditados)</w:t>
      </w:r>
    </w:p>
    <w:p w14:paraId="7C46FFF1" w14:textId="119FBCA0" w:rsidR="00C2329C" w:rsidRPr="00205C60" w:rsidRDefault="00C2329C" w:rsidP="0052728D">
      <w:pPr>
        <w:jc w:val="both"/>
        <w:rPr>
          <w:rFonts w:ascii="Verdana" w:hAnsi="Verdana" w:cs="Arial"/>
          <w:sz w:val="22"/>
          <w:szCs w:val="22"/>
        </w:rPr>
      </w:pPr>
    </w:p>
    <w:p w14:paraId="3CA7EA36" w14:textId="4E8E4A17" w:rsidR="009867A1" w:rsidRPr="00205C60" w:rsidRDefault="009867A1">
      <w:pPr>
        <w:pStyle w:val="Sangradetextonormal"/>
        <w:ind w:left="0"/>
        <w:jc w:val="both"/>
        <w:rPr>
          <w:rFonts w:ascii="Verdana" w:hAnsi="Verdana" w:cs="Arial"/>
          <w:b w:val="0"/>
          <w:color w:val="C00000"/>
          <w:sz w:val="22"/>
          <w:szCs w:val="22"/>
        </w:rPr>
      </w:pPr>
      <w:r w:rsidRPr="00205C60">
        <w:rPr>
          <w:rFonts w:ascii="Verdana" w:hAnsi="Verdana" w:cs="Arial"/>
          <w:b w:val="0"/>
          <w:color w:val="C00000"/>
          <w:sz w:val="22"/>
          <w:szCs w:val="22"/>
        </w:rPr>
        <w:t xml:space="preserve">                                                                                                                  </w:t>
      </w:r>
    </w:p>
    <w:tbl>
      <w:tblPr>
        <w:tblW w:w="4465" w:type="pct"/>
        <w:jc w:val="center"/>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1249"/>
        <w:gridCol w:w="1894"/>
        <w:gridCol w:w="326"/>
        <w:gridCol w:w="518"/>
        <w:gridCol w:w="894"/>
        <w:gridCol w:w="345"/>
        <w:gridCol w:w="59"/>
        <w:gridCol w:w="241"/>
        <w:gridCol w:w="2617"/>
      </w:tblGrid>
      <w:tr w:rsidR="00B44125" w:rsidRPr="00205C60" w14:paraId="3CA7EA38" w14:textId="77777777" w:rsidTr="008E0455">
        <w:trPr>
          <w:cantSplit/>
          <w:trHeight w:val="408"/>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14:paraId="3CA7EA37" w14:textId="77777777" w:rsidR="00B44125" w:rsidRPr="00205C60" w:rsidRDefault="00B44125" w:rsidP="006E18E7">
            <w:pPr>
              <w:jc w:val="center"/>
              <w:rPr>
                <w:rFonts w:ascii="Verdana" w:hAnsi="Verdana" w:cs="Arial"/>
                <w:b/>
                <w:snapToGrid w:val="0"/>
                <w:sz w:val="22"/>
                <w:szCs w:val="22"/>
              </w:rPr>
            </w:pPr>
            <w:r w:rsidRPr="00205C60">
              <w:rPr>
                <w:rFonts w:ascii="Verdana" w:hAnsi="Verdana" w:cs="Arial"/>
                <w:b/>
                <w:snapToGrid w:val="0"/>
                <w:sz w:val="22"/>
                <w:szCs w:val="22"/>
              </w:rPr>
              <w:t>C</w:t>
            </w:r>
            <w:r w:rsidR="008E346C" w:rsidRPr="00205C60">
              <w:rPr>
                <w:rFonts w:ascii="Verdana" w:hAnsi="Verdana" w:cs="Arial"/>
                <w:b/>
                <w:snapToGrid w:val="0"/>
                <w:sz w:val="22"/>
                <w:szCs w:val="22"/>
              </w:rPr>
              <w:t>á</w:t>
            </w:r>
            <w:r w:rsidRPr="00205C60">
              <w:rPr>
                <w:rFonts w:ascii="Verdana" w:hAnsi="Verdana" w:cs="Arial"/>
                <w:b/>
                <w:snapToGrid w:val="0"/>
                <w:sz w:val="22"/>
                <w:szCs w:val="22"/>
              </w:rPr>
              <w:t xml:space="preserve">lculo de Compras Diarias </w:t>
            </w:r>
            <w:r w:rsidR="00252602" w:rsidRPr="00205C60">
              <w:rPr>
                <w:rFonts w:ascii="Verdana" w:hAnsi="Verdana" w:cs="Arial"/>
                <w:b/>
                <w:snapToGrid w:val="0"/>
                <w:sz w:val="22"/>
                <w:szCs w:val="22"/>
              </w:rPr>
              <w:t>de Energía</w:t>
            </w:r>
            <w:r w:rsidRPr="00205C60">
              <w:rPr>
                <w:rFonts w:ascii="Verdana" w:hAnsi="Verdana" w:cs="Arial"/>
                <w:b/>
                <w:snapToGrid w:val="0"/>
                <w:sz w:val="22"/>
                <w:szCs w:val="22"/>
              </w:rPr>
              <w:t xml:space="preserve"> (datos en miles de colones)</w:t>
            </w:r>
          </w:p>
        </w:tc>
      </w:tr>
      <w:tr w:rsidR="00B44125" w:rsidRPr="00205C60" w14:paraId="3CA7EA3F" w14:textId="77777777" w:rsidTr="00EF79C9">
        <w:trPr>
          <w:trHeight w:val="341"/>
          <w:jc w:val="center"/>
        </w:trPr>
        <w:tc>
          <w:tcPr>
            <w:tcW w:w="767" w:type="pct"/>
            <w:tcBorders>
              <w:top w:val="single" w:sz="4" w:space="0" w:color="auto"/>
              <w:left w:val="single" w:sz="4" w:space="0" w:color="auto"/>
              <w:bottom w:val="single" w:sz="4" w:space="0" w:color="auto"/>
              <w:right w:val="single" w:sz="4" w:space="0" w:color="auto"/>
            </w:tcBorders>
            <w:vAlign w:val="center"/>
          </w:tcPr>
          <w:p w14:paraId="3CA7EA39" w14:textId="77777777" w:rsidR="00B44125" w:rsidRPr="00205C60" w:rsidRDefault="00B44125" w:rsidP="006E18E7">
            <w:pPr>
              <w:jc w:val="center"/>
              <w:rPr>
                <w:rFonts w:ascii="Verdana" w:hAnsi="Verdana" w:cs="Arial"/>
                <w:b/>
                <w:bCs/>
                <w:snapToGrid w:val="0"/>
                <w:sz w:val="22"/>
                <w:szCs w:val="22"/>
              </w:rPr>
            </w:pPr>
            <w:r w:rsidRPr="00205C60">
              <w:rPr>
                <w:rFonts w:ascii="Verdana" w:hAnsi="Verdana" w:cs="Arial"/>
                <w:b/>
                <w:bCs/>
                <w:snapToGrid w:val="0"/>
                <w:sz w:val="22"/>
                <w:szCs w:val="22"/>
              </w:rPr>
              <w:t>Año</w:t>
            </w:r>
          </w:p>
        </w:tc>
        <w:tc>
          <w:tcPr>
            <w:tcW w:w="1363" w:type="pct"/>
            <w:gridSpan w:val="2"/>
            <w:tcBorders>
              <w:top w:val="nil"/>
              <w:left w:val="single" w:sz="4" w:space="0" w:color="auto"/>
              <w:bottom w:val="single" w:sz="4" w:space="0" w:color="auto"/>
              <w:right w:val="nil"/>
            </w:tcBorders>
            <w:shd w:val="solid" w:color="FFFFFF" w:fill="auto"/>
            <w:vAlign w:val="center"/>
          </w:tcPr>
          <w:p w14:paraId="3CA7EA3A" w14:textId="77777777" w:rsidR="00B44125" w:rsidRPr="00205C60" w:rsidRDefault="00B44125" w:rsidP="006E18E7">
            <w:pPr>
              <w:jc w:val="center"/>
              <w:rPr>
                <w:rFonts w:ascii="Verdana" w:hAnsi="Verdana" w:cs="Arial"/>
                <w:b/>
                <w:bCs/>
                <w:snapToGrid w:val="0"/>
                <w:sz w:val="22"/>
                <w:szCs w:val="22"/>
              </w:rPr>
            </w:pPr>
            <w:r w:rsidRPr="00205C60">
              <w:rPr>
                <w:rFonts w:ascii="Verdana" w:hAnsi="Verdana" w:cs="Arial"/>
                <w:b/>
                <w:bCs/>
                <w:snapToGrid w:val="0"/>
                <w:sz w:val="22"/>
                <w:szCs w:val="22"/>
              </w:rPr>
              <w:t>Compras</w:t>
            </w:r>
          </w:p>
        </w:tc>
        <w:tc>
          <w:tcPr>
            <w:tcW w:w="318" w:type="pct"/>
            <w:tcBorders>
              <w:top w:val="nil"/>
              <w:left w:val="nil"/>
              <w:bottom w:val="single" w:sz="4" w:space="0" w:color="auto"/>
              <w:right w:val="nil"/>
            </w:tcBorders>
            <w:shd w:val="solid" w:color="FFFFFF" w:fill="auto"/>
            <w:vAlign w:val="center"/>
          </w:tcPr>
          <w:p w14:paraId="3CA7EA3B" w14:textId="77777777" w:rsidR="00B44125" w:rsidRPr="00205C60" w:rsidRDefault="00B44125" w:rsidP="006E18E7">
            <w:pPr>
              <w:jc w:val="center"/>
              <w:rPr>
                <w:rFonts w:ascii="Verdana" w:hAnsi="Verdana" w:cs="Arial"/>
                <w:b/>
                <w:bCs/>
                <w:snapToGrid w:val="0"/>
                <w:sz w:val="22"/>
                <w:szCs w:val="22"/>
              </w:rPr>
            </w:pPr>
            <w:r w:rsidRPr="00205C60">
              <w:rPr>
                <w:rFonts w:ascii="Verdana" w:hAnsi="Verdana" w:cs="Arial"/>
                <w:b/>
                <w:bCs/>
                <w:snapToGrid w:val="0"/>
                <w:sz w:val="22"/>
                <w:szCs w:val="22"/>
              </w:rPr>
              <w:t>÷</w:t>
            </w:r>
          </w:p>
        </w:tc>
        <w:tc>
          <w:tcPr>
            <w:tcW w:w="549" w:type="pct"/>
            <w:tcBorders>
              <w:top w:val="nil"/>
              <w:left w:val="nil"/>
              <w:bottom w:val="single" w:sz="4" w:space="0" w:color="auto"/>
              <w:right w:val="nil"/>
            </w:tcBorders>
            <w:vAlign w:val="center"/>
          </w:tcPr>
          <w:p w14:paraId="3CA7EA3C" w14:textId="77777777" w:rsidR="00B44125" w:rsidRPr="00205C60" w:rsidRDefault="00B44125" w:rsidP="006E18E7">
            <w:pPr>
              <w:jc w:val="center"/>
              <w:rPr>
                <w:rFonts w:ascii="Verdana" w:hAnsi="Verdana" w:cs="Arial"/>
                <w:b/>
                <w:bCs/>
                <w:snapToGrid w:val="0"/>
                <w:sz w:val="22"/>
                <w:szCs w:val="22"/>
              </w:rPr>
            </w:pPr>
            <w:r w:rsidRPr="00205C60">
              <w:rPr>
                <w:rFonts w:ascii="Verdana" w:hAnsi="Verdana" w:cs="Arial"/>
                <w:b/>
                <w:bCs/>
                <w:snapToGrid w:val="0"/>
                <w:sz w:val="22"/>
                <w:szCs w:val="22"/>
              </w:rPr>
              <w:t>Días</w:t>
            </w:r>
          </w:p>
        </w:tc>
        <w:tc>
          <w:tcPr>
            <w:tcW w:w="212" w:type="pct"/>
            <w:tcBorders>
              <w:top w:val="nil"/>
              <w:left w:val="nil"/>
              <w:bottom w:val="single" w:sz="4" w:space="0" w:color="auto"/>
              <w:right w:val="nil"/>
            </w:tcBorders>
            <w:shd w:val="solid" w:color="FFFFFF" w:fill="auto"/>
            <w:vAlign w:val="center"/>
          </w:tcPr>
          <w:p w14:paraId="3CA7EA3D" w14:textId="77777777" w:rsidR="00B44125" w:rsidRPr="00205C60" w:rsidRDefault="00B44125" w:rsidP="006E18E7">
            <w:pPr>
              <w:jc w:val="center"/>
              <w:rPr>
                <w:rFonts w:ascii="Verdana" w:hAnsi="Verdana" w:cs="Arial"/>
                <w:snapToGrid w:val="0"/>
                <w:sz w:val="22"/>
                <w:szCs w:val="22"/>
              </w:rPr>
            </w:pPr>
            <w:r w:rsidRPr="00205C60">
              <w:rPr>
                <w:rFonts w:ascii="Verdana" w:hAnsi="Verdana" w:cs="Arial"/>
                <w:snapToGrid w:val="0"/>
                <w:sz w:val="22"/>
                <w:szCs w:val="22"/>
              </w:rPr>
              <w:t>=</w:t>
            </w:r>
          </w:p>
        </w:tc>
        <w:tc>
          <w:tcPr>
            <w:tcW w:w="1791" w:type="pct"/>
            <w:gridSpan w:val="3"/>
            <w:tcBorders>
              <w:top w:val="nil"/>
              <w:left w:val="nil"/>
              <w:bottom w:val="single" w:sz="4" w:space="0" w:color="auto"/>
              <w:right w:val="single" w:sz="4" w:space="0" w:color="auto"/>
            </w:tcBorders>
            <w:vAlign w:val="center"/>
          </w:tcPr>
          <w:p w14:paraId="3CA7EA3E" w14:textId="77777777" w:rsidR="00B44125" w:rsidRPr="00205C60" w:rsidRDefault="00B44125" w:rsidP="006E18E7">
            <w:pPr>
              <w:jc w:val="center"/>
              <w:rPr>
                <w:rFonts w:ascii="Verdana" w:hAnsi="Verdana" w:cs="Arial"/>
                <w:b/>
                <w:bCs/>
                <w:snapToGrid w:val="0"/>
                <w:sz w:val="22"/>
                <w:szCs w:val="22"/>
              </w:rPr>
            </w:pPr>
            <w:r w:rsidRPr="00205C60">
              <w:rPr>
                <w:rFonts w:ascii="Verdana" w:hAnsi="Verdana" w:cs="Arial"/>
                <w:b/>
                <w:bCs/>
                <w:snapToGrid w:val="0"/>
                <w:sz w:val="22"/>
                <w:szCs w:val="22"/>
              </w:rPr>
              <w:t>Compras Diarias</w:t>
            </w:r>
          </w:p>
        </w:tc>
      </w:tr>
      <w:tr w:rsidR="003A19A6" w:rsidRPr="00205C60" w14:paraId="3CA7EA4D" w14:textId="77777777" w:rsidTr="00EF79C9">
        <w:trPr>
          <w:trHeight w:val="257"/>
          <w:jc w:val="center"/>
        </w:trPr>
        <w:tc>
          <w:tcPr>
            <w:tcW w:w="767" w:type="pct"/>
            <w:tcBorders>
              <w:top w:val="single" w:sz="4" w:space="0" w:color="auto"/>
              <w:left w:val="single" w:sz="4" w:space="0" w:color="auto"/>
              <w:bottom w:val="single" w:sz="4" w:space="0" w:color="auto"/>
              <w:right w:val="single" w:sz="4" w:space="0" w:color="auto"/>
            </w:tcBorders>
            <w:vAlign w:val="center"/>
          </w:tcPr>
          <w:p w14:paraId="3CA7EA47" w14:textId="09EBD49B" w:rsidR="003A19A6" w:rsidRPr="00205C60" w:rsidRDefault="003A19A6" w:rsidP="003A19A6">
            <w:pPr>
              <w:jc w:val="center"/>
              <w:rPr>
                <w:rFonts w:ascii="Verdana" w:hAnsi="Verdana" w:cs="Arial"/>
                <w:snapToGrid w:val="0"/>
                <w:sz w:val="22"/>
                <w:szCs w:val="22"/>
              </w:rPr>
            </w:pPr>
            <w:r w:rsidRPr="00205C60">
              <w:rPr>
                <w:rFonts w:ascii="Verdana" w:hAnsi="Verdana" w:cs="Arial"/>
                <w:snapToGrid w:val="0"/>
                <w:sz w:val="22"/>
                <w:szCs w:val="22"/>
              </w:rPr>
              <w:t>2020</w:t>
            </w:r>
          </w:p>
        </w:tc>
        <w:tc>
          <w:tcPr>
            <w:tcW w:w="1363" w:type="pct"/>
            <w:gridSpan w:val="2"/>
            <w:tcBorders>
              <w:top w:val="single" w:sz="4" w:space="0" w:color="auto"/>
              <w:left w:val="single" w:sz="4" w:space="0" w:color="auto"/>
              <w:bottom w:val="single" w:sz="4" w:space="0" w:color="auto"/>
              <w:right w:val="single" w:sz="4" w:space="0" w:color="auto"/>
            </w:tcBorders>
            <w:shd w:val="solid" w:color="FFFFFF" w:fill="auto"/>
            <w:vAlign w:val="center"/>
          </w:tcPr>
          <w:p w14:paraId="3CA7EA48" w14:textId="5F9A6C1A" w:rsidR="003A19A6" w:rsidRPr="00205C60" w:rsidRDefault="003A19A6" w:rsidP="003A19A6">
            <w:pPr>
              <w:jc w:val="center"/>
              <w:rPr>
                <w:rFonts w:ascii="Verdana" w:hAnsi="Verdana" w:cs="Arial"/>
                <w:snapToGrid w:val="0"/>
                <w:sz w:val="22"/>
                <w:szCs w:val="22"/>
              </w:rPr>
            </w:pPr>
            <w:r w:rsidRPr="00205C60">
              <w:rPr>
                <w:rFonts w:ascii="Verdana" w:hAnsi="Verdana" w:cs="Arial"/>
                <w:snapToGrid w:val="0"/>
                <w:sz w:val="22"/>
                <w:szCs w:val="22"/>
              </w:rPr>
              <w:t>206.580.405</w:t>
            </w:r>
          </w:p>
        </w:tc>
        <w:tc>
          <w:tcPr>
            <w:tcW w:w="318" w:type="pct"/>
            <w:tcBorders>
              <w:top w:val="single" w:sz="4" w:space="0" w:color="auto"/>
              <w:left w:val="single" w:sz="4" w:space="0" w:color="auto"/>
              <w:bottom w:val="single" w:sz="4" w:space="0" w:color="auto"/>
              <w:right w:val="nil"/>
            </w:tcBorders>
            <w:vAlign w:val="center"/>
          </w:tcPr>
          <w:p w14:paraId="3CA7EA49" w14:textId="77777777" w:rsidR="003A19A6" w:rsidRPr="00205C60" w:rsidRDefault="003A19A6" w:rsidP="003A19A6">
            <w:pPr>
              <w:jc w:val="center"/>
              <w:rPr>
                <w:rFonts w:ascii="Verdana" w:hAnsi="Verdana" w:cs="Arial"/>
                <w:snapToGrid w:val="0"/>
                <w:sz w:val="22"/>
                <w:szCs w:val="22"/>
              </w:rPr>
            </w:pPr>
          </w:p>
        </w:tc>
        <w:tc>
          <w:tcPr>
            <w:tcW w:w="549" w:type="pct"/>
            <w:tcBorders>
              <w:top w:val="single" w:sz="4" w:space="0" w:color="auto"/>
              <w:left w:val="nil"/>
              <w:bottom w:val="single" w:sz="4" w:space="0" w:color="auto"/>
              <w:right w:val="nil"/>
            </w:tcBorders>
            <w:vAlign w:val="center"/>
          </w:tcPr>
          <w:p w14:paraId="3CA7EA4A" w14:textId="14AF981B" w:rsidR="003A19A6" w:rsidRPr="00205C60" w:rsidRDefault="003A19A6" w:rsidP="003A19A6">
            <w:pPr>
              <w:jc w:val="center"/>
              <w:rPr>
                <w:rFonts w:ascii="Verdana" w:hAnsi="Verdana" w:cs="Arial"/>
                <w:snapToGrid w:val="0"/>
                <w:sz w:val="22"/>
                <w:szCs w:val="22"/>
              </w:rPr>
            </w:pPr>
            <w:r w:rsidRPr="00205C60">
              <w:rPr>
                <w:rFonts w:ascii="Verdana" w:hAnsi="Verdana" w:cs="Arial"/>
                <w:snapToGrid w:val="0"/>
                <w:sz w:val="22"/>
                <w:szCs w:val="22"/>
              </w:rPr>
              <w:t>360</w:t>
            </w:r>
          </w:p>
        </w:tc>
        <w:tc>
          <w:tcPr>
            <w:tcW w:w="212" w:type="pct"/>
            <w:tcBorders>
              <w:top w:val="single" w:sz="4" w:space="0" w:color="auto"/>
              <w:left w:val="nil"/>
              <w:bottom w:val="single" w:sz="4" w:space="0" w:color="auto"/>
              <w:right w:val="single" w:sz="4" w:space="0" w:color="auto"/>
            </w:tcBorders>
            <w:vAlign w:val="center"/>
          </w:tcPr>
          <w:p w14:paraId="3CA7EA4B" w14:textId="77777777" w:rsidR="003A19A6" w:rsidRPr="00205C60" w:rsidRDefault="003A19A6" w:rsidP="003A19A6">
            <w:pPr>
              <w:jc w:val="center"/>
              <w:rPr>
                <w:rFonts w:ascii="Verdana" w:hAnsi="Verdana" w:cs="Arial"/>
                <w:snapToGrid w:val="0"/>
                <w:sz w:val="22"/>
                <w:szCs w:val="22"/>
              </w:rPr>
            </w:pPr>
          </w:p>
        </w:tc>
        <w:tc>
          <w:tcPr>
            <w:tcW w:w="1791" w:type="pct"/>
            <w:gridSpan w:val="3"/>
            <w:tcBorders>
              <w:top w:val="single" w:sz="4" w:space="0" w:color="auto"/>
              <w:left w:val="single" w:sz="4" w:space="0" w:color="auto"/>
              <w:bottom w:val="single" w:sz="4" w:space="0" w:color="auto"/>
              <w:right w:val="single" w:sz="4" w:space="0" w:color="auto"/>
            </w:tcBorders>
            <w:vAlign w:val="center"/>
          </w:tcPr>
          <w:p w14:paraId="3CA7EA4C" w14:textId="3677F35D" w:rsidR="003A19A6" w:rsidRPr="00205C60" w:rsidRDefault="003A19A6" w:rsidP="003A19A6">
            <w:pPr>
              <w:jc w:val="center"/>
              <w:rPr>
                <w:rFonts w:ascii="Verdana" w:hAnsi="Verdana" w:cs="Arial"/>
                <w:snapToGrid w:val="0"/>
                <w:sz w:val="22"/>
                <w:szCs w:val="22"/>
              </w:rPr>
            </w:pPr>
            <w:r w:rsidRPr="00205C60">
              <w:rPr>
                <w:rFonts w:ascii="Verdana" w:hAnsi="Verdana" w:cs="Arial"/>
                <w:snapToGrid w:val="0"/>
                <w:sz w:val="22"/>
                <w:szCs w:val="22"/>
              </w:rPr>
              <w:t>573.834</w:t>
            </w:r>
          </w:p>
        </w:tc>
      </w:tr>
      <w:tr w:rsidR="003A19A6" w:rsidRPr="00205C60" w14:paraId="3CA7EA54" w14:textId="77777777" w:rsidTr="00586BB8">
        <w:trPr>
          <w:trHeight w:val="372"/>
          <w:jc w:val="center"/>
        </w:trPr>
        <w:tc>
          <w:tcPr>
            <w:tcW w:w="767" w:type="pct"/>
            <w:tcBorders>
              <w:top w:val="single" w:sz="4" w:space="0" w:color="auto"/>
              <w:left w:val="single" w:sz="4" w:space="0" w:color="auto"/>
              <w:bottom w:val="single" w:sz="4" w:space="0" w:color="auto"/>
              <w:right w:val="single" w:sz="4" w:space="0" w:color="auto"/>
            </w:tcBorders>
            <w:vAlign w:val="center"/>
          </w:tcPr>
          <w:p w14:paraId="3CA7EA4E" w14:textId="0C47E771" w:rsidR="003A19A6" w:rsidRPr="00205C60" w:rsidRDefault="003A19A6" w:rsidP="003A19A6">
            <w:pPr>
              <w:jc w:val="center"/>
              <w:rPr>
                <w:rFonts w:ascii="Verdana" w:hAnsi="Verdana" w:cs="Arial"/>
                <w:snapToGrid w:val="0"/>
                <w:sz w:val="22"/>
                <w:szCs w:val="22"/>
              </w:rPr>
            </w:pPr>
            <w:r w:rsidRPr="00205C60">
              <w:rPr>
                <w:rFonts w:ascii="Verdana" w:hAnsi="Verdana" w:cs="Arial"/>
                <w:snapToGrid w:val="0"/>
                <w:sz w:val="22"/>
                <w:szCs w:val="22"/>
              </w:rPr>
              <w:t>2021</w:t>
            </w:r>
          </w:p>
        </w:tc>
        <w:tc>
          <w:tcPr>
            <w:tcW w:w="1363" w:type="pct"/>
            <w:gridSpan w:val="2"/>
            <w:tcBorders>
              <w:top w:val="single" w:sz="4" w:space="0" w:color="auto"/>
              <w:left w:val="single" w:sz="4" w:space="0" w:color="auto"/>
              <w:bottom w:val="single" w:sz="4" w:space="0" w:color="auto"/>
              <w:right w:val="single" w:sz="4" w:space="0" w:color="auto"/>
            </w:tcBorders>
            <w:shd w:val="solid" w:color="FFFFFF" w:fill="auto"/>
            <w:vAlign w:val="center"/>
          </w:tcPr>
          <w:p w14:paraId="3CA7EA4F" w14:textId="6BF65C79" w:rsidR="003A19A6" w:rsidRPr="00205C60" w:rsidRDefault="003A19A6" w:rsidP="003A19A6">
            <w:pPr>
              <w:jc w:val="center"/>
              <w:rPr>
                <w:rFonts w:ascii="Verdana" w:hAnsi="Verdana" w:cs="Arial"/>
                <w:snapToGrid w:val="0"/>
                <w:sz w:val="22"/>
                <w:szCs w:val="22"/>
              </w:rPr>
            </w:pPr>
            <w:r w:rsidRPr="00205C60">
              <w:rPr>
                <w:rFonts w:ascii="Verdana" w:hAnsi="Verdana" w:cs="Arial"/>
                <w:snapToGrid w:val="0"/>
                <w:sz w:val="22"/>
                <w:szCs w:val="22"/>
              </w:rPr>
              <w:t>170.022.971</w:t>
            </w:r>
          </w:p>
        </w:tc>
        <w:tc>
          <w:tcPr>
            <w:tcW w:w="318" w:type="pct"/>
            <w:tcBorders>
              <w:top w:val="single" w:sz="4" w:space="0" w:color="auto"/>
              <w:left w:val="single" w:sz="4" w:space="0" w:color="auto"/>
              <w:bottom w:val="single" w:sz="4" w:space="0" w:color="auto"/>
              <w:right w:val="nil"/>
            </w:tcBorders>
            <w:vAlign w:val="center"/>
          </w:tcPr>
          <w:p w14:paraId="3CA7EA50" w14:textId="77777777" w:rsidR="003A19A6" w:rsidRPr="00205C60" w:rsidRDefault="003A19A6" w:rsidP="003A19A6">
            <w:pPr>
              <w:jc w:val="center"/>
              <w:rPr>
                <w:rFonts w:ascii="Verdana" w:hAnsi="Verdana" w:cs="Arial"/>
                <w:snapToGrid w:val="0"/>
                <w:sz w:val="22"/>
                <w:szCs w:val="22"/>
              </w:rPr>
            </w:pPr>
          </w:p>
        </w:tc>
        <w:tc>
          <w:tcPr>
            <w:tcW w:w="549" w:type="pct"/>
            <w:tcBorders>
              <w:top w:val="single" w:sz="4" w:space="0" w:color="auto"/>
              <w:left w:val="nil"/>
              <w:bottom w:val="single" w:sz="4" w:space="0" w:color="auto"/>
              <w:right w:val="nil"/>
            </w:tcBorders>
            <w:vAlign w:val="center"/>
          </w:tcPr>
          <w:p w14:paraId="3CA7EA51" w14:textId="5E2D53A0" w:rsidR="003A19A6" w:rsidRPr="00205C60" w:rsidRDefault="003A19A6" w:rsidP="003A19A6">
            <w:pPr>
              <w:jc w:val="center"/>
              <w:rPr>
                <w:rFonts w:ascii="Verdana" w:hAnsi="Verdana" w:cs="Arial"/>
                <w:snapToGrid w:val="0"/>
                <w:sz w:val="22"/>
                <w:szCs w:val="22"/>
              </w:rPr>
            </w:pPr>
            <w:r w:rsidRPr="00205C60">
              <w:rPr>
                <w:rFonts w:ascii="Verdana" w:hAnsi="Verdana" w:cs="Arial"/>
                <w:snapToGrid w:val="0"/>
                <w:sz w:val="22"/>
                <w:szCs w:val="22"/>
              </w:rPr>
              <w:t>360</w:t>
            </w:r>
          </w:p>
        </w:tc>
        <w:tc>
          <w:tcPr>
            <w:tcW w:w="212" w:type="pct"/>
            <w:tcBorders>
              <w:top w:val="single" w:sz="4" w:space="0" w:color="auto"/>
              <w:left w:val="nil"/>
              <w:bottom w:val="single" w:sz="4" w:space="0" w:color="auto"/>
              <w:right w:val="single" w:sz="4" w:space="0" w:color="auto"/>
            </w:tcBorders>
            <w:vAlign w:val="center"/>
          </w:tcPr>
          <w:p w14:paraId="3CA7EA52" w14:textId="77777777" w:rsidR="003A19A6" w:rsidRPr="00205C60" w:rsidRDefault="003A19A6" w:rsidP="003A19A6">
            <w:pPr>
              <w:jc w:val="center"/>
              <w:rPr>
                <w:rFonts w:ascii="Verdana" w:hAnsi="Verdana" w:cs="Arial"/>
                <w:snapToGrid w:val="0"/>
                <w:sz w:val="22"/>
                <w:szCs w:val="22"/>
              </w:rPr>
            </w:pPr>
          </w:p>
        </w:tc>
        <w:tc>
          <w:tcPr>
            <w:tcW w:w="1791" w:type="pct"/>
            <w:gridSpan w:val="3"/>
            <w:tcBorders>
              <w:top w:val="single" w:sz="4" w:space="0" w:color="auto"/>
              <w:left w:val="single" w:sz="4" w:space="0" w:color="auto"/>
              <w:bottom w:val="single" w:sz="4" w:space="0" w:color="auto"/>
              <w:right w:val="single" w:sz="4" w:space="0" w:color="auto"/>
            </w:tcBorders>
            <w:vAlign w:val="center"/>
          </w:tcPr>
          <w:p w14:paraId="3CA7EA53" w14:textId="43968958" w:rsidR="003A19A6" w:rsidRPr="00205C60" w:rsidRDefault="003A19A6" w:rsidP="003A19A6">
            <w:pPr>
              <w:jc w:val="center"/>
              <w:rPr>
                <w:rFonts w:ascii="Verdana" w:hAnsi="Verdana" w:cs="Arial"/>
                <w:snapToGrid w:val="0"/>
                <w:sz w:val="22"/>
                <w:szCs w:val="22"/>
              </w:rPr>
            </w:pPr>
            <w:r w:rsidRPr="00205C60">
              <w:rPr>
                <w:rFonts w:ascii="Verdana" w:hAnsi="Verdana" w:cs="Arial"/>
                <w:snapToGrid w:val="0"/>
                <w:sz w:val="22"/>
                <w:szCs w:val="22"/>
              </w:rPr>
              <w:t>472.286</w:t>
            </w:r>
          </w:p>
        </w:tc>
      </w:tr>
      <w:tr w:rsidR="009B5666" w:rsidRPr="00205C60" w14:paraId="481FDC0D" w14:textId="77777777" w:rsidTr="00EF79C9">
        <w:trPr>
          <w:trHeight w:val="257"/>
          <w:jc w:val="center"/>
        </w:trPr>
        <w:tc>
          <w:tcPr>
            <w:tcW w:w="767" w:type="pct"/>
            <w:tcBorders>
              <w:top w:val="single" w:sz="4" w:space="0" w:color="auto"/>
              <w:left w:val="single" w:sz="4" w:space="0" w:color="auto"/>
              <w:bottom w:val="single" w:sz="4" w:space="0" w:color="auto"/>
              <w:right w:val="single" w:sz="4" w:space="0" w:color="auto"/>
            </w:tcBorders>
            <w:vAlign w:val="center"/>
          </w:tcPr>
          <w:p w14:paraId="6DF78ABA" w14:textId="111089EB" w:rsidR="009B5666" w:rsidRPr="00205C60" w:rsidRDefault="009B5666" w:rsidP="006E18E7">
            <w:pPr>
              <w:jc w:val="center"/>
              <w:rPr>
                <w:rFonts w:ascii="Verdana" w:hAnsi="Verdana" w:cs="Arial"/>
                <w:snapToGrid w:val="0"/>
                <w:sz w:val="22"/>
                <w:szCs w:val="22"/>
              </w:rPr>
            </w:pPr>
            <w:r w:rsidRPr="00205C60">
              <w:rPr>
                <w:rFonts w:ascii="Verdana" w:hAnsi="Verdana" w:cs="Arial"/>
                <w:snapToGrid w:val="0"/>
                <w:sz w:val="22"/>
                <w:szCs w:val="22"/>
              </w:rPr>
              <w:t>202</w:t>
            </w:r>
            <w:r w:rsidR="003A19A6" w:rsidRPr="00205C60">
              <w:rPr>
                <w:rFonts w:ascii="Verdana" w:hAnsi="Verdana" w:cs="Arial"/>
                <w:snapToGrid w:val="0"/>
                <w:sz w:val="22"/>
                <w:szCs w:val="22"/>
              </w:rPr>
              <w:t>2</w:t>
            </w:r>
          </w:p>
        </w:tc>
        <w:tc>
          <w:tcPr>
            <w:tcW w:w="1363" w:type="pct"/>
            <w:gridSpan w:val="2"/>
            <w:tcBorders>
              <w:top w:val="single" w:sz="4" w:space="0" w:color="auto"/>
              <w:left w:val="single" w:sz="4" w:space="0" w:color="auto"/>
              <w:bottom w:val="single" w:sz="4" w:space="0" w:color="auto"/>
              <w:right w:val="single" w:sz="4" w:space="0" w:color="auto"/>
            </w:tcBorders>
            <w:shd w:val="solid" w:color="FFFFFF" w:fill="auto"/>
            <w:vAlign w:val="center"/>
          </w:tcPr>
          <w:p w14:paraId="4C91F1F6" w14:textId="4AD6325D" w:rsidR="009B5666" w:rsidRPr="00205C60" w:rsidRDefault="00EF79C9" w:rsidP="006E18E7">
            <w:pPr>
              <w:jc w:val="center"/>
              <w:rPr>
                <w:rFonts w:ascii="Verdana" w:hAnsi="Verdana" w:cs="Arial"/>
                <w:snapToGrid w:val="0"/>
                <w:sz w:val="22"/>
                <w:szCs w:val="22"/>
              </w:rPr>
            </w:pPr>
            <w:r w:rsidRPr="00205C60">
              <w:rPr>
                <w:rFonts w:ascii="Verdana" w:hAnsi="Verdana" w:cs="Arial"/>
                <w:snapToGrid w:val="0"/>
                <w:sz w:val="22"/>
                <w:szCs w:val="22"/>
              </w:rPr>
              <w:t>17</w:t>
            </w:r>
            <w:r w:rsidR="00B93B17" w:rsidRPr="00205C60">
              <w:rPr>
                <w:rFonts w:ascii="Verdana" w:hAnsi="Verdana" w:cs="Arial"/>
                <w:snapToGrid w:val="0"/>
                <w:sz w:val="22"/>
                <w:szCs w:val="22"/>
              </w:rPr>
              <w:t>6</w:t>
            </w:r>
            <w:r w:rsidRPr="00205C60">
              <w:rPr>
                <w:rFonts w:ascii="Verdana" w:hAnsi="Verdana" w:cs="Arial"/>
                <w:snapToGrid w:val="0"/>
                <w:sz w:val="22"/>
                <w:szCs w:val="22"/>
              </w:rPr>
              <w:t>.</w:t>
            </w:r>
            <w:r w:rsidR="00B93B17" w:rsidRPr="00205C60">
              <w:rPr>
                <w:rFonts w:ascii="Verdana" w:hAnsi="Verdana" w:cs="Arial"/>
                <w:snapToGrid w:val="0"/>
                <w:sz w:val="22"/>
                <w:szCs w:val="22"/>
              </w:rPr>
              <w:t>833</w:t>
            </w:r>
            <w:r w:rsidRPr="00205C60">
              <w:rPr>
                <w:rFonts w:ascii="Verdana" w:hAnsi="Verdana" w:cs="Arial"/>
                <w:snapToGrid w:val="0"/>
                <w:sz w:val="22"/>
                <w:szCs w:val="22"/>
              </w:rPr>
              <w:t>.</w:t>
            </w:r>
            <w:r w:rsidR="00B93B17" w:rsidRPr="00205C60">
              <w:rPr>
                <w:rFonts w:ascii="Verdana" w:hAnsi="Verdana" w:cs="Arial"/>
                <w:snapToGrid w:val="0"/>
                <w:sz w:val="22"/>
                <w:szCs w:val="22"/>
              </w:rPr>
              <w:t>430</w:t>
            </w:r>
          </w:p>
        </w:tc>
        <w:tc>
          <w:tcPr>
            <w:tcW w:w="318" w:type="pct"/>
            <w:tcBorders>
              <w:top w:val="single" w:sz="4" w:space="0" w:color="auto"/>
              <w:left w:val="single" w:sz="4" w:space="0" w:color="auto"/>
              <w:bottom w:val="single" w:sz="4" w:space="0" w:color="auto"/>
              <w:right w:val="nil"/>
            </w:tcBorders>
            <w:vAlign w:val="center"/>
          </w:tcPr>
          <w:p w14:paraId="15FC55E4" w14:textId="77777777" w:rsidR="009B5666" w:rsidRPr="00205C60" w:rsidRDefault="009B5666" w:rsidP="006E18E7">
            <w:pPr>
              <w:jc w:val="center"/>
              <w:rPr>
                <w:rFonts w:ascii="Verdana" w:hAnsi="Verdana" w:cs="Arial"/>
                <w:snapToGrid w:val="0"/>
                <w:sz w:val="22"/>
                <w:szCs w:val="22"/>
              </w:rPr>
            </w:pPr>
          </w:p>
        </w:tc>
        <w:tc>
          <w:tcPr>
            <w:tcW w:w="549" w:type="pct"/>
            <w:tcBorders>
              <w:top w:val="single" w:sz="4" w:space="0" w:color="auto"/>
              <w:left w:val="nil"/>
              <w:bottom w:val="single" w:sz="4" w:space="0" w:color="auto"/>
              <w:right w:val="nil"/>
            </w:tcBorders>
            <w:vAlign w:val="center"/>
          </w:tcPr>
          <w:p w14:paraId="0C77D869" w14:textId="6EDA1F80" w:rsidR="009B5666" w:rsidRPr="00205C60" w:rsidRDefault="00EF79C9" w:rsidP="006E18E7">
            <w:pPr>
              <w:jc w:val="center"/>
              <w:rPr>
                <w:rFonts w:ascii="Verdana" w:hAnsi="Verdana" w:cs="Arial"/>
                <w:snapToGrid w:val="0"/>
                <w:sz w:val="22"/>
                <w:szCs w:val="22"/>
              </w:rPr>
            </w:pPr>
            <w:r w:rsidRPr="00205C60">
              <w:rPr>
                <w:rFonts w:ascii="Verdana" w:hAnsi="Verdana" w:cs="Arial"/>
                <w:snapToGrid w:val="0"/>
                <w:sz w:val="22"/>
                <w:szCs w:val="22"/>
              </w:rPr>
              <w:t>360</w:t>
            </w:r>
          </w:p>
        </w:tc>
        <w:tc>
          <w:tcPr>
            <w:tcW w:w="212" w:type="pct"/>
            <w:tcBorders>
              <w:top w:val="single" w:sz="4" w:space="0" w:color="auto"/>
              <w:left w:val="nil"/>
              <w:bottom w:val="single" w:sz="4" w:space="0" w:color="auto"/>
              <w:right w:val="single" w:sz="4" w:space="0" w:color="auto"/>
            </w:tcBorders>
            <w:vAlign w:val="center"/>
          </w:tcPr>
          <w:p w14:paraId="6CB5D9AE" w14:textId="77777777" w:rsidR="009B5666" w:rsidRPr="00205C60" w:rsidRDefault="009B5666" w:rsidP="006E18E7">
            <w:pPr>
              <w:jc w:val="center"/>
              <w:rPr>
                <w:rFonts w:ascii="Verdana" w:hAnsi="Verdana" w:cs="Arial"/>
                <w:snapToGrid w:val="0"/>
                <w:sz w:val="22"/>
                <w:szCs w:val="22"/>
              </w:rPr>
            </w:pPr>
          </w:p>
        </w:tc>
        <w:tc>
          <w:tcPr>
            <w:tcW w:w="1791" w:type="pct"/>
            <w:gridSpan w:val="3"/>
            <w:tcBorders>
              <w:top w:val="single" w:sz="4" w:space="0" w:color="auto"/>
              <w:left w:val="single" w:sz="4" w:space="0" w:color="auto"/>
              <w:bottom w:val="single" w:sz="4" w:space="0" w:color="auto"/>
              <w:right w:val="single" w:sz="4" w:space="0" w:color="auto"/>
            </w:tcBorders>
            <w:vAlign w:val="center"/>
          </w:tcPr>
          <w:p w14:paraId="176CE87E" w14:textId="342C79B2" w:rsidR="009B5666" w:rsidRPr="00205C60" w:rsidRDefault="00B93B17" w:rsidP="006E18E7">
            <w:pPr>
              <w:jc w:val="center"/>
              <w:rPr>
                <w:rFonts w:ascii="Verdana" w:hAnsi="Verdana" w:cs="Arial"/>
                <w:snapToGrid w:val="0"/>
                <w:sz w:val="22"/>
                <w:szCs w:val="22"/>
              </w:rPr>
            </w:pPr>
            <w:r w:rsidRPr="00205C60">
              <w:rPr>
                <w:rFonts w:ascii="Verdana" w:hAnsi="Verdana" w:cs="Arial"/>
                <w:snapToGrid w:val="0"/>
                <w:sz w:val="22"/>
                <w:szCs w:val="22"/>
              </w:rPr>
              <w:t>491</w:t>
            </w:r>
            <w:r w:rsidR="00BC07C4" w:rsidRPr="00205C60">
              <w:rPr>
                <w:rFonts w:ascii="Verdana" w:hAnsi="Verdana" w:cs="Arial"/>
                <w:snapToGrid w:val="0"/>
                <w:sz w:val="22"/>
                <w:szCs w:val="22"/>
              </w:rPr>
              <w:t>.2</w:t>
            </w:r>
            <w:r w:rsidRPr="00205C60">
              <w:rPr>
                <w:rFonts w:ascii="Verdana" w:hAnsi="Verdana" w:cs="Arial"/>
                <w:snapToGrid w:val="0"/>
                <w:sz w:val="22"/>
                <w:szCs w:val="22"/>
              </w:rPr>
              <w:t>04</w:t>
            </w:r>
          </w:p>
        </w:tc>
      </w:tr>
      <w:tr w:rsidR="00531011" w:rsidRPr="00205C60" w14:paraId="3CA7EA58" w14:textId="77777777" w:rsidTr="00C15518">
        <w:tblPrEx>
          <w:tblBorders>
            <w:top w:val="none" w:sz="0" w:space="0" w:color="auto"/>
            <w:left w:val="none" w:sz="0" w:space="0" w:color="auto"/>
            <w:bottom w:val="none" w:sz="0" w:space="0" w:color="auto"/>
            <w:right w:val="none" w:sz="0" w:space="0" w:color="auto"/>
          </w:tblBorders>
        </w:tblPrEx>
        <w:trPr>
          <w:cantSplit/>
          <w:trHeight w:val="437"/>
          <w:jc w:val="center"/>
        </w:trPr>
        <w:tc>
          <w:tcPr>
            <w:tcW w:w="3245" w:type="pct"/>
            <w:gridSpan w:val="7"/>
            <w:tcBorders>
              <w:top w:val="single" w:sz="4" w:space="0" w:color="auto"/>
              <w:left w:val="single" w:sz="4" w:space="0" w:color="auto"/>
              <w:bottom w:val="nil"/>
              <w:right w:val="nil"/>
            </w:tcBorders>
            <w:shd w:val="solid" w:color="FFFFFF" w:fill="auto"/>
            <w:vAlign w:val="center"/>
          </w:tcPr>
          <w:p w14:paraId="3CA7EA55" w14:textId="77777777" w:rsidR="00531011" w:rsidRPr="00205C60" w:rsidRDefault="00531011" w:rsidP="006E18E7">
            <w:pPr>
              <w:jc w:val="center"/>
              <w:rPr>
                <w:rFonts w:ascii="Verdana" w:hAnsi="Verdana" w:cs="Arial"/>
                <w:b/>
                <w:snapToGrid w:val="0"/>
                <w:sz w:val="22"/>
                <w:szCs w:val="22"/>
              </w:rPr>
            </w:pPr>
            <w:r w:rsidRPr="00205C60">
              <w:rPr>
                <w:rFonts w:ascii="Verdana" w:hAnsi="Verdana" w:cs="Arial"/>
                <w:b/>
                <w:snapToGrid w:val="0"/>
                <w:sz w:val="22"/>
                <w:szCs w:val="22"/>
              </w:rPr>
              <w:t>Cálculos</w:t>
            </w:r>
          </w:p>
        </w:tc>
        <w:tc>
          <w:tcPr>
            <w:tcW w:w="148" w:type="pct"/>
            <w:tcBorders>
              <w:top w:val="single" w:sz="4" w:space="0" w:color="auto"/>
              <w:left w:val="nil"/>
              <w:bottom w:val="nil"/>
              <w:right w:val="nil"/>
            </w:tcBorders>
            <w:shd w:val="solid" w:color="FFFFFF" w:fill="auto"/>
            <w:vAlign w:val="center"/>
          </w:tcPr>
          <w:p w14:paraId="3CA7EA56" w14:textId="77777777" w:rsidR="00531011" w:rsidRPr="00205C60" w:rsidRDefault="00531011" w:rsidP="006E18E7">
            <w:pPr>
              <w:jc w:val="center"/>
              <w:rPr>
                <w:rFonts w:ascii="Verdana" w:hAnsi="Verdana" w:cs="Arial"/>
                <w:b/>
                <w:snapToGrid w:val="0"/>
                <w:sz w:val="22"/>
                <w:szCs w:val="22"/>
              </w:rPr>
            </w:pPr>
          </w:p>
        </w:tc>
        <w:tc>
          <w:tcPr>
            <w:tcW w:w="1607" w:type="pct"/>
            <w:tcBorders>
              <w:top w:val="single" w:sz="4" w:space="0" w:color="auto"/>
              <w:left w:val="nil"/>
              <w:bottom w:val="nil"/>
              <w:right w:val="single" w:sz="4" w:space="0" w:color="auto"/>
            </w:tcBorders>
            <w:shd w:val="solid" w:color="FFFFFF" w:fill="auto"/>
            <w:vAlign w:val="center"/>
          </w:tcPr>
          <w:p w14:paraId="3CA7EA57" w14:textId="77777777" w:rsidR="00531011" w:rsidRPr="00205C60" w:rsidRDefault="00531011" w:rsidP="006E18E7">
            <w:pPr>
              <w:jc w:val="center"/>
              <w:rPr>
                <w:rFonts w:ascii="Verdana" w:hAnsi="Verdana" w:cs="Arial"/>
                <w:b/>
                <w:snapToGrid w:val="0"/>
                <w:sz w:val="22"/>
                <w:szCs w:val="22"/>
              </w:rPr>
            </w:pPr>
            <w:r w:rsidRPr="00205C60">
              <w:rPr>
                <w:rFonts w:ascii="Verdana" w:hAnsi="Verdana" w:cs="Arial"/>
                <w:b/>
                <w:snapToGrid w:val="0"/>
                <w:sz w:val="22"/>
                <w:szCs w:val="22"/>
              </w:rPr>
              <w:t>Resultados</w:t>
            </w:r>
          </w:p>
        </w:tc>
      </w:tr>
      <w:tr w:rsidR="00531011" w:rsidRPr="00205C60" w14:paraId="3CA7EA5F" w14:textId="77777777" w:rsidTr="00C15518">
        <w:tblPrEx>
          <w:tblBorders>
            <w:top w:val="none" w:sz="0" w:space="0" w:color="auto"/>
            <w:left w:val="none" w:sz="0" w:space="0" w:color="auto"/>
            <w:bottom w:val="none" w:sz="0" w:space="0" w:color="auto"/>
            <w:right w:val="none" w:sz="0" w:space="0" w:color="auto"/>
          </w:tblBorders>
        </w:tblPrEx>
        <w:trPr>
          <w:trHeight w:val="485"/>
          <w:jc w:val="center"/>
        </w:trPr>
        <w:tc>
          <w:tcPr>
            <w:tcW w:w="767" w:type="pct"/>
            <w:tcBorders>
              <w:top w:val="single" w:sz="4" w:space="0" w:color="auto"/>
              <w:left w:val="single" w:sz="4" w:space="0" w:color="auto"/>
              <w:bottom w:val="single" w:sz="4" w:space="0" w:color="auto"/>
              <w:right w:val="single" w:sz="4" w:space="0" w:color="auto"/>
            </w:tcBorders>
            <w:shd w:val="solid" w:color="FFFFFF" w:fill="auto"/>
            <w:vAlign w:val="center"/>
          </w:tcPr>
          <w:p w14:paraId="3CA7EA59" w14:textId="77777777" w:rsidR="00531011" w:rsidRPr="00205C60" w:rsidRDefault="00531011" w:rsidP="006E18E7">
            <w:pPr>
              <w:jc w:val="center"/>
              <w:rPr>
                <w:rFonts w:ascii="Verdana" w:hAnsi="Verdana" w:cs="Arial"/>
                <w:b/>
                <w:bCs/>
                <w:snapToGrid w:val="0"/>
                <w:sz w:val="22"/>
                <w:szCs w:val="22"/>
              </w:rPr>
            </w:pPr>
            <w:r w:rsidRPr="00205C60">
              <w:rPr>
                <w:rFonts w:ascii="Verdana" w:hAnsi="Verdana" w:cs="Arial"/>
                <w:b/>
                <w:bCs/>
                <w:snapToGrid w:val="0"/>
                <w:sz w:val="22"/>
                <w:szCs w:val="22"/>
              </w:rPr>
              <w:t>Año</w:t>
            </w:r>
          </w:p>
        </w:tc>
        <w:tc>
          <w:tcPr>
            <w:tcW w:w="1163" w:type="pct"/>
            <w:tcBorders>
              <w:top w:val="single" w:sz="4" w:space="0" w:color="auto"/>
              <w:left w:val="single" w:sz="4" w:space="0" w:color="auto"/>
              <w:bottom w:val="single" w:sz="4" w:space="0" w:color="auto"/>
              <w:right w:val="nil"/>
            </w:tcBorders>
            <w:shd w:val="solid" w:color="FFFFFF" w:fill="auto"/>
            <w:vAlign w:val="center"/>
          </w:tcPr>
          <w:p w14:paraId="3CA7EA5A" w14:textId="77777777" w:rsidR="00531011" w:rsidRPr="00205C60" w:rsidRDefault="00531011" w:rsidP="006E18E7">
            <w:pPr>
              <w:jc w:val="center"/>
              <w:rPr>
                <w:rFonts w:ascii="Verdana" w:hAnsi="Verdana" w:cs="Arial"/>
                <w:b/>
                <w:bCs/>
                <w:snapToGrid w:val="0"/>
                <w:sz w:val="22"/>
                <w:szCs w:val="22"/>
              </w:rPr>
            </w:pPr>
            <w:r w:rsidRPr="00205C60">
              <w:rPr>
                <w:rFonts w:ascii="Verdana" w:hAnsi="Verdana" w:cs="Arial"/>
                <w:b/>
                <w:bCs/>
                <w:snapToGrid w:val="0"/>
                <w:sz w:val="22"/>
                <w:szCs w:val="22"/>
              </w:rPr>
              <w:t>Cuentas por Pagar Energía</w:t>
            </w:r>
          </w:p>
        </w:tc>
        <w:tc>
          <w:tcPr>
            <w:tcW w:w="200" w:type="pct"/>
            <w:tcBorders>
              <w:top w:val="single" w:sz="4" w:space="0" w:color="auto"/>
              <w:left w:val="nil"/>
              <w:bottom w:val="single" w:sz="4" w:space="0" w:color="auto"/>
              <w:right w:val="nil"/>
            </w:tcBorders>
            <w:shd w:val="solid" w:color="FFFFFF" w:fill="auto"/>
            <w:vAlign w:val="center"/>
          </w:tcPr>
          <w:p w14:paraId="3CA7EA5B" w14:textId="77777777" w:rsidR="00531011" w:rsidRPr="00205C60" w:rsidRDefault="00531011" w:rsidP="006E18E7">
            <w:pPr>
              <w:jc w:val="center"/>
              <w:rPr>
                <w:rFonts w:ascii="Verdana" w:hAnsi="Verdana" w:cs="Arial"/>
                <w:b/>
                <w:bCs/>
                <w:snapToGrid w:val="0"/>
                <w:sz w:val="22"/>
                <w:szCs w:val="22"/>
              </w:rPr>
            </w:pPr>
            <w:r w:rsidRPr="00205C60">
              <w:rPr>
                <w:rFonts w:ascii="Verdana" w:hAnsi="Verdana" w:cs="Arial"/>
                <w:b/>
                <w:bCs/>
                <w:snapToGrid w:val="0"/>
                <w:sz w:val="22"/>
                <w:szCs w:val="22"/>
              </w:rPr>
              <w:t>÷</w:t>
            </w:r>
          </w:p>
        </w:tc>
        <w:tc>
          <w:tcPr>
            <w:tcW w:w="1115" w:type="pct"/>
            <w:gridSpan w:val="4"/>
            <w:tcBorders>
              <w:top w:val="single" w:sz="4" w:space="0" w:color="auto"/>
              <w:left w:val="nil"/>
              <w:bottom w:val="single" w:sz="4" w:space="0" w:color="auto"/>
              <w:right w:val="nil"/>
            </w:tcBorders>
            <w:vAlign w:val="center"/>
          </w:tcPr>
          <w:p w14:paraId="3CA7EA5C" w14:textId="77777777" w:rsidR="00531011" w:rsidRPr="00205C60" w:rsidRDefault="00531011" w:rsidP="006E18E7">
            <w:pPr>
              <w:jc w:val="center"/>
              <w:rPr>
                <w:rFonts w:ascii="Verdana" w:hAnsi="Verdana" w:cs="Arial"/>
                <w:b/>
                <w:bCs/>
                <w:snapToGrid w:val="0"/>
                <w:sz w:val="22"/>
                <w:szCs w:val="22"/>
              </w:rPr>
            </w:pPr>
            <w:r w:rsidRPr="00205C60">
              <w:rPr>
                <w:rFonts w:ascii="Verdana" w:hAnsi="Verdana" w:cs="Arial"/>
                <w:b/>
                <w:bCs/>
                <w:snapToGrid w:val="0"/>
                <w:sz w:val="22"/>
                <w:szCs w:val="22"/>
              </w:rPr>
              <w:t>Compras Diarias</w:t>
            </w:r>
          </w:p>
        </w:tc>
        <w:tc>
          <w:tcPr>
            <w:tcW w:w="148" w:type="pct"/>
            <w:tcBorders>
              <w:top w:val="single" w:sz="4" w:space="0" w:color="auto"/>
              <w:left w:val="nil"/>
              <w:bottom w:val="single" w:sz="4" w:space="0" w:color="auto"/>
              <w:right w:val="nil"/>
            </w:tcBorders>
            <w:shd w:val="solid" w:color="FFFFFF" w:fill="auto"/>
            <w:vAlign w:val="center"/>
          </w:tcPr>
          <w:p w14:paraId="3CA7EA5D" w14:textId="77777777" w:rsidR="00531011" w:rsidRPr="00205C60" w:rsidRDefault="00531011" w:rsidP="006E18E7">
            <w:pPr>
              <w:jc w:val="center"/>
              <w:rPr>
                <w:rFonts w:ascii="Verdana" w:hAnsi="Verdana" w:cs="Arial"/>
                <w:snapToGrid w:val="0"/>
                <w:sz w:val="22"/>
                <w:szCs w:val="22"/>
              </w:rPr>
            </w:pPr>
            <w:r w:rsidRPr="00205C60">
              <w:rPr>
                <w:rFonts w:ascii="Verdana" w:hAnsi="Verdana" w:cs="Arial"/>
                <w:snapToGrid w:val="0"/>
                <w:sz w:val="22"/>
                <w:szCs w:val="22"/>
              </w:rPr>
              <w:t>=</w:t>
            </w:r>
          </w:p>
        </w:tc>
        <w:tc>
          <w:tcPr>
            <w:tcW w:w="1607" w:type="pct"/>
            <w:tcBorders>
              <w:top w:val="single" w:sz="4" w:space="0" w:color="auto"/>
              <w:left w:val="nil"/>
              <w:bottom w:val="single" w:sz="4" w:space="0" w:color="auto"/>
              <w:right w:val="single" w:sz="4" w:space="0" w:color="auto"/>
            </w:tcBorders>
            <w:shd w:val="solid" w:color="FFFFFF" w:fill="auto"/>
            <w:vAlign w:val="center"/>
          </w:tcPr>
          <w:p w14:paraId="3CA7EA5E" w14:textId="1818E4A1" w:rsidR="00531011" w:rsidRPr="00205C60" w:rsidRDefault="00531011" w:rsidP="006E18E7">
            <w:pPr>
              <w:jc w:val="center"/>
              <w:rPr>
                <w:rFonts w:ascii="Verdana" w:hAnsi="Verdana" w:cs="Arial"/>
                <w:b/>
                <w:bCs/>
                <w:snapToGrid w:val="0"/>
                <w:sz w:val="22"/>
                <w:szCs w:val="22"/>
              </w:rPr>
            </w:pPr>
            <w:r w:rsidRPr="00205C60">
              <w:rPr>
                <w:rFonts w:ascii="Verdana" w:hAnsi="Verdana" w:cs="Arial"/>
                <w:b/>
                <w:bCs/>
                <w:snapToGrid w:val="0"/>
                <w:sz w:val="22"/>
                <w:szCs w:val="22"/>
              </w:rPr>
              <w:t xml:space="preserve">Indicador </w:t>
            </w:r>
            <w:r w:rsidR="00B9303D" w:rsidRPr="00205C60">
              <w:rPr>
                <w:rFonts w:ascii="Verdana" w:hAnsi="Verdana" w:cs="Arial"/>
                <w:b/>
                <w:bCs/>
                <w:snapToGrid w:val="0"/>
                <w:sz w:val="22"/>
                <w:szCs w:val="22"/>
              </w:rPr>
              <w:t xml:space="preserve">              </w:t>
            </w:r>
            <w:proofErr w:type="gramStart"/>
            <w:r w:rsidR="00B9303D" w:rsidRPr="00205C60">
              <w:rPr>
                <w:rFonts w:ascii="Verdana" w:hAnsi="Verdana" w:cs="Arial"/>
                <w:b/>
                <w:bCs/>
                <w:snapToGrid w:val="0"/>
                <w:sz w:val="22"/>
                <w:szCs w:val="22"/>
              </w:rPr>
              <w:t xml:space="preserve">   </w:t>
            </w:r>
            <w:r w:rsidRPr="00205C60">
              <w:rPr>
                <w:rFonts w:ascii="Verdana" w:hAnsi="Verdana" w:cs="Arial"/>
                <w:b/>
                <w:bCs/>
                <w:snapToGrid w:val="0"/>
                <w:sz w:val="22"/>
                <w:szCs w:val="22"/>
              </w:rPr>
              <w:t>(</w:t>
            </w:r>
            <w:proofErr w:type="gramEnd"/>
            <w:r w:rsidRPr="00205C60">
              <w:rPr>
                <w:rFonts w:ascii="Verdana" w:hAnsi="Verdana" w:cs="Arial"/>
                <w:b/>
                <w:bCs/>
                <w:snapToGrid w:val="0"/>
                <w:sz w:val="22"/>
                <w:szCs w:val="22"/>
              </w:rPr>
              <w:t xml:space="preserve"> </w:t>
            </w:r>
            <w:r w:rsidR="00B9303D" w:rsidRPr="00205C60">
              <w:rPr>
                <w:rFonts w:ascii="Verdana" w:hAnsi="Verdana" w:cs="Arial"/>
                <w:b/>
                <w:bCs/>
                <w:snapToGrid w:val="0"/>
                <w:sz w:val="22"/>
                <w:szCs w:val="22"/>
              </w:rPr>
              <w:t>d</w:t>
            </w:r>
            <w:r w:rsidRPr="00205C60">
              <w:rPr>
                <w:rFonts w:ascii="Verdana" w:hAnsi="Verdana" w:cs="Arial"/>
                <w:b/>
                <w:bCs/>
                <w:snapToGrid w:val="0"/>
                <w:sz w:val="22"/>
                <w:szCs w:val="22"/>
              </w:rPr>
              <w:t>ías C X P )</w:t>
            </w:r>
          </w:p>
        </w:tc>
      </w:tr>
      <w:tr w:rsidR="003A19A6" w:rsidRPr="00205C60" w14:paraId="3CA7EA6D" w14:textId="77777777" w:rsidTr="00C15518">
        <w:tblPrEx>
          <w:tblBorders>
            <w:top w:val="none" w:sz="0" w:space="0" w:color="auto"/>
            <w:left w:val="none" w:sz="0" w:space="0" w:color="auto"/>
            <w:bottom w:val="none" w:sz="0" w:space="0" w:color="auto"/>
            <w:right w:val="none" w:sz="0" w:space="0" w:color="auto"/>
          </w:tblBorders>
        </w:tblPrEx>
        <w:trPr>
          <w:trHeight w:val="257"/>
          <w:jc w:val="center"/>
        </w:trPr>
        <w:tc>
          <w:tcPr>
            <w:tcW w:w="767" w:type="pct"/>
            <w:tcBorders>
              <w:top w:val="single" w:sz="4" w:space="0" w:color="auto"/>
              <w:left w:val="single" w:sz="4" w:space="0" w:color="auto"/>
              <w:bottom w:val="single" w:sz="4" w:space="0" w:color="auto"/>
              <w:right w:val="single" w:sz="4" w:space="0" w:color="auto"/>
            </w:tcBorders>
            <w:shd w:val="solid" w:color="FFFFFF" w:fill="auto"/>
            <w:vAlign w:val="center"/>
          </w:tcPr>
          <w:p w14:paraId="3CA7EA67" w14:textId="75DAD7D4" w:rsidR="003A19A6" w:rsidRPr="00205C60" w:rsidRDefault="003A19A6" w:rsidP="003A19A6">
            <w:pPr>
              <w:jc w:val="center"/>
              <w:rPr>
                <w:rFonts w:ascii="Verdana" w:hAnsi="Verdana" w:cs="Arial"/>
                <w:snapToGrid w:val="0"/>
                <w:sz w:val="22"/>
                <w:szCs w:val="22"/>
              </w:rPr>
            </w:pPr>
            <w:r w:rsidRPr="00205C60">
              <w:rPr>
                <w:rFonts w:ascii="Verdana" w:hAnsi="Verdana" w:cs="Arial"/>
                <w:snapToGrid w:val="0"/>
                <w:sz w:val="22"/>
                <w:szCs w:val="22"/>
              </w:rPr>
              <w:t>2020</w:t>
            </w:r>
          </w:p>
        </w:tc>
        <w:tc>
          <w:tcPr>
            <w:tcW w:w="1163" w:type="pct"/>
            <w:tcBorders>
              <w:top w:val="single" w:sz="4" w:space="0" w:color="auto"/>
              <w:left w:val="single" w:sz="4" w:space="0" w:color="auto"/>
              <w:bottom w:val="single" w:sz="4" w:space="0" w:color="auto"/>
              <w:right w:val="single" w:sz="4" w:space="0" w:color="auto"/>
            </w:tcBorders>
            <w:shd w:val="solid" w:color="FFFFFF" w:fill="auto"/>
            <w:vAlign w:val="center"/>
          </w:tcPr>
          <w:p w14:paraId="3CA7EA68" w14:textId="1E4AA260" w:rsidR="003A19A6" w:rsidRPr="00205C60" w:rsidRDefault="003A19A6" w:rsidP="003A19A6">
            <w:pPr>
              <w:jc w:val="center"/>
              <w:rPr>
                <w:rFonts w:ascii="Verdana" w:hAnsi="Verdana" w:cs="Arial"/>
                <w:snapToGrid w:val="0"/>
                <w:sz w:val="22"/>
                <w:szCs w:val="22"/>
              </w:rPr>
            </w:pPr>
            <w:r w:rsidRPr="00205C60">
              <w:rPr>
                <w:rFonts w:ascii="Verdana" w:hAnsi="Verdana" w:cs="Arial"/>
                <w:snapToGrid w:val="0"/>
                <w:sz w:val="22"/>
                <w:szCs w:val="22"/>
              </w:rPr>
              <w:t>31.134.930</w:t>
            </w:r>
          </w:p>
        </w:tc>
        <w:tc>
          <w:tcPr>
            <w:tcW w:w="200" w:type="pct"/>
            <w:tcBorders>
              <w:top w:val="single" w:sz="4" w:space="0" w:color="auto"/>
              <w:left w:val="single" w:sz="4" w:space="0" w:color="auto"/>
              <w:bottom w:val="single" w:sz="4" w:space="0" w:color="auto"/>
              <w:right w:val="nil"/>
            </w:tcBorders>
            <w:shd w:val="solid" w:color="FFFFFF" w:fill="auto"/>
            <w:vAlign w:val="center"/>
          </w:tcPr>
          <w:p w14:paraId="3CA7EA69" w14:textId="77777777" w:rsidR="003A19A6" w:rsidRPr="00205C60" w:rsidRDefault="003A19A6" w:rsidP="003A19A6">
            <w:pPr>
              <w:jc w:val="center"/>
              <w:rPr>
                <w:rFonts w:ascii="Verdana" w:hAnsi="Verdana" w:cs="Arial"/>
                <w:snapToGrid w:val="0"/>
                <w:sz w:val="22"/>
                <w:szCs w:val="22"/>
              </w:rPr>
            </w:pPr>
          </w:p>
        </w:tc>
        <w:tc>
          <w:tcPr>
            <w:tcW w:w="1115" w:type="pct"/>
            <w:gridSpan w:val="4"/>
            <w:tcBorders>
              <w:top w:val="single" w:sz="4" w:space="0" w:color="auto"/>
              <w:left w:val="nil"/>
              <w:bottom w:val="single" w:sz="4" w:space="0" w:color="auto"/>
              <w:right w:val="nil"/>
            </w:tcBorders>
            <w:vAlign w:val="center"/>
          </w:tcPr>
          <w:p w14:paraId="3CA7EA6A" w14:textId="3E33E725" w:rsidR="003A19A6" w:rsidRPr="00205C60" w:rsidRDefault="003A19A6" w:rsidP="003A19A6">
            <w:pPr>
              <w:jc w:val="center"/>
              <w:rPr>
                <w:rFonts w:ascii="Verdana" w:hAnsi="Verdana" w:cs="Arial"/>
                <w:snapToGrid w:val="0"/>
                <w:sz w:val="22"/>
                <w:szCs w:val="22"/>
              </w:rPr>
            </w:pPr>
            <w:r w:rsidRPr="00205C60">
              <w:rPr>
                <w:rFonts w:ascii="Verdana" w:hAnsi="Verdana" w:cs="Arial"/>
                <w:snapToGrid w:val="0"/>
                <w:sz w:val="22"/>
                <w:szCs w:val="22"/>
              </w:rPr>
              <w:t>573.834</w:t>
            </w:r>
          </w:p>
        </w:tc>
        <w:tc>
          <w:tcPr>
            <w:tcW w:w="148" w:type="pct"/>
            <w:tcBorders>
              <w:top w:val="single" w:sz="4" w:space="0" w:color="auto"/>
              <w:left w:val="nil"/>
              <w:bottom w:val="single" w:sz="4" w:space="0" w:color="auto"/>
              <w:right w:val="single" w:sz="4" w:space="0" w:color="auto"/>
            </w:tcBorders>
            <w:shd w:val="solid" w:color="FFFFFF" w:fill="auto"/>
            <w:vAlign w:val="center"/>
          </w:tcPr>
          <w:p w14:paraId="3CA7EA6B" w14:textId="77777777" w:rsidR="003A19A6" w:rsidRPr="00205C60" w:rsidRDefault="003A19A6" w:rsidP="003A19A6">
            <w:pPr>
              <w:jc w:val="center"/>
              <w:rPr>
                <w:rFonts w:ascii="Verdana" w:hAnsi="Verdana" w:cs="Arial"/>
                <w:snapToGrid w:val="0"/>
                <w:sz w:val="22"/>
                <w:szCs w:val="22"/>
              </w:rPr>
            </w:pPr>
          </w:p>
        </w:tc>
        <w:tc>
          <w:tcPr>
            <w:tcW w:w="1607" w:type="pct"/>
            <w:tcBorders>
              <w:top w:val="single" w:sz="4" w:space="0" w:color="auto"/>
              <w:left w:val="single" w:sz="4" w:space="0" w:color="auto"/>
              <w:bottom w:val="single" w:sz="4" w:space="0" w:color="auto"/>
              <w:right w:val="single" w:sz="4" w:space="0" w:color="auto"/>
            </w:tcBorders>
            <w:shd w:val="solid" w:color="FFFFFF" w:fill="auto"/>
            <w:vAlign w:val="center"/>
          </w:tcPr>
          <w:p w14:paraId="3CA7EA6C" w14:textId="2DBF03F1" w:rsidR="003A19A6" w:rsidRPr="00205C60" w:rsidRDefault="003A19A6" w:rsidP="003A19A6">
            <w:pPr>
              <w:jc w:val="center"/>
              <w:rPr>
                <w:rFonts w:ascii="Verdana" w:hAnsi="Verdana" w:cs="Arial"/>
                <w:snapToGrid w:val="0"/>
                <w:sz w:val="22"/>
                <w:szCs w:val="22"/>
              </w:rPr>
            </w:pPr>
            <w:r w:rsidRPr="00205C60">
              <w:rPr>
                <w:rFonts w:ascii="Verdana" w:hAnsi="Verdana" w:cs="Arial"/>
                <w:snapToGrid w:val="0"/>
                <w:sz w:val="22"/>
                <w:szCs w:val="22"/>
              </w:rPr>
              <w:t>54</w:t>
            </w:r>
          </w:p>
        </w:tc>
      </w:tr>
      <w:tr w:rsidR="003A19A6" w:rsidRPr="00205C60" w14:paraId="3CA7EA74" w14:textId="77777777" w:rsidTr="00C15518">
        <w:tblPrEx>
          <w:tblBorders>
            <w:top w:val="none" w:sz="0" w:space="0" w:color="auto"/>
            <w:left w:val="none" w:sz="0" w:space="0" w:color="auto"/>
            <w:bottom w:val="none" w:sz="0" w:space="0" w:color="auto"/>
            <w:right w:val="none" w:sz="0" w:space="0" w:color="auto"/>
          </w:tblBorders>
        </w:tblPrEx>
        <w:trPr>
          <w:trHeight w:val="257"/>
          <w:jc w:val="center"/>
        </w:trPr>
        <w:tc>
          <w:tcPr>
            <w:tcW w:w="767" w:type="pct"/>
            <w:tcBorders>
              <w:top w:val="single" w:sz="4" w:space="0" w:color="auto"/>
              <w:left w:val="single" w:sz="4" w:space="0" w:color="auto"/>
              <w:bottom w:val="single" w:sz="4" w:space="0" w:color="auto"/>
              <w:right w:val="single" w:sz="4" w:space="0" w:color="auto"/>
            </w:tcBorders>
            <w:shd w:val="solid" w:color="FFFFFF" w:fill="auto"/>
            <w:vAlign w:val="center"/>
          </w:tcPr>
          <w:p w14:paraId="3CA7EA6E" w14:textId="6A81295F" w:rsidR="003A19A6" w:rsidRPr="00205C60" w:rsidRDefault="003A19A6" w:rsidP="003A19A6">
            <w:pPr>
              <w:jc w:val="center"/>
              <w:rPr>
                <w:rFonts w:ascii="Verdana" w:hAnsi="Verdana" w:cs="Arial"/>
                <w:snapToGrid w:val="0"/>
                <w:sz w:val="22"/>
                <w:szCs w:val="22"/>
              </w:rPr>
            </w:pPr>
            <w:r w:rsidRPr="00205C60">
              <w:rPr>
                <w:rFonts w:ascii="Verdana" w:hAnsi="Verdana" w:cs="Arial"/>
                <w:snapToGrid w:val="0"/>
                <w:sz w:val="22"/>
                <w:szCs w:val="22"/>
              </w:rPr>
              <w:lastRenderedPageBreak/>
              <w:t>2021</w:t>
            </w:r>
          </w:p>
        </w:tc>
        <w:tc>
          <w:tcPr>
            <w:tcW w:w="1163" w:type="pct"/>
            <w:tcBorders>
              <w:top w:val="single" w:sz="4" w:space="0" w:color="auto"/>
              <w:left w:val="single" w:sz="4" w:space="0" w:color="auto"/>
              <w:bottom w:val="single" w:sz="4" w:space="0" w:color="auto"/>
              <w:right w:val="single" w:sz="4" w:space="0" w:color="auto"/>
            </w:tcBorders>
            <w:shd w:val="solid" w:color="FFFFFF" w:fill="auto"/>
            <w:vAlign w:val="center"/>
          </w:tcPr>
          <w:p w14:paraId="3CA7EA6F" w14:textId="10D418F5" w:rsidR="003A19A6" w:rsidRPr="00205C60" w:rsidRDefault="003A19A6" w:rsidP="003A19A6">
            <w:pPr>
              <w:jc w:val="center"/>
              <w:rPr>
                <w:rFonts w:ascii="Verdana" w:hAnsi="Verdana" w:cs="Arial"/>
                <w:snapToGrid w:val="0"/>
                <w:sz w:val="22"/>
                <w:szCs w:val="22"/>
              </w:rPr>
            </w:pPr>
            <w:r w:rsidRPr="00205C60">
              <w:rPr>
                <w:rFonts w:ascii="Verdana" w:hAnsi="Verdana" w:cs="Arial"/>
                <w:snapToGrid w:val="0"/>
                <w:sz w:val="22"/>
                <w:szCs w:val="22"/>
              </w:rPr>
              <w:t>15.861.614</w:t>
            </w:r>
          </w:p>
        </w:tc>
        <w:tc>
          <w:tcPr>
            <w:tcW w:w="200" w:type="pct"/>
            <w:tcBorders>
              <w:top w:val="single" w:sz="4" w:space="0" w:color="auto"/>
              <w:left w:val="single" w:sz="4" w:space="0" w:color="auto"/>
              <w:bottom w:val="single" w:sz="4" w:space="0" w:color="auto"/>
              <w:right w:val="nil"/>
            </w:tcBorders>
            <w:shd w:val="solid" w:color="FFFFFF" w:fill="auto"/>
            <w:vAlign w:val="center"/>
          </w:tcPr>
          <w:p w14:paraId="3CA7EA70" w14:textId="77777777" w:rsidR="003A19A6" w:rsidRPr="00205C60" w:rsidRDefault="003A19A6" w:rsidP="003A19A6">
            <w:pPr>
              <w:jc w:val="center"/>
              <w:rPr>
                <w:rFonts w:ascii="Verdana" w:hAnsi="Verdana" w:cs="Arial"/>
                <w:snapToGrid w:val="0"/>
                <w:sz w:val="22"/>
                <w:szCs w:val="22"/>
              </w:rPr>
            </w:pPr>
          </w:p>
        </w:tc>
        <w:tc>
          <w:tcPr>
            <w:tcW w:w="1115" w:type="pct"/>
            <w:gridSpan w:val="4"/>
            <w:tcBorders>
              <w:top w:val="single" w:sz="4" w:space="0" w:color="auto"/>
              <w:left w:val="nil"/>
              <w:bottom w:val="single" w:sz="4" w:space="0" w:color="auto"/>
              <w:right w:val="nil"/>
            </w:tcBorders>
            <w:vAlign w:val="center"/>
          </w:tcPr>
          <w:p w14:paraId="3CA7EA71" w14:textId="06FF0F7F" w:rsidR="003A19A6" w:rsidRPr="00205C60" w:rsidRDefault="003A19A6" w:rsidP="003A19A6">
            <w:pPr>
              <w:jc w:val="center"/>
              <w:rPr>
                <w:rFonts w:ascii="Verdana" w:hAnsi="Verdana" w:cs="Arial"/>
                <w:snapToGrid w:val="0"/>
                <w:sz w:val="22"/>
                <w:szCs w:val="22"/>
              </w:rPr>
            </w:pPr>
            <w:r w:rsidRPr="00205C60">
              <w:rPr>
                <w:rFonts w:ascii="Verdana" w:hAnsi="Verdana" w:cs="Arial"/>
                <w:snapToGrid w:val="0"/>
                <w:sz w:val="22"/>
                <w:szCs w:val="22"/>
              </w:rPr>
              <w:t>472.286</w:t>
            </w:r>
          </w:p>
        </w:tc>
        <w:tc>
          <w:tcPr>
            <w:tcW w:w="148" w:type="pct"/>
            <w:tcBorders>
              <w:top w:val="single" w:sz="4" w:space="0" w:color="auto"/>
              <w:left w:val="nil"/>
              <w:bottom w:val="single" w:sz="4" w:space="0" w:color="auto"/>
              <w:right w:val="single" w:sz="4" w:space="0" w:color="auto"/>
            </w:tcBorders>
            <w:shd w:val="solid" w:color="FFFFFF" w:fill="auto"/>
            <w:vAlign w:val="center"/>
          </w:tcPr>
          <w:p w14:paraId="3CA7EA72" w14:textId="77777777" w:rsidR="003A19A6" w:rsidRPr="00205C60" w:rsidRDefault="003A19A6" w:rsidP="003A19A6">
            <w:pPr>
              <w:jc w:val="center"/>
              <w:rPr>
                <w:rFonts w:ascii="Verdana" w:hAnsi="Verdana" w:cs="Arial"/>
                <w:snapToGrid w:val="0"/>
                <w:sz w:val="22"/>
                <w:szCs w:val="22"/>
              </w:rPr>
            </w:pPr>
          </w:p>
        </w:tc>
        <w:tc>
          <w:tcPr>
            <w:tcW w:w="1607" w:type="pct"/>
            <w:tcBorders>
              <w:top w:val="single" w:sz="4" w:space="0" w:color="auto"/>
              <w:left w:val="single" w:sz="4" w:space="0" w:color="auto"/>
              <w:bottom w:val="single" w:sz="4" w:space="0" w:color="auto"/>
              <w:right w:val="single" w:sz="4" w:space="0" w:color="auto"/>
            </w:tcBorders>
            <w:shd w:val="solid" w:color="FFFFFF" w:fill="auto"/>
            <w:vAlign w:val="center"/>
          </w:tcPr>
          <w:p w14:paraId="3CA7EA73" w14:textId="288F5109" w:rsidR="003A19A6" w:rsidRPr="00205C60" w:rsidRDefault="003A19A6" w:rsidP="003A19A6">
            <w:pPr>
              <w:jc w:val="center"/>
              <w:rPr>
                <w:rFonts w:ascii="Verdana" w:hAnsi="Verdana" w:cs="Arial"/>
                <w:snapToGrid w:val="0"/>
                <w:sz w:val="22"/>
                <w:szCs w:val="22"/>
              </w:rPr>
            </w:pPr>
            <w:r w:rsidRPr="00205C60">
              <w:rPr>
                <w:rFonts w:ascii="Verdana" w:hAnsi="Verdana" w:cs="Arial"/>
                <w:snapToGrid w:val="0"/>
                <w:sz w:val="22"/>
                <w:szCs w:val="22"/>
              </w:rPr>
              <w:t>34</w:t>
            </w:r>
          </w:p>
        </w:tc>
      </w:tr>
      <w:tr w:rsidR="002B703F" w:rsidRPr="00205C60" w14:paraId="0B023D89" w14:textId="77777777" w:rsidTr="00C15518">
        <w:tblPrEx>
          <w:tblBorders>
            <w:top w:val="none" w:sz="0" w:space="0" w:color="auto"/>
            <w:left w:val="none" w:sz="0" w:space="0" w:color="auto"/>
            <w:bottom w:val="none" w:sz="0" w:space="0" w:color="auto"/>
            <w:right w:val="none" w:sz="0" w:space="0" w:color="auto"/>
          </w:tblBorders>
        </w:tblPrEx>
        <w:trPr>
          <w:trHeight w:val="257"/>
          <w:jc w:val="center"/>
        </w:trPr>
        <w:tc>
          <w:tcPr>
            <w:tcW w:w="767" w:type="pct"/>
            <w:tcBorders>
              <w:top w:val="single" w:sz="4" w:space="0" w:color="auto"/>
              <w:left w:val="single" w:sz="4" w:space="0" w:color="auto"/>
              <w:bottom w:val="single" w:sz="4" w:space="0" w:color="auto"/>
              <w:right w:val="single" w:sz="4" w:space="0" w:color="auto"/>
            </w:tcBorders>
            <w:shd w:val="solid" w:color="FFFFFF" w:fill="auto"/>
            <w:vAlign w:val="center"/>
          </w:tcPr>
          <w:p w14:paraId="15D20320" w14:textId="1EAB8AB4" w:rsidR="002B703F" w:rsidRPr="00205C60" w:rsidRDefault="002B703F" w:rsidP="006E18E7">
            <w:pPr>
              <w:jc w:val="center"/>
              <w:rPr>
                <w:rFonts w:ascii="Verdana" w:hAnsi="Verdana" w:cs="Arial"/>
                <w:snapToGrid w:val="0"/>
                <w:sz w:val="22"/>
                <w:szCs w:val="22"/>
              </w:rPr>
            </w:pPr>
            <w:r w:rsidRPr="00205C60">
              <w:rPr>
                <w:rFonts w:ascii="Verdana" w:hAnsi="Verdana" w:cs="Arial"/>
                <w:snapToGrid w:val="0"/>
                <w:sz w:val="22"/>
                <w:szCs w:val="22"/>
              </w:rPr>
              <w:t>202</w:t>
            </w:r>
            <w:r w:rsidR="003A19A6" w:rsidRPr="00205C60">
              <w:rPr>
                <w:rFonts w:ascii="Verdana" w:hAnsi="Verdana" w:cs="Arial"/>
                <w:snapToGrid w:val="0"/>
                <w:sz w:val="22"/>
                <w:szCs w:val="22"/>
              </w:rPr>
              <w:t>2</w:t>
            </w:r>
          </w:p>
        </w:tc>
        <w:tc>
          <w:tcPr>
            <w:tcW w:w="1163" w:type="pct"/>
            <w:tcBorders>
              <w:top w:val="single" w:sz="4" w:space="0" w:color="auto"/>
              <w:left w:val="single" w:sz="4" w:space="0" w:color="auto"/>
              <w:bottom w:val="single" w:sz="4" w:space="0" w:color="auto"/>
              <w:right w:val="single" w:sz="4" w:space="0" w:color="auto"/>
            </w:tcBorders>
            <w:shd w:val="solid" w:color="FFFFFF" w:fill="auto"/>
            <w:vAlign w:val="center"/>
          </w:tcPr>
          <w:p w14:paraId="34CEAF47" w14:textId="2CFAB369" w:rsidR="002B703F" w:rsidRPr="00205C60" w:rsidRDefault="003E6917" w:rsidP="00E20EB6">
            <w:pPr>
              <w:jc w:val="center"/>
              <w:rPr>
                <w:rFonts w:ascii="Verdana" w:hAnsi="Verdana" w:cs="Arial"/>
                <w:snapToGrid w:val="0"/>
                <w:sz w:val="22"/>
                <w:szCs w:val="22"/>
              </w:rPr>
            </w:pPr>
            <w:r w:rsidRPr="00205C60">
              <w:rPr>
                <w:rFonts w:ascii="Verdana" w:hAnsi="Verdana" w:cs="Arial"/>
                <w:snapToGrid w:val="0"/>
                <w:sz w:val="22"/>
                <w:szCs w:val="22"/>
              </w:rPr>
              <w:t>1</w:t>
            </w:r>
            <w:r w:rsidR="0059546F" w:rsidRPr="00205C60">
              <w:rPr>
                <w:rFonts w:ascii="Verdana" w:hAnsi="Verdana" w:cs="Arial"/>
                <w:snapToGrid w:val="0"/>
                <w:sz w:val="22"/>
                <w:szCs w:val="22"/>
              </w:rPr>
              <w:t>3</w:t>
            </w:r>
            <w:r w:rsidRPr="00205C60">
              <w:rPr>
                <w:rFonts w:ascii="Verdana" w:hAnsi="Verdana" w:cs="Arial"/>
                <w:snapToGrid w:val="0"/>
                <w:sz w:val="22"/>
                <w:szCs w:val="22"/>
              </w:rPr>
              <w:t>.</w:t>
            </w:r>
            <w:r w:rsidR="0059546F" w:rsidRPr="00205C60">
              <w:rPr>
                <w:rFonts w:ascii="Verdana" w:hAnsi="Verdana" w:cs="Arial"/>
                <w:snapToGrid w:val="0"/>
                <w:sz w:val="22"/>
                <w:szCs w:val="22"/>
              </w:rPr>
              <w:t>003</w:t>
            </w:r>
            <w:r w:rsidRPr="00205C60">
              <w:rPr>
                <w:rFonts w:ascii="Verdana" w:hAnsi="Verdana" w:cs="Arial"/>
                <w:snapToGrid w:val="0"/>
                <w:sz w:val="22"/>
                <w:szCs w:val="22"/>
              </w:rPr>
              <w:t>.</w:t>
            </w:r>
            <w:r w:rsidR="0059546F" w:rsidRPr="00205C60">
              <w:rPr>
                <w:rFonts w:ascii="Verdana" w:hAnsi="Verdana" w:cs="Arial"/>
                <w:snapToGrid w:val="0"/>
                <w:sz w:val="22"/>
                <w:szCs w:val="22"/>
              </w:rPr>
              <w:t>252</w:t>
            </w:r>
          </w:p>
        </w:tc>
        <w:tc>
          <w:tcPr>
            <w:tcW w:w="200" w:type="pct"/>
            <w:tcBorders>
              <w:top w:val="single" w:sz="4" w:space="0" w:color="auto"/>
              <w:left w:val="single" w:sz="4" w:space="0" w:color="auto"/>
              <w:bottom w:val="single" w:sz="4" w:space="0" w:color="auto"/>
              <w:right w:val="nil"/>
            </w:tcBorders>
            <w:shd w:val="solid" w:color="FFFFFF" w:fill="auto"/>
            <w:vAlign w:val="center"/>
          </w:tcPr>
          <w:p w14:paraId="782709A9" w14:textId="77777777" w:rsidR="002B703F" w:rsidRPr="00205C60" w:rsidRDefault="002B703F" w:rsidP="006E18E7">
            <w:pPr>
              <w:jc w:val="center"/>
              <w:rPr>
                <w:rFonts w:ascii="Verdana" w:hAnsi="Verdana" w:cs="Arial"/>
                <w:snapToGrid w:val="0"/>
                <w:sz w:val="22"/>
                <w:szCs w:val="22"/>
              </w:rPr>
            </w:pPr>
          </w:p>
        </w:tc>
        <w:tc>
          <w:tcPr>
            <w:tcW w:w="1115" w:type="pct"/>
            <w:gridSpan w:val="4"/>
            <w:tcBorders>
              <w:top w:val="single" w:sz="4" w:space="0" w:color="auto"/>
              <w:left w:val="nil"/>
              <w:bottom w:val="single" w:sz="4" w:space="0" w:color="auto"/>
              <w:right w:val="nil"/>
            </w:tcBorders>
            <w:vAlign w:val="center"/>
          </w:tcPr>
          <w:p w14:paraId="0CAA948E" w14:textId="7BB4665A" w:rsidR="002B703F" w:rsidRPr="00205C60" w:rsidRDefault="002365D0" w:rsidP="006E18E7">
            <w:pPr>
              <w:jc w:val="center"/>
              <w:rPr>
                <w:rFonts w:ascii="Verdana" w:hAnsi="Verdana" w:cs="Arial"/>
                <w:snapToGrid w:val="0"/>
                <w:sz w:val="22"/>
                <w:szCs w:val="22"/>
              </w:rPr>
            </w:pPr>
            <w:r w:rsidRPr="00205C60">
              <w:rPr>
                <w:rFonts w:ascii="Verdana" w:hAnsi="Verdana" w:cs="Arial"/>
                <w:snapToGrid w:val="0"/>
                <w:sz w:val="22"/>
                <w:szCs w:val="22"/>
              </w:rPr>
              <w:t>4</w:t>
            </w:r>
            <w:r w:rsidR="0059546F" w:rsidRPr="00205C60">
              <w:rPr>
                <w:rFonts w:ascii="Verdana" w:hAnsi="Verdana" w:cs="Arial"/>
                <w:snapToGrid w:val="0"/>
                <w:sz w:val="22"/>
                <w:szCs w:val="22"/>
              </w:rPr>
              <w:t>91</w:t>
            </w:r>
            <w:r w:rsidRPr="00205C60">
              <w:rPr>
                <w:rFonts w:ascii="Verdana" w:hAnsi="Verdana" w:cs="Arial"/>
                <w:snapToGrid w:val="0"/>
                <w:sz w:val="22"/>
                <w:szCs w:val="22"/>
              </w:rPr>
              <w:t>.2</w:t>
            </w:r>
            <w:r w:rsidR="00B93B17" w:rsidRPr="00205C60">
              <w:rPr>
                <w:rFonts w:ascii="Verdana" w:hAnsi="Verdana" w:cs="Arial"/>
                <w:snapToGrid w:val="0"/>
                <w:sz w:val="22"/>
                <w:szCs w:val="22"/>
              </w:rPr>
              <w:t>04</w:t>
            </w:r>
          </w:p>
        </w:tc>
        <w:tc>
          <w:tcPr>
            <w:tcW w:w="148" w:type="pct"/>
            <w:tcBorders>
              <w:top w:val="single" w:sz="4" w:space="0" w:color="auto"/>
              <w:left w:val="nil"/>
              <w:bottom w:val="single" w:sz="4" w:space="0" w:color="auto"/>
              <w:right w:val="single" w:sz="4" w:space="0" w:color="auto"/>
            </w:tcBorders>
            <w:shd w:val="solid" w:color="FFFFFF" w:fill="auto"/>
            <w:vAlign w:val="center"/>
          </w:tcPr>
          <w:p w14:paraId="0711BE51" w14:textId="77777777" w:rsidR="002B703F" w:rsidRPr="00205C60" w:rsidRDefault="002B703F" w:rsidP="006E18E7">
            <w:pPr>
              <w:jc w:val="center"/>
              <w:rPr>
                <w:rFonts w:ascii="Verdana" w:hAnsi="Verdana" w:cs="Arial"/>
                <w:snapToGrid w:val="0"/>
                <w:sz w:val="22"/>
                <w:szCs w:val="22"/>
              </w:rPr>
            </w:pPr>
          </w:p>
        </w:tc>
        <w:tc>
          <w:tcPr>
            <w:tcW w:w="1607" w:type="pct"/>
            <w:tcBorders>
              <w:top w:val="single" w:sz="4" w:space="0" w:color="auto"/>
              <w:left w:val="single" w:sz="4" w:space="0" w:color="auto"/>
              <w:bottom w:val="single" w:sz="4" w:space="0" w:color="auto"/>
              <w:right w:val="single" w:sz="4" w:space="0" w:color="auto"/>
            </w:tcBorders>
            <w:shd w:val="solid" w:color="FFFFFF" w:fill="auto"/>
            <w:vAlign w:val="center"/>
          </w:tcPr>
          <w:p w14:paraId="4EBEDBC7" w14:textId="4DFF883A" w:rsidR="002B703F" w:rsidRPr="00205C60" w:rsidRDefault="00B93B17" w:rsidP="005129D1">
            <w:pPr>
              <w:jc w:val="center"/>
              <w:rPr>
                <w:rFonts w:ascii="Verdana" w:hAnsi="Verdana" w:cs="Arial"/>
                <w:snapToGrid w:val="0"/>
                <w:sz w:val="22"/>
                <w:szCs w:val="22"/>
              </w:rPr>
            </w:pPr>
            <w:r w:rsidRPr="00205C60">
              <w:rPr>
                <w:rFonts w:ascii="Verdana" w:hAnsi="Verdana" w:cs="Arial"/>
                <w:snapToGrid w:val="0"/>
                <w:sz w:val="22"/>
                <w:szCs w:val="22"/>
              </w:rPr>
              <w:t>26</w:t>
            </w:r>
          </w:p>
        </w:tc>
      </w:tr>
    </w:tbl>
    <w:p w14:paraId="3CA7EA75" w14:textId="77777777" w:rsidR="00291919" w:rsidRPr="00205C60" w:rsidRDefault="00291919" w:rsidP="00524BE5">
      <w:pPr>
        <w:autoSpaceDE w:val="0"/>
        <w:autoSpaceDN w:val="0"/>
        <w:adjustRightInd w:val="0"/>
        <w:jc w:val="both"/>
        <w:rPr>
          <w:rFonts w:ascii="Verdana" w:hAnsi="Verdana" w:cs="Arial"/>
          <w:sz w:val="22"/>
          <w:szCs w:val="22"/>
          <w:lang w:val="es-CR" w:eastAsia="es-CR"/>
        </w:rPr>
      </w:pPr>
    </w:p>
    <w:p w14:paraId="3CA7EA76" w14:textId="267A7CBE" w:rsidR="00560275" w:rsidRDefault="008043CD" w:rsidP="00560275">
      <w:pPr>
        <w:autoSpaceDE w:val="0"/>
        <w:autoSpaceDN w:val="0"/>
        <w:adjustRightInd w:val="0"/>
        <w:jc w:val="both"/>
        <w:rPr>
          <w:rFonts w:ascii="Verdana" w:hAnsi="Verdana" w:cs="Arial"/>
          <w:sz w:val="22"/>
          <w:szCs w:val="22"/>
          <w:lang w:val="es-CR" w:eastAsia="es-CR"/>
        </w:rPr>
      </w:pPr>
      <w:r w:rsidRPr="00205C60">
        <w:rPr>
          <w:rFonts w:ascii="Verdana" w:hAnsi="Verdana" w:cs="Arial"/>
          <w:sz w:val="22"/>
          <w:szCs w:val="22"/>
          <w:lang w:val="es-CR" w:eastAsia="es-CR"/>
        </w:rPr>
        <w:t xml:space="preserve">Para el año </w:t>
      </w:r>
      <w:r w:rsidR="00ED541E" w:rsidRPr="00205C60">
        <w:rPr>
          <w:rFonts w:ascii="Verdana" w:hAnsi="Verdana" w:cs="Arial"/>
          <w:sz w:val="22"/>
          <w:szCs w:val="22"/>
          <w:lang w:val="es-CR" w:eastAsia="es-CR"/>
        </w:rPr>
        <w:t>202</w:t>
      </w:r>
      <w:r w:rsidR="00A833A7" w:rsidRPr="00205C60">
        <w:rPr>
          <w:rFonts w:ascii="Verdana" w:hAnsi="Verdana" w:cs="Arial"/>
          <w:sz w:val="22"/>
          <w:szCs w:val="22"/>
          <w:lang w:val="es-CR" w:eastAsia="es-CR"/>
        </w:rPr>
        <w:t>2</w:t>
      </w:r>
      <w:r w:rsidR="00ED541E" w:rsidRPr="00205C60">
        <w:rPr>
          <w:rFonts w:ascii="Verdana" w:hAnsi="Verdana" w:cs="Arial"/>
          <w:sz w:val="22"/>
          <w:szCs w:val="22"/>
          <w:lang w:val="es-CR" w:eastAsia="es-CR"/>
        </w:rPr>
        <w:t xml:space="preserve"> el</w:t>
      </w:r>
      <w:r w:rsidR="008E0455" w:rsidRPr="00205C60">
        <w:rPr>
          <w:rFonts w:ascii="Verdana" w:hAnsi="Verdana" w:cs="Arial"/>
          <w:sz w:val="22"/>
          <w:szCs w:val="22"/>
          <w:lang w:val="es-CR" w:eastAsia="es-CR"/>
        </w:rPr>
        <w:t xml:space="preserve"> resultado del indicador</w:t>
      </w:r>
      <w:r w:rsidR="00AC461D" w:rsidRPr="00205C60">
        <w:rPr>
          <w:rFonts w:ascii="Verdana" w:hAnsi="Verdana" w:cs="Arial"/>
          <w:sz w:val="22"/>
          <w:szCs w:val="22"/>
          <w:lang w:val="es-CR" w:eastAsia="es-CR"/>
        </w:rPr>
        <w:t xml:space="preserve"> muestra</w:t>
      </w:r>
      <w:r w:rsidR="00ED541E" w:rsidRPr="00205C60">
        <w:rPr>
          <w:rFonts w:ascii="Verdana" w:hAnsi="Verdana" w:cs="Arial"/>
          <w:sz w:val="22"/>
          <w:szCs w:val="22"/>
          <w:lang w:val="es-CR" w:eastAsia="es-CR"/>
        </w:rPr>
        <w:t xml:space="preserve">, </w:t>
      </w:r>
      <w:r w:rsidR="00AC461D" w:rsidRPr="00205C60">
        <w:rPr>
          <w:rFonts w:ascii="Verdana" w:hAnsi="Verdana" w:cs="Arial"/>
          <w:sz w:val="22"/>
          <w:szCs w:val="22"/>
          <w:lang w:val="es-CR" w:eastAsia="es-CR"/>
        </w:rPr>
        <w:t xml:space="preserve">que la CNFL </w:t>
      </w:r>
      <w:r w:rsidR="00091A76" w:rsidRPr="00205C60">
        <w:rPr>
          <w:rFonts w:ascii="Verdana" w:hAnsi="Verdana" w:cs="Arial"/>
          <w:sz w:val="22"/>
          <w:szCs w:val="22"/>
          <w:lang w:val="es-CR" w:eastAsia="es-CR"/>
        </w:rPr>
        <w:t>tarda en</w:t>
      </w:r>
      <w:r w:rsidR="002807E7" w:rsidRPr="00205C60">
        <w:rPr>
          <w:rFonts w:ascii="Verdana" w:hAnsi="Verdana" w:cs="Arial"/>
          <w:sz w:val="22"/>
          <w:szCs w:val="22"/>
          <w:lang w:val="es-CR" w:eastAsia="es-CR"/>
        </w:rPr>
        <w:t xml:space="preserve"> </w:t>
      </w:r>
      <w:r w:rsidR="00AC461D" w:rsidRPr="00205C60">
        <w:rPr>
          <w:rFonts w:ascii="Verdana" w:hAnsi="Verdana" w:cs="Arial"/>
          <w:sz w:val="22"/>
          <w:szCs w:val="22"/>
          <w:lang w:val="es-CR" w:eastAsia="es-CR"/>
        </w:rPr>
        <w:t xml:space="preserve">promedió </w:t>
      </w:r>
      <w:r w:rsidR="00A833A7" w:rsidRPr="00205C60">
        <w:rPr>
          <w:rFonts w:ascii="Verdana" w:hAnsi="Verdana" w:cs="Arial"/>
          <w:sz w:val="22"/>
          <w:szCs w:val="22"/>
          <w:lang w:val="es-CR" w:eastAsia="es-CR"/>
        </w:rPr>
        <w:t>26</w:t>
      </w:r>
      <w:r w:rsidR="00AC461D" w:rsidRPr="00205C60">
        <w:rPr>
          <w:rFonts w:ascii="Verdana" w:hAnsi="Verdana" w:cs="Arial"/>
          <w:sz w:val="22"/>
          <w:szCs w:val="22"/>
          <w:lang w:val="es-CR" w:eastAsia="es-CR"/>
        </w:rPr>
        <w:t xml:space="preserve"> días en realizar sus cuentas por pagar</w:t>
      </w:r>
      <w:r w:rsidR="005F67D7" w:rsidRPr="00205C60">
        <w:rPr>
          <w:rFonts w:ascii="Verdana" w:hAnsi="Verdana" w:cs="Arial"/>
          <w:sz w:val="22"/>
          <w:szCs w:val="22"/>
          <w:lang w:val="es-CR" w:eastAsia="es-CR"/>
        </w:rPr>
        <w:t xml:space="preserve">, </w:t>
      </w:r>
      <w:r w:rsidR="00382671" w:rsidRPr="00205C60">
        <w:rPr>
          <w:rFonts w:ascii="Verdana" w:hAnsi="Verdana" w:cs="Arial"/>
          <w:sz w:val="22"/>
          <w:szCs w:val="22"/>
          <w:lang w:val="es-CR" w:eastAsia="es-CR"/>
        </w:rPr>
        <w:t>es decir los pagos se realizan en un periodo menor a un mes</w:t>
      </w:r>
      <w:r w:rsidR="00560275" w:rsidRPr="00205C60">
        <w:rPr>
          <w:rFonts w:ascii="Verdana" w:hAnsi="Verdana" w:cs="Arial"/>
          <w:sz w:val="22"/>
          <w:szCs w:val="22"/>
          <w:lang w:val="es-CR" w:eastAsia="es-CR"/>
        </w:rPr>
        <w:t>.</w:t>
      </w:r>
    </w:p>
    <w:p w14:paraId="5D2FD6B9" w14:textId="77777777" w:rsidR="00951D18" w:rsidRPr="00205C60" w:rsidRDefault="00951D18" w:rsidP="00560275">
      <w:pPr>
        <w:autoSpaceDE w:val="0"/>
        <w:autoSpaceDN w:val="0"/>
        <w:adjustRightInd w:val="0"/>
        <w:jc w:val="both"/>
        <w:rPr>
          <w:rFonts w:ascii="Verdana" w:hAnsi="Verdana" w:cs="Arial"/>
          <w:sz w:val="22"/>
          <w:szCs w:val="22"/>
          <w:lang w:val="es-CR" w:eastAsia="es-CR"/>
        </w:rPr>
      </w:pPr>
    </w:p>
    <w:p w14:paraId="3CA7EA79" w14:textId="77777777" w:rsidR="006E18E7" w:rsidRPr="00205C60" w:rsidRDefault="00B44125" w:rsidP="00882F32">
      <w:pPr>
        <w:pStyle w:val="Prrafodelista"/>
        <w:numPr>
          <w:ilvl w:val="0"/>
          <w:numId w:val="27"/>
        </w:numPr>
        <w:rPr>
          <w:rFonts w:ascii="Verdana" w:hAnsi="Verdana" w:cs="Arial"/>
          <w:b/>
          <w:sz w:val="22"/>
          <w:szCs w:val="22"/>
        </w:rPr>
      </w:pPr>
      <w:r w:rsidRPr="00205C60">
        <w:rPr>
          <w:rFonts w:ascii="Verdana" w:hAnsi="Verdana" w:cs="Arial"/>
          <w:b/>
          <w:sz w:val="22"/>
          <w:szCs w:val="22"/>
        </w:rPr>
        <w:t>Morosidad de cuentas por cobrar</w:t>
      </w:r>
    </w:p>
    <w:p w14:paraId="3CA7EA7A" w14:textId="77777777" w:rsidR="00BA4E47" w:rsidRPr="00205C60" w:rsidRDefault="00BA4E47" w:rsidP="00BA4E47">
      <w:pPr>
        <w:ind w:left="1080"/>
        <w:jc w:val="both"/>
        <w:rPr>
          <w:rFonts w:ascii="Verdana" w:hAnsi="Verdana" w:cs="Arial"/>
          <w:b/>
          <w:sz w:val="22"/>
          <w:szCs w:val="22"/>
          <w:u w:val="single"/>
        </w:rPr>
      </w:pPr>
    </w:p>
    <w:p w14:paraId="3CA7EA7B" w14:textId="77777777" w:rsidR="00B44125" w:rsidRPr="00205C60" w:rsidRDefault="006E18E7" w:rsidP="006E18E7">
      <w:pPr>
        <w:jc w:val="both"/>
        <w:rPr>
          <w:rFonts w:ascii="Verdana" w:hAnsi="Verdana" w:cs="Arial"/>
          <w:sz w:val="22"/>
          <w:szCs w:val="22"/>
        </w:rPr>
      </w:pPr>
      <w:r w:rsidRPr="00205C60">
        <w:rPr>
          <w:rFonts w:ascii="Verdana" w:hAnsi="Verdana" w:cs="Arial"/>
          <w:sz w:val="22"/>
          <w:szCs w:val="22"/>
        </w:rPr>
        <w:t>I</w:t>
      </w:r>
      <w:r w:rsidR="000611BD" w:rsidRPr="00205C60">
        <w:rPr>
          <w:rFonts w:ascii="Verdana" w:hAnsi="Verdana" w:cs="Arial"/>
          <w:sz w:val="22"/>
          <w:szCs w:val="22"/>
        </w:rPr>
        <w:t>ncluye solamente la facturación p</w:t>
      </w:r>
      <w:r w:rsidR="00FE2389" w:rsidRPr="00205C60">
        <w:rPr>
          <w:rFonts w:ascii="Verdana" w:hAnsi="Verdana" w:cs="Arial"/>
          <w:sz w:val="22"/>
          <w:szCs w:val="22"/>
        </w:rPr>
        <w:t>endiente p</w:t>
      </w:r>
      <w:r w:rsidR="000611BD" w:rsidRPr="00205C60">
        <w:rPr>
          <w:rFonts w:ascii="Verdana" w:hAnsi="Verdana" w:cs="Arial"/>
          <w:sz w:val="22"/>
          <w:szCs w:val="22"/>
        </w:rPr>
        <w:t xml:space="preserve">or </w:t>
      </w:r>
      <w:r w:rsidR="00FE0BA5" w:rsidRPr="00205C60">
        <w:rPr>
          <w:rFonts w:ascii="Verdana" w:hAnsi="Verdana" w:cs="Arial"/>
          <w:sz w:val="22"/>
          <w:szCs w:val="22"/>
        </w:rPr>
        <w:t>consumo de energía</w:t>
      </w:r>
      <w:r w:rsidR="00FF4E56" w:rsidRPr="00205C60">
        <w:rPr>
          <w:rFonts w:ascii="Verdana" w:hAnsi="Verdana" w:cs="Arial"/>
          <w:sz w:val="22"/>
          <w:szCs w:val="22"/>
        </w:rPr>
        <w:t>.</w:t>
      </w:r>
    </w:p>
    <w:p w14:paraId="3CA7EA7C" w14:textId="77777777" w:rsidR="00FF4E56" w:rsidRPr="00205C60" w:rsidRDefault="00FF4E56" w:rsidP="006E18E7">
      <w:pPr>
        <w:jc w:val="both"/>
        <w:rPr>
          <w:rFonts w:ascii="Verdana" w:hAnsi="Verdana" w:cs="Arial"/>
          <w:b/>
          <w:sz w:val="22"/>
          <w:szCs w:val="22"/>
          <w:u w:val="single"/>
        </w:rPr>
      </w:pPr>
    </w:p>
    <w:p w14:paraId="3CA7EA80" w14:textId="3ADB5958" w:rsidR="001712F0" w:rsidRPr="00205C60" w:rsidRDefault="001712F0" w:rsidP="001712F0">
      <w:pPr>
        <w:tabs>
          <w:tab w:val="left" w:pos="1440"/>
          <w:tab w:val="left" w:pos="1800"/>
          <w:tab w:val="right" w:pos="6660"/>
          <w:tab w:val="right" w:pos="8460"/>
        </w:tabs>
        <w:autoSpaceDE w:val="0"/>
        <w:autoSpaceDN w:val="0"/>
        <w:adjustRightInd w:val="0"/>
        <w:ind w:left="1440" w:hanging="720"/>
        <w:rPr>
          <w:rFonts w:ascii="Verdana" w:hAnsi="Verdana" w:cs="Arial"/>
          <w:b/>
          <w:i/>
          <w:sz w:val="22"/>
          <w:szCs w:val="22"/>
          <w:lang w:val="es-CR"/>
        </w:rPr>
      </w:pPr>
      <w:r w:rsidRPr="00205C60">
        <w:rPr>
          <w:rFonts w:ascii="Verdana" w:hAnsi="Verdana" w:cs="Arial"/>
          <w:b/>
          <w:i/>
          <w:sz w:val="22"/>
          <w:szCs w:val="22"/>
          <w:lang w:val="es-CR"/>
        </w:rPr>
        <w:t>Evaluación de pérdida crediticia esperada para clientes comerciales al 31 de diciembre del 202</w:t>
      </w:r>
      <w:r w:rsidR="00F43386" w:rsidRPr="00205C60">
        <w:rPr>
          <w:rFonts w:ascii="Verdana" w:hAnsi="Verdana" w:cs="Arial"/>
          <w:b/>
          <w:i/>
          <w:sz w:val="22"/>
          <w:szCs w:val="22"/>
          <w:lang w:val="es-CR"/>
        </w:rPr>
        <w:t>2</w:t>
      </w:r>
      <w:r w:rsidRPr="00205C60">
        <w:rPr>
          <w:rFonts w:ascii="Verdana" w:hAnsi="Verdana" w:cs="Arial"/>
          <w:b/>
          <w:i/>
          <w:sz w:val="22"/>
          <w:szCs w:val="22"/>
          <w:lang w:val="es-CR"/>
        </w:rPr>
        <w:t xml:space="preserve"> y del 20</w:t>
      </w:r>
      <w:r w:rsidR="002D01CE" w:rsidRPr="00205C60">
        <w:rPr>
          <w:rFonts w:ascii="Verdana" w:hAnsi="Verdana" w:cs="Arial"/>
          <w:b/>
          <w:i/>
          <w:sz w:val="22"/>
          <w:szCs w:val="22"/>
          <w:lang w:val="es-CR"/>
        </w:rPr>
        <w:t>2</w:t>
      </w:r>
      <w:r w:rsidR="00F43386" w:rsidRPr="00205C60">
        <w:rPr>
          <w:rFonts w:ascii="Verdana" w:hAnsi="Verdana" w:cs="Arial"/>
          <w:b/>
          <w:i/>
          <w:sz w:val="22"/>
          <w:szCs w:val="22"/>
          <w:lang w:val="es-CR"/>
        </w:rPr>
        <w:t>1</w:t>
      </w:r>
    </w:p>
    <w:p w14:paraId="3CA7EA81" w14:textId="77777777" w:rsidR="001712F0" w:rsidRPr="00205C60" w:rsidRDefault="001712F0" w:rsidP="001712F0">
      <w:pPr>
        <w:autoSpaceDE w:val="0"/>
        <w:autoSpaceDN w:val="0"/>
        <w:rPr>
          <w:rFonts w:ascii="Verdana" w:hAnsi="Verdana"/>
          <w:sz w:val="22"/>
          <w:szCs w:val="22"/>
          <w:lang w:val="es-PA"/>
        </w:rPr>
      </w:pPr>
    </w:p>
    <w:p w14:paraId="3CA7EA82" w14:textId="77777777" w:rsidR="001712F0" w:rsidRPr="00205C60" w:rsidRDefault="001712F0" w:rsidP="001712F0">
      <w:pPr>
        <w:ind w:left="709"/>
        <w:jc w:val="both"/>
        <w:rPr>
          <w:rFonts w:ascii="Verdana" w:hAnsi="Verdana" w:cs="Arial"/>
          <w:sz w:val="22"/>
          <w:szCs w:val="22"/>
        </w:rPr>
      </w:pPr>
      <w:r w:rsidRPr="00205C60">
        <w:rPr>
          <w:rFonts w:ascii="Verdana" w:hAnsi="Verdana" w:cs="Arial"/>
          <w:sz w:val="22"/>
          <w:szCs w:val="22"/>
        </w:rPr>
        <w:t xml:space="preserve">Las pérdidas crediticias esperadas se calcularon con base en la experiencia de pérdida crediticia real durante los últimos dos años. Se realizó el cálculo de las tasas de pérdida crediticia esperada de forma separada por grupos de riesgo de crédito y se han definido en función de los segmentos comerciales. </w:t>
      </w:r>
    </w:p>
    <w:p w14:paraId="3CA7EA83" w14:textId="77777777" w:rsidR="001712F0" w:rsidRPr="00205C60" w:rsidRDefault="001712F0" w:rsidP="001712F0">
      <w:pPr>
        <w:ind w:left="1418" w:hanging="709"/>
        <w:rPr>
          <w:rFonts w:ascii="Verdana" w:hAnsi="Verdana"/>
          <w:sz w:val="22"/>
          <w:szCs w:val="22"/>
        </w:rPr>
      </w:pPr>
    </w:p>
    <w:p w14:paraId="3CA7EA84" w14:textId="77777777" w:rsidR="001712F0" w:rsidRPr="00205C60" w:rsidRDefault="001712F0" w:rsidP="001712F0">
      <w:pPr>
        <w:ind w:left="709"/>
        <w:jc w:val="both"/>
        <w:rPr>
          <w:rFonts w:ascii="Verdana" w:hAnsi="Verdana" w:cs="Arial"/>
          <w:sz w:val="22"/>
          <w:szCs w:val="22"/>
        </w:rPr>
      </w:pPr>
      <w:r w:rsidRPr="00205C60">
        <w:rPr>
          <w:rFonts w:ascii="Verdana" w:hAnsi="Verdana" w:cs="Arial"/>
          <w:sz w:val="22"/>
          <w:szCs w:val="22"/>
        </w:rPr>
        <w:t>Las exposiciones se deben agrupar de manera apropiada en función de las características de crédito compartidas que se espera que reaccionen al entorno actual.</w:t>
      </w:r>
    </w:p>
    <w:p w14:paraId="3CA7EA85" w14:textId="77777777" w:rsidR="001712F0" w:rsidRPr="00205C60" w:rsidRDefault="001712F0" w:rsidP="001712F0">
      <w:pPr>
        <w:ind w:left="1418" w:hanging="709"/>
        <w:jc w:val="both"/>
        <w:rPr>
          <w:rFonts w:ascii="Verdana" w:hAnsi="Verdana" w:cs="Arial"/>
          <w:sz w:val="22"/>
          <w:szCs w:val="22"/>
        </w:rPr>
      </w:pPr>
    </w:p>
    <w:p w14:paraId="30699636" w14:textId="6B967139" w:rsidR="00A021E4" w:rsidRPr="00205C60" w:rsidRDefault="001712F0" w:rsidP="001712F0">
      <w:pPr>
        <w:pStyle w:val="Textosinformato"/>
        <w:tabs>
          <w:tab w:val="left" w:pos="1350"/>
        </w:tabs>
        <w:ind w:left="720"/>
        <w:jc w:val="both"/>
        <w:rPr>
          <w:rFonts w:ascii="Verdana" w:hAnsi="Verdana" w:cs="Arial"/>
          <w:sz w:val="22"/>
          <w:szCs w:val="22"/>
        </w:rPr>
      </w:pPr>
      <w:r w:rsidRPr="00205C60">
        <w:rPr>
          <w:rFonts w:ascii="Verdana" w:hAnsi="Verdana" w:cs="Arial"/>
          <w:sz w:val="22"/>
          <w:szCs w:val="22"/>
        </w:rPr>
        <w:t>La</w:t>
      </w:r>
      <w:r w:rsidR="00994891" w:rsidRPr="00205C60">
        <w:rPr>
          <w:rFonts w:ascii="Verdana" w:hAnsi="Verdana" w:cs="Arial"/>
          <w:sz w:val="22"/>
          <w:szCs w:val="22"/>
        </w:rPr>
        <w:t xml:space="preserve"> </w:t>
      </w:r>
      <w:r w:rsidRPr="00205C60">
        <w:rPr>
          <w:rFonts w:ascii="Verdana" w:hAnsi="Verdana" w:cs="Arial"/>
          <w:sz w:val="22"/>
          <w:szCs w:val="22"/>
        </w:rPr>
        <w:t xml:space="preserve">tabla a continuación </w:t>
      </w:r>
      <w:r w:rsidR="00994891" w:rsidRPr="00205C60">
        <w:rPr>
          <w:rFonts w:ascii="Verdana" w:hAnsi="Verdana" w:cs="Arial"/>
          <w:sz w:val="22"/>
          <w:szCs w:val="22"/>
        </w:rPr>
        <w:t>provee</w:t>
      </w:r>
      <w:r w:rsidR="00A55172" w:rsidRPr="00205C60">
        <w:rPr>
          <w:rFonts w:ascii="Verdana" w:hAnsi="Verdana" w:cs="Arial"/>
          <w:sz w:val="22"/>
          <w:szCs w:val="22"/>
        </w:rPr>
        <w:t xml:space="preserve"> </w:t>
      </w:r>
      <w:r w:rsidRPr="00205C60">
        <w:rPr>
          <w:rFonts w:ascii="Verdana" w:hAnsi="Verdana" w:cs="Arial"/>
          <w:sz w:val="22"/>
          <w:szCs w:val="22"/>
        </w:rPr>
        <w:t>información sobre la exposición al riesgo de crédito y las pérdidas crediticias esperadas para los deudores comerciales y activos del contrato</w:t>
      </w:r>
      <w:r w:rsidR="00A55172" w:rsidRPr="00205C60">
        <w:rPr>
          <w:rFonts w:ascii="Verdana" w:hAnsi="Verdana" w:cs="Arial"/>
          <w:sz w:val="22"/>
          <w:szCs w:val="22"/>
        </w:rPr>
        <w:t xml:space="preserve">, </w:t>
      </w:r>
      <w:r w:rsidR="001636AA" w:rsidRPr="00205C60">
        <w:rPr>
          <w:rFonts w:ascii="Verdana" w:hAnsi="Verdana" w:cs="Arial"/>
          <w:sz w:val="22"/>
          <w:szCs w:val="22"/>
        </w:rPr>
        <w:t xml:space="preserve">al </w:t>
      </w:r>
      <w:r w:rsidRPr="00205C60">
        <w:rPr>
          <w:rFonts w:ascii="Verdana" w:hAnsi="Verdana" w:cs="Arial"/>
          <w:sz w:val="22"/>
          <w:szCs w:val="22"/>
        </w:rPr>
        <w:t>31 de diciembre de 202</w:t>
      </w:r>
      <w:r w:rsidR="00492CCD" w:rsidRPr="00205C60">
        <w:rPr>
          <w:rFonts w:ascii="Verdana" w:hAnsi="Verdana" w:cs="Arial"/>
          <w:sz w:val="22"/>
          <w:szCs w:val="22"/>
        </w:rPr>
        <w:t>2</w:t>
      </w:r>
      <w:r w:rsidRPr="00205C60">
        <w:rPr>
          <w:rFonts w:ascii="Verdana" w:hAnsi="Verdana" w:cs="Arial"/>
          <w:sz w:val="22"/>
          <w:szCs w:val="22"/>
        </w:rPr>
        <w:t xml:space="preserve"> y del </w:t>
      </w:r>
      <w:r w:rsidR="001636AA" w:rsidRPr="00205C60">
        <w:rPr>
          <w:rFonts w:ascii="Verdana" w:hAnsi="Verdana" w:cs="Arial"/>
          <w:sz w:val="22"/>
          <w:szCs w:val="22"/>
        </w:rPr>
        <w:t>202</w:t>
      </w:r>
      <w:r w:rsidR="00492CCD" w:rsidRPr="00205C60">
        <w:rPr>
          <w:rFonts w:ascii="Verdana" w:hAnsi="Verdana" w:cs="Arial"/>
          <w:sz w:val="22"/>
          <w:szCs w:val="22"/>
        </w:rPr>
        <w:t>1</w:t>
      </w:r>
      <w:r w:rsidR="001636AA" w:rsidRPr="00205C60">
        <w:rPr>
          <w:rFonts w:ascii="Verdana" w:hAnsi="Verdana" w:cs="Arial"/>
          <w:sz w:val="22"/>
          <w:szCs w:val="22"/>
        </w:rPr>
        <w:t>.</w:t>
      </w:r>
    </w:p>
    <w:p w14:paraId="46566A2E" w14:textId="7C345407" w:rsidR="00130225" w:rsidRPr="00205C60" w:rsidRDefault="00130225" w:rsidP="001712F0">
      <w:pPr>
        <w:pStyle w:val="Textosinformato"/>
        <w:tabs>
          <w:tab w:val="left" w:pos="1350"/>
        </w:tabs>
        <w:ind w:left="720"/>
        <w:jc w:val="both"/>
        <w:rPr>
          <w:rFonts w:ascii="Verdana" w:hAnsi="Verdana" w:cs="Arial"/>
          <w:sz w:val="22"/>
          <w:szCs w:val="22"/>
        </w:rPr>
      </w:pPr>
    </w:p>
    <w:tbl>
      <w:tblPr>
        <w:tblpPr w:leftFromText="141" w:rightFromText="141" w:vertAnchor="text" w:horzAnchor="margin" w:tblpXSpec="center" w:tblpY="-31"/>
        <w:tblW w:w="10790" w:type="dxa"/>
        <w:tblLook w:val="04A0" w:firstRow="1" w:lastRow="0" w:firstColumn="1" w:lastColumn="0" w:noHBand="0" w:noVBand="1"/>
      </w:tblPr>
      <w:tblGrid>
        <w:gridCol w:w="4066"/>
        <w:gridCol w:w="222"/>
        <w:gridCol w:w="1257"/>
        <w:gridCol w:w="294"/>
        <w:gridCol w:w="1590"/>
        <w:gridCol w:w="294"/>
        <w:gridCol w:w="1555"/>
        <w:gridCol w:w="294"/>
        <w:gridCol w:w="1218"/>
      </w:tblGrid>
      <w:tr w:rsidR="00B97AB4" w:rsidRPr="00205C60" w14:paraId="3873283E" w14:textId="77777777" w:rsidTr="00984E25">
        <w:trPr>
          <w:trHeight w:val="36"/>
        </w:trPr>
        <w:tc>
          <w:tcPr>
            <w:tcW w:w="0" w:type="auto"/>
            <w:tcBorders>
              <w:top w:val="nil"/>
              <w:left w:val="nil"/>
              <w:bottom w:val="nil"/>
              <w:right w:val="nil"/>
            </w:tcBorders>
            <w:shd w:val="clear" w:color="auto" w:fill="auto"/>
            <w:noWrap/>
            <w:vAlign w:val="bottom"/>
            <w:hideMark/>
          </w:tcPr>
          <w:p w14:paraId="7DE50208" w14:textId="4CD42592" w:rsidR="00B97AB4" w:rsidRPr="00205C60" w:rsidRDefault="00B97AB4" w:rsidP="00984E25">
            <w:pPr>
              <w:rPr>
                <w:rFonts w:ascii="Verdana" w:hAnsi="Verdana"/>
                <w:sz w:val="22"/>
                <w:szCs w:val="22"/>
                <w:u w:val="single"/>
                <w:lang w:val="es-CR"/>
              </w:rPr>
            </w:pPr>
            <w:r w:rsidRPr="00205C60">
              <w:rPr>
                <w:rFonts w:ascii="Verdana" w:hAnsi="Verdana"/>
                <w:sz w:val="22"/>
                <w:szCs w:val="22"/>
                <w:u w:val="single"/>
                <w:lang w:val="es-CR"/>
              </w:rPr>
              <w:t>31 de diciembre del 202</w:t>
            </w:r>
            <w:r w:rsidR="00FD5889" w:rsidRPr="00205C60">
              <w:rPr>
                <w:rFonts w:ascii="Verdana" w:hAnsi="Verdana"/>
                <w:sz w:val="22"/>
                <w:szCs w:val="22"/>
                <w:u w:val="single"/>
                <w:lang w:val="es-CR"/>
              </w:rPr>
              <w:t>2</w:t>
            </w:r>
          </w:p>
        </w:tc>
        <w:tc>
          <w:tcPr>
            <w:tcW w:w="0" w:type="auto"/>
            <w:tcBorders>
              <w:top w:val="nil"/>
              <w:left w:val="nil"/>
              <w:bottom w:val="nil"/>
              <w:right w:val="nil"/>
            </w:tcBorders>
            <w:shd w:val="clear" w:color="auto" w:fill="auto"/>
            <w:noWrap/>
            <w:vAlign w:val="bottom"/>
          </w:tcPr>
          <w:p w14:paraId="558BD8A7" w14:textId="77777777" w:rsidR="00B97AB4" w:rsidRPr="00205C60" w:rsidRDefault="00B97AB4" w:rsidP="00984E25">
            <w:pPr>
              <w:rPr>
                <w:rFonts w:ascii="Verdana" w:hAnsi="Verdana"/>
                <w:sz w:val="22"/>
                <w:szCs w:val="22"/>
                <w:lang w:val="es-CR"/>
              </w:rPr>
            </w:pPr>
          </w:p>
        </w:tc>
        <w:tc>
          <w:tcPr>
            <w:tcW w:w="1257" w:type="dxa"/>
            <w:tcBorders>
              <w:top w:val="nil"/>
              <w:left w:val="nil"/>
              <w:bottom w:val="single" w:sz="4" w:space="0" w:color="auto"/>
              <w:right w:val="nil"/>
            </w:tcBorders>
            <w:shd w:val="clear" w:color="auto" w:fill="auto"/>
            <w:vAlign w:val="center"/>
            <w:hideMark/>
          </w:tcPr>
          <w:p w14:paraId="7103604C" w14:textId="77777777" w:rsidR="00B97AB4" w:rsidRPr="00205C60" w:rsidRDefault="00B97AB4" w:rsidP="00984E25">
            <w:pPr>
              <w:jc w:val="center"/>
              <w:rPr>
                <w:rFonts w:ascii="Verdana" w:hAnsi="Verdana"/>
                <w:color w:val="000000"/>
                <w:sz w:val="22"/>
                <w:szCs w:val="22"/>
                <w:lang w:val="es-US"/>
              </w:rPr>
            </w:pPr>
            <w:r w:rsidRPr="00205C60">
              <w:rPr>
                <w:rFonts w:ascii="Verdana" w:hAnsi="Verdana"/>
                <w:color w:val="000000"/>
                <w:sz w:val="22"/>
                <w:szCs w:val="22"/>
                <w:lang w:val="es-US"/>
              </w:rPr>
              <w:t>Tasa promedio de pérdida esperada</w:t>
            </w:r>
          </w:p>
        </w:tc>
        <w:tc>
          <w:tcPr>
            <w:tcW w:w="0" w:type="auto"/>
            <w:tcBorders>
              <w:top w:val="nil"/>
              <w:left w:val="nil"/>
              <w:bottom w:val="single" w:sz="4" w:space="0" w:color="auto"/>
              <w:right w:val="nil"/>
            </w:tcBorders>
            <w:shd w:val="clear" w:color="auto" w:fill="auto"/>
            <w:noWrap/>
            <w:vAlign w:val="bottom"/>
            <w:hideMark/>
          </w:tcPr>
          <w:p w14:paraId="29923773" w14:textId="77777777" w:rsidR="00B97AB4" w:rsidRPr="00205C60" w:rsidRDefault="00B97AB4" w:rsidP="00984E25">
            <w:pPr>
              <w:rPr>
                <w:rFonts w:ascii="Verdana" w:hAnsi="Verdana" w:cs="Arial"/>
                <w:sz w:val="22"/>
                <w:szCs w:val="22"/>
                <w:lang w:val="es-US"/>
              </w:rPr>
            </w:pPr>
            <w:r w:rsidRPr="00205C60">
              <w:rPr>
                <w:rFonts w:ascii="Verdana" w:hAnsi="Verdana" w:cs="Arial"/>
                <w:sz w:val="22"/>
                <w:szCs w:val="22"/>
                <w:lang w:val="es-US"/>
              </w:rPr>
              <w:t> </w:t>
            </w:r>
          </w:p>
        </w:tc>
        <w:tc>
          <w:tcPr>
            <w:tcW w:w="0" w:type="auto"/>
            <w:tcBorders>
              <w:top w:val="nil"/>
              <w:left w:val="nil"/>
              <w:bottom w:val="single" w:sz="4" w:space="0" w:color="auto"/>
              <w:right w:val="nil"/>
            </w:tcBorders>
            <w:shd w:val="clear" w:color="auto" w:fill="auto"/>
            <w:vAlign w:val="center"/>
            <w:hideMark/>
          </w:tcPr>
          <w:p w14:paraId="696609B9" w14:textId="77777777" w:rsidR="00B97AB4" w:rsidRPr="00205C60" w:rsidRDefault="00B97AB4" w:rsidP="00984E25">
            <w:pPr>
              <w:jc w:val="center"/>
              <w:rPr>
                <w:rFonts w:ascii="Verdana" w:hAnsi="Verdana"/>
                <w:color w:val="000000"/>
                <w:sz w:val="22"/>
                <w:szCs w:val="22"/>
                <w:lang w:val="es-419"/>
              </w:rPr>
            </w:pPr>
          </w:p>
          <w:p w14:paraId="0A8FDAF9" w14:textId="77777777" w:rsidR="00B97AB4" w:rsidRPr="00205C60" w:rsidRDefault="00B97AB4" w:rsidP="00984E25">
            <w:pPr>
              <w:jc w:val="center"/>
              <w:rPr>
                <w:rFonts w:ascii="Verdana" w:hAnsi="Verdana"/>
                <w:color w:val="000000"/>
                <w:sz w:val="22"/>
                <w:szCs w:val="22"/>
                <w:lang w:val="es-419"/>
              </w:rPr>
            </w:pPr>
          </w:p>
          <w:p w14:paraId="4BD030FD" w14:textId="77777777" w:rsidR="00B97AB4" w:rsidRPr="00205C60" w:rsidRDefault="00B97AB4" w:rsidP="00984E25">
            <w:pPr>
              <w:jc w:val="center"/>
              <w:rPr>
                <w:rFonts w:ascii="Verdana" w:hAnsi="Verdana"/>
                <w:color w:val="000000"/>
                <w:sz w:val="22"/>
                <w:szCs w:val="22"/>
                <w:lang w:val="es-419"/>
              </w:rPr>
            </w:pPr>
          </w:p>
          <w:p w14:paraId="0CF42C09" w14:textId="77777777" w:rsidR="00B97AB4" w:rsidRPr="00205C60" w:rsidRDefault="00B97AB4" w:rsidP="00984E25">
            <w:pPr>
              <w:jc w:val="center"/>
              <w:rPr>
                <w:rFonts w:ascii="Verdana" w:hAnsi="Verdana"/>
                <w:color w:val="000000"/>
                <w:sz w:val="22"/>
                <w:szCs w:val="22"/>
                <w:lang w:val="en-US"/>
              </w:rPr>
            </w:pPr>
            <w:r w:rsidRPr="00205C60">
              <w:rPr>
                <w:rFonts w:ascii="Verdana" w:hAnsi="Verdana"/>
                <w:color w:val="000000"/>
                <w:sz w:val="22"/>
                <w:szCs w:val="22"/>
                <w:lang w:val="en-US"/>
              </w:rPr>
              <w:t>Importe en libros bruto</w:t>
            </w:r>
          </w:p>
        </w:tc>
        <w:tc>
          <w:tcPr>
            <w:tcW w:w="0" w:type="auto"/>
            <w:tcBorders>
              <w:top w:val="nil"/>
              <w:left w:val="nil"/>
              <w:bottom w:val="single" w:sz="4" w:space="0" w:color="auto"/>
              <w:right w:val="nil"/>
            </w:tcBorders>
            <w:shd w:val="clear" w:color="auto" w:fill="auto"/>
            <w:noWrap/>
            <w:vAlign w:val="bottom"/>
            <w:hideMark/>
          </w:tcPr>
          <w:p w14:paraId="0E4A0BBF" w14:textId="77777777" w:rsidR="00B97AB4" w:rsidRPr="00205C60" w:rsidRDefault="00B97AB4" w:rsidP="00984E25">
            <w:pPr>
              <w:rPr>
                <w:rFonts w:ascii="Verdana" w:hAnsi="Verdana" w:cs="Arial"/>
                <w:sz w:val="22"/>
                <w:szCs w:val="22"/>
                <w:lang w:val="en-US"/>
              </w:rPr>
            </w:pPr>
            <w:r w:rsidRPr="00205C60">
              <w:rPr>
                <w:rFonts w:ascii="Verdana" w:hAnsi="Verdana" w:cs="Arial"/>
                <w:sz w:val="22"/>
                <w:szCs w:val="22"/>
                <w:lang w:val="en-US"/>
              </w:rPr>
              <w:t> </w:t>
            </w:r>
          </w:p>
        </w:tc>
        <w:tc>
          <w:tcPr>
            <w:tcW w:w="1555" w:type="dxa"/>
            <w:tcBorders>
              <w:top w:val="nil"/>
              <w:left w:val="nil"/>
              <w:bottom w:val="single" w:sz="4" w:space="0" w:color="auto"/>
              <w:right w:val="nil"/>
            </w:tcBorders>
            <w:shd w:val="clear" w:color="auto" w:fill="auto"/>
            <w:vAlign w:val="center"/>
            <w:hideMark/>
          </w:tcPr>
          <w:p w14:paraId="49B153E3" w14:textId="77777777" w:rsidR="00B97AB4" w:rsidRPr="00205C60" w:rsidRDefault="00B97AB4" w:rsidP="00984E25">
            <w:pPr>
              <w:jc w:val="center"/>
              <w:rPr>
                <w:rFonts w:ascii="Verdana" w:hAnsi="Verdana"/>
                <w:color w:val="000000"/>
                <w:sz w:val="22"/>
                <w:szCs w:val="22"/>
                <w:lang w:val="en-US"/>
              </w:rPr>
            </w:pPr>
          </w:p>
          <w:p w14:paraId="32EBF977" w14:textId="77777777" w:rsidR="00B97AB4" w:rsidRPr="00205C60" w:rsidRDefault="00B97AB4" w:rsidP="00984E25">
            <w:pPr>
              <w:jc w:val="center"/>
              <w:rPr>
                <w:rFonts w:ascii="Verdana" w:hAnsi="Verdana"/>
                <w:color w:val="000000"/>
                <w:sz w:val="22"/>
                <w:szCs w:val="22"/>
                <w:lang w:val="en-US"/>
              </w:rPr>
            </w:pPr>
          </w:p>
          <w:p w14:paraId="21CE2772" w14:textId="77777777" w:rsidR="00B97AB4" w:rsidRPr="00205C60" w:rsidRDefault="00B97AB4" w:rsidP="00984E25">
            <w:pPr>
              <w:jc w:val="center"/>
              <w:rPr>
                <w:rFonts w:ascii="Verdana" w:hAnsi="Verdana"/>
                <w:color w:val="000000"/>
                <w:sz w:val="22"/>
                <w:szCs w:val="22"/>
                <w:lang w:val="en-US"/>
              </w:rPr>
            </w:pPr>
            <w:r w:rsidRPr="00205C60">
              <w:rPr>
                <w:rFonts w:ascii="Verdana" w:hAnsi="Verdana"/>
                <w:color w:val="000000"/>
                <w:sz w:val="22"/>
                <w:szCs w:val="22"/>
                <w:lang w:val="en-US"/>
              </w:rPr>
              <w:t>Estimación para pérdida</w:t>
            </w:r>
          </w:p>
        </w:tc>
        <w:tc>
          <w:tcPr>
            <w:tcW w:w="294" w:type="dxa"/>
            <w:tcBorders>
              <w:top w:val="nil"/>
              <w:left w:val="nil"/>
              <w:bottom w:val="single" w:sz="4" w:space="0" w:color="auto"/>
              <w:right w:val="nil"/>
            </w:tcBorders>
            <w:shd w:val="clear" w:color="auto" w:fill="auto"/>
            <w:vAlign w:val="center"/>
            <w:hideMark/>
          </w:tcPr>
          <w:p w14:paraId="7CCBF263" w14:textId="77777777" w:rsidR="00B97AB4" w:rsidRPr="00205C60" w:rsidRDefault="00B97AB4" w:rsidP="00984E25">
            <w:pPr>
              <w:jc w:val="center"/>
              <w:rPr>
                <w:rFonts w:ascii="Verdana" w:hAnsi="Verdana"/>
                <w:color w:val="000000"/>
                <w:sz w:val="22"/>
                <w:szCs w:val="22"/>
                <w:lang w:val="en-US"/>
              </w:rPr>
            </w:pPr>
            <w:r w:rsidRPr="00205C60">
              <w:rPr>
                <w:rFonts w:ascii="Verdana" w:hAnsi="Verdana"/>
                <w:color w:val="000000"/>
                <w:sz w:val="22"/>
                <w:szCs w:val="22"/>
                <w:lang w:val="en-US"/>
              </w:rPr>
              <w:t> </w:t>
            </w:r>
          </w:p>
        </w:tc>
        <w:tc>
          <w:tcPr>
            <w:tcW w:w="0" w:type="auto"/>
            <w:tcBorders>
              <w:top w:val="nil"/>
              <w:left w:val="nil"/>
              <w:bottom w:val="single" w:sz="4" w:space="0" w:color="auto"/>
              <w:right w:val="nil"/>
            </w:tcBorders>
            <w:shd w:val="clear" w:color="auto" w:fill="auto"/>
            <w:vAlign w:val="center"/>
            <w:hideMark/>
          </w:tcPr>
          <w:p w14:paraId="371EC616" w14:textId="77777777" w:rsidR="00B97AB4" w:rsidRPr="00205C60" w:rsidRDefault="00B97AB4" w:rsidP="00984E25">
            <w:pPr>
              <w:jc w:val="center"/>
              <w:rPr>
                <w:rFonts w:ascii="Verdana" w:hAnsi="Verdana"/>
                <w:color w:val="000000"/>
                <w:sz w:val="22"/>
                <w:szCs w:val="22"/>
                <w:lang w:val="en-US"/>
              </w:rPr>
            </w:pPr>
          </w:p>
          <w:p w14:paraId="32A2193A" w14:textId="77777777" w:rsidR="00B97AB4" w:rsidRPr="00205C60" w:rsidRDefault="00B97AB4" w:rsidP="00984E25">
            <w:pPr>
              <w:jc w:val="center"/>
              <w:rPr>
                <w:rFonts w:ascii="Verdana" w:hAnsi="Verdana"/>
                <w:color w:val="000000"/>
                <w:sz w:val="22"/>
                <w:szCs w:val="22"/>
                <w:lang w:val="en-US"/>
              </w:rPr>
            </w:pPr>
          </w:p>
          <w:p w14:paraId="0FAE9ABE" w14:textId="77777777" w:rsidR="00B97AB4" w:rsidRPr="00205C60" w:rsidRDefault="00B97AB4" w:rsidP="00984E25">
            <w:pPr>
              <w:jc w:val="center"/>
              <w:rPr>
                <w:rFonts w:ascii="Verdana" w:hAnsi="Verdana"/>
                <w:color w:val="000000"/>
                <w:sz w:val="22"/>
                <w:szCs w:val="22"/>
                <w:lang w:val="en-US"/>
              </w:rPr>
            </w:pPr>
            <w:r w:rsidRPr="00205C60">
              <w:rPr>
                <w:rFonts w:ascii="Verdana" w:hAnsi="Verdana"/>
                <w:color w:val="000000"/>
                <w:sz w:val="22"/>
                <w:szCs w:val="22"/>
                <w:lang w:val="en-US"/>
              </w:rPr>
              <w:t>Con deterioro crediticio</w:t>
            </w:r>
          </w:p>
        </w:tc>
      </w:tr>
      <w:tr w:rsidR="00B97AB4" w:rsidRPr="00205C60" w14:paraId="4DE18022" w14:textId="77777777" w:rsidTr="00984E25">
        <w:trPr>
          <w:trHeight w:val="36"/>
        </w:trPr>
        <w:tc>
          <w:tcPr>
            <w:tcW w:w="0" w:type="auto"/>
            <w:tcBorders>
              <w:top w:val="nil"/>
              <w:left w:val="nil"/>
              <w:bottom w:val="nil"/>
              <w:right w:val="nil"/>
            </w:tcBorders>
            <w:shd w:val="clear" w:color="auto" w:fill="auto"/>
            <w:noWrap/>
            <w:vAlign w:val="center"/>
            <w:hideMark/>
          </w:tcPr>
          <w:p w14:paraId="34DB955C" w14:textId="77777777" w:rsidR="00B97AB4" w:rsidRPr="00205C60" w:rsidRDefault="00B97AB4" w:rsidP="00984E25">
            <w:pPr>
              <w:rPr>
                <w:rFonts w:ascii="Verdana" w:hAnsi="Verdana"/>
                <w:color w:val="000000"/>
                <w:sz w:val="22"/>
                <w:szCs w:val="22"/>
              </w:rPr>
            </w:pPr>
            <w:r w:rsidRPr="00205C60">
              <w:rPr>
                <w:rFonts w:ascii="Verdana" w:hAnsi="Verdana"/>
                <w:color w:val="000000"/>
                <w:sz w:val="22"/>
                <w:szCs w:val="22"/>
              </w:rPr>
              <w:t>Cartera vigente a la fecha de corte</w:t>
            </w:r>
          </w:p>
        </w:tc>
        <w:tc>
          <w:tcPr>
            <w:tcW w:w="0" w:type="auto"/>
            <w:tcBorders>
              <w:top w:val="nil"/>
              <w:left w:val="nil"/>
              <w:bottom w:val="nil"/>
              <w:right w:val="nil"/>
            </w:tcBorders>
            <w:shd w:val="clear" w:color="auto" w:fill="auto"/>
            <w:noWrap/>
            <w:vAlign w:val="center"/>
          </w:tcPr>
          <w:p w14:paraId="66FDC528" w14:textId="77777777" w:rsidR="00B97AB4" w:rsidRPr="00205C60" w:rsidRDefault="00B97AB4" w:rsidP="00984E25">
            <w:pPr>
              <w:jc w:val="center"/>
              <w:rPr>
                <w:rFonts w:ascii="Verdana" w:hAnsi="Verdana"/>
                <w:color w:val="000000"/>
                <w:sz w:val="22"/>
                <w:szCs w:val="22"/>
              </w:rPr>
            </w:pPr>
          </w:p>
        </w:tc>
        <w:tc>
          <w:tcPr>
            <w:tcW w:w="1257" w:type="dxa"/>
            <w:tcBorders>
              <w:top w:val="nil"/>
              <w:left w:val="nil"/>
              <w:bottom w:val="nil"/>
              <w:right w:val="nil"/>
            </w:tcBorders>
            <w:shd w:val="clear" w:color="auto" w:fill="auto"/>
            <w:noWrap/>
            <w:vAlign w:val="bottom"/>
          </w:tcPr>
          <w:p w14:paraId="30818E76" w14:textId="2075F928" w:rsidR="00B97AB4" w:rsidRPr="00205C60" w:rsidRDefault="00324832" w:rsidP="00984E25">
            <w:pPr>
              <w:jc w:val="center"/>
              <w:rPr>
                <w:rFonts w:ascii="Verdana" w:hAnsi="Verdana"/>
                <w:color w:val="000000"/>
                <w:sz w:val="22"/>
                <w:szCs w:val="22"/>
                <w:lang w:val="en-US"/>
              </w:rPr>
            </w:pPr>
            <w:r w:rsidRPr="00205C60">
              <w:rPr>
                <w:rFonts w:ascii="Verdana" w:hAnsi="Verdana"/>
                <w:color w:val="000000"/>
                <w:sz w:val="22"/>
                <w:szCs w:val="22"/>
                <w:lang w:val="en-US"/>
              </w:rPr>
              <w:t>5,35</w:t>
            </w:r>
            <w:r w:rsidR="00B97AB4" w:rsidRPr="00205C60">
              <w:rPr>
                <w:rFonts w:ascii="Verdana" w:hAnsi="Verdana"/>
                <w:color w:val="000000"/>
                <w:sz w:val="22"/>
                <w:szCs w:val="22"/>
                <w:lang w:val="en-US"/>
              </w:rPr>
              <w:t>%</w:t>
            </w:r>
          </w:p>
        </w:tc>
        <w:tc>
          <w:tcPr>
            <w:tcW w:w="0" w:type="auto"/>
            <w:tcBorders>
              <w:top w:val="nil"/>
              <w:left w:val="nil"/>
              <w:bottom w:val="nil"/>
              <w:right w:val="nil"/>
            </w:tcBorders>
            <w:shd w:val="clear" w:color="auto" w:fill="auto"/>
            <w:noWrap/>
            <w:vAlign w:val="center"/>
          </w:tcPr>
          <w:p w14:paraId="7543132A" w14:textId="77777777" w:rsidR="00B97AB4" w:rsidRPr="00205C60" w:rsidRDefault="00B97AB4" w:rsidP="00984E25">
            <w:pPr>
              <w:jc w:val="center"/>
              <w:rPr>
                <w:rFonts w:ascii="Verdana" w:hAnsi="Verdana"/>
                <w:color w:val="000000"/>
                <w:sz w:val="22"/>
                <w:szCs w:val="22"/>
                <w:lang w:val="en-US"/>
              </w:rPr>
            </w:pPr>
          </w:p>
        </w:tc>
        <w:tc>
          <w:tcPr>
            <w:tcW w:w="0" w:type="auto"/>
            <w:tcBorders>
              <w:top w:val="nil"/>
              <w:left w:val="nil"/>
              <w:bottom w:val="nil"/>
              <w:right w:val="nil"/>
            </w:tcBorders>
            <w:shd w:val="clear" w:color="auto" w:fill="auto"/>
            <w:noWrap/>
            <w:vAlign w:val="bottom"/>
          </w:tcPr>
          <w:p w14:paraId="29432B58" w14:textId="69411D9E" w:rsidR="00B97AB4" w:rsidRPr="00205C60" w:rsidRDefault="00B97AB4" w:rsidP="00984E25">
            <w:pPr>
              <w:ind w:left="-45"/>
              <w:jc w:val="right"/>
              <w:rPr>
                <w:rFonts w:ascii="Verdana" w:hAnsi="Verdana"/>
                <w:color w:val="000000"/>
                <w:sz w:val="22"/>
                <w:szCs w:val="22"/>
                <w:lang w:val="es-CR"/>
              </w:rPr>
            </w:pPr>
            <w:r w:rsidRPr="00205C60">
              <w:rPr>
                <w:rFonts w:ascii="Verdana" w:hAnsi="Verdana"/>
                <w:color w:val="000000"/>
                <w:sz w:val="22"/>
                <w:szCs w:val="22"/>
                <w:lang w:val="es-CR"/>
              </w:rPr>
              <w:t>1</w:t>
            </w:r>
            <w:r w:rsidR="005E17CC" w:rsidRPr="00205C60">
              <w:rPr>
                <w:rFonts w:ascii="Verdana" w:hAnsi="Verdana"/>
                <w:color w:val="000000"/>
                <w:sz w:val="22"/>
                <w:szCs w:val="22"/>
                <w:lang w:val="es-CR"/>
              </w:rPr>
              <w:t>6</w:t>
            </w:r>
            <w:r w:rsidRPr="00205C60">
              <w:rPr>
                <w:rFonts w:ascii="Verdana" w:hAnsi="Verdana"/>
                <w:color w:val="000000"/>
                <w:sz w:val="22"/>
                <w:szCs w:val="22"/>
                <w:lang w:val="es-CR"/>
              </w:rPr>
              <w:t>.</w:t>
            </w:r>
            <w:r w:rsidR="005E17CC" w:rsidRPr="00205C60">
              <w:rPr>
                <w:rFonts w:ascii="Verdana" w:hAnsi="Verdana"/>
                <w:color w:val="000000"/>
                <w:sz w:val="22"/>
                <w:szCs w:val="22"/>
                <w:lang w:val="es-CR"/>
              </w:rPr>
              <w:t>530</w:t>
            </w:r>
            <w:r w:rsidRPr="00205C60">
              <w:rPr>
                <w:rFonts w:ascii="Verdana" w:hAnsi="Verdana"/>
                <w:color w:val="000000"/>
                <w:sz w:val="22"/>
                <w:szCs w:val="22"/>
                <w:lang w:val="es-CR"/>
              </w:rPr>
              <w:t>.</w:t>
            </w:r>
            <w:r w:rsidR="005E17CC" w:rsidRPr="00205C60">
              <w:rPr>
                <w:rFonts w:ascii="Verdana" w:hAnsi="Verdana"/>
                <w:color w:val="000000"/>
                <w:sz w:val="22"/>
                <w:szCs w:val="22"/>
                <w:lang w:val="es-CR"/>
              </w:rPr>
              <w:t>747</w:t>
            </w:r>
          </w:p>
        </w:tc>
        <w:tc>
          <w:tcPr>
            <w:tcW w:w="0" w:type="auto"/>
            <w:tcBorders>
              <w:top w:val="nil"/>
              <w:left w:val="nil"/>
              <w:bottom w:val="nil"/>
              <w:right w:val="nil"/>
            </w:tcBorders>
            <w:shd w:val="clear" w:color="auto" w:fill="auto"/>
            <w:noWrap/>
            <w:vAlign w:val="center"/>
          </w:tcPr>
          <w:p w14:paraId="10E296D4" w14:textId="77777777" w:rsidR="00B97AB4" w:rsidRPr="00205C60" w:rsidRDefault="00B97AB4" w:rsidP="00984E25">
            <w:pPr>
              <w:jc w:val="right"/>
              <w:rPr>
                <w:rFonts w:ascii="Verdana" w:hAnsi="Verdana"/>
                <w:color w:val="000000"/>
                <w:sz w:val="22"/>
                <w:szCs w:val="22"/>
                <w:lang w:val="en-US"/>
              </w:rPr>
            </w:pPr>
          </w:p>
        </w:tc>
        <w:tc>
          <w:tcPr>
            <w:tcW w:w="1555" w:type="dxa"/>
            <w:tcBorders>
              <w:top w:val="nil"/>
              <w:left w:val="nil"/>
              <w:bottom w:val="nil"/>
              <w:right w:val="nil"/>
            </w:tcBorders>
            <w:shd w:val="clear" w:color="auto" w:fill="auto"/>
            <w:noWrap/>
            <w:vAlign w:val="center"/>
          </w:tcPr>
          <w:p w14:paraId="5FC0FDE8" w14:textId="33E2569A" w:rsidR="00B97AB4" w:rsidRPr="00205C60" w:rsidRDefault="00B97AB4" w:rsidP="00984E25">
            <w:pPr>
              <w:jc w:val="right"/>
              <w:rPr>
                <w:rFonts w:ascii="Verdana" w:hAnsi="Verdana"/>
                <w:color w:val="000000"/>
                <w:sz w:val="22"/>
                <w:szCs w:val="22"/>
                <w:lang w:val="en-US"/>
              </w:rPr>
            </w:pPr>
            <w:r w:rsidRPr="00205C60">
              <w:rPr>
                <w:rFonts w:ascii="Verdana" w:hAnsi="Verdana"/>
                <w:color w:val="000000"/>
                <w:sz w:val="22"/>
                <w:szCs w:val="22"/>
                <w:lang w:val="en-US"/>
              </w:rPr>
              <w:t>(</w:t>
            </w:r>
            <w:r w:rsidR="005E17CC" w:rsidRPr="00205C60">
              <w:rPr>
                <w:rFonts w:ascii="Verdana" w:hAnsi="Verdana"/>
                <w:color w:val="000000"/>
                <w:sz w:val="22"/>
                <w:szCs w:val="22"/>
                <w:lang w:val="en-US"/>
              </w:rPr>
              <w:t>481</w:t>
            </w:r>
            <w:r w:rsidRPr="00205C60">
              <w:rPr>
                <w:rFonts w:ascii="Verdana" w:hAnsi="Verdana"/>
                <w:color w:val="000000"/>
                <w:sz w:val="22"/>
                <w:szCs w:val="22"/>
                <w:lang w:val="en-US"/>
              </w:rPr>
              <w:t>.</w:t>
            </w:r>
            <w:r w:rsidR="005E17CC" w:rsidRPr="00205C60">
              <w:rPr>
                <w:rFonts w:ascii="Verdana" w:hAnsi="Verdana"/>
                <w:color w:val="000000"/>
                <w:sz w:val="22"/>
                <w:szCs w:val="22"/>
                <w:lang w:val="en-US"/>
              </w:rPr>
              <w:t>051</w:t>
            </w:r>
            <w:r w:rsidRPr="00205C60">
              <w:rPr>
                <w:rFonts w:ascii="Verdana" w:hAnsi="Verdana"/>
                <w:color w:val="000000"/>
                <w:sz w:val="22"/>
                <w:szCs w:val="22"/>
                <w:lang w:val="en-US"/>
              </w:rPr>
              <w:t>)</w:t>
            </w:r>
          </w:p>
        </w:tc>
        <w:tc>
          <w:tcPr>
            <w:tcW w:w="294" w:type="dxa"/>
            <w:tcBorders>
              <w:top w:val="nil"/>
              <w:left w:val="nil"/>
              <w:bottom w:val="nil"/>
              <w:right w:val="nil"/>
            </w:tcBorders>
            <w:shd w:val="clear" w:color="auto" w:fill="auto"/>
            <w:noWrap/>
            <w:vAlign w:val="bottom"/>
          </w:tcPr>
          <w:p w14:paraId="09D9A4A5" w14:textId="77777777" w:rsidR="00B97AB4" w:rsidRPr="00205C60" w:rsidRDefault="00B97AB4" w:rsidP="00984E25">
            <w:pPr>
              <w:jc w:val="right"/>
              <w:rPr>
                <w:rFonts w:ascii="Verdana" w:hAnsi="Verdana"/>
                <w:color w:val="000000"/>
                <w:sz w:val="22"/>
                <w:szCs w:val="22"/>
                <w:lang w:val="en-US"/>
              </w:rPr>
            </w:pPr>
          </w:p>
        </w:tc>
        <w:tc>
          <w:tcPr>
            <w:tcW w:w="0" w:type="auto"/>
            <w:tcBorders>
              <w:top w:val="nil"/>
              <w:left w:val="nil"/>
              <w:bottom w:val="nil"/>
              <w:right w:val="nil"/>
            </w:tcBorders>
            <w:shd w:val="clear" w:color="auto" w:fill="auto"/>
            <w:noWrap/>
            <w:vAlign w:val="center"/>
          </w:tcPr>
          <w:p w14:paraId="7D8E0EFA" w14:textId="77777777" w:rsidR="00B97AB4" w:rsidRPr="00205C60" w:rsidRDefault="00B97AB4" w:rsidP="00984E25">
            <w:pPr>
              <w:jc w:val="center"/>
              <w:rPr>
                <w:rFonts w:ascii="Verdana" w:hAnsi="Verdana"/>
                <w:color w:val="000000"/>
                <w:sz w:val="22"/>
                <w:szCs w:val="22"/>
                <w:lang w:val="en-US"/>
              </w:rPr>
            </w:pPr>
            <w:r w:rsidRPr="00205C60">
              <w:rPr>
                <w:rFonts w:ascii="Verdana" w:hAnsi="Verdana"/>
                <w:color w:val="000000"/>
                <w:sz w:val="22"/>
                <w:szCs w:val="22"/>
                <w:lang w:val="en-US"/>
              </w:rPr>
              <w:t>No</w:t>
            </w:r>
          </w:p>
        </w:tc>
      </w:tr>
      <w:tr w:rsidR="00B97AB4" w:rsidRPr="00205C60" w14:paraId="39EED3B8" w14:textId="77777777" w:rsidTr="00984E25">
        <w:trPr>
          <w:trHeight w:val="36"/>
        </w:trPr>
        <w:tc>
          <w:tcPr>
            <w:tcW w:w="0" w:type="auto"/>
            <w:tcBorders>
              <w:top w:val="nil"/>
              <w:left w:val="nil"/>
              <w:bottom w:val="nil"/>
              <w:right w:val="nil"/>
            </w:tcBorders>
            <w:shd w:val="clear" w:color="auto" w:fill="auto"/>
            <w:noWrap/>
            <w:vAlign w:val="center"/>
            <w:hideMark/>
          </w:tcPr>
          <w:p w14:paraId="5EFD872B" w14:textId="77777777" w:rsidR="00B97AB4" w:rsidRPr="00205C60" w:rsidRDefault="00B97AB4" w:rsidP="00984E25">
            <w:pPr>
              <w:rPr>
                <w:rFonts w:ascii="Verdana" w:hAnsi="Verdana"/>
                <w:color w:val="000000"/>
                <w:sz w:val="22"/>
                <w:szCs w:val="22"/>
                <w:lang w:val="en-US"/>
              </w:rPr>
            </w:pPr>
            <w:r w:rsidRPr="00205C60">
              <w:rPr>
                <w:rFonts w:ascii="Verdana" w:hAnsi="Verdana"/>
                <w:color w:val="000000"/>
                <w:sz w:val="22"/>
                <w:szCs w:val="22"/>
                <w:lang w:val="en-US"/>
              </w:rPr>
              <w:t>De 1 a 30 días</w:t>
            </w:r>
          </w:p>
        </w:tc>
        <w:tc>
          <w:tcPr>
            <w:tcW w:w="0" w:type="auto"/>
            <w:tcBorders>
              <w:top w:val="nil"/>
              <w:left w:val="nil"/>
              <w:bottom w:val="nil"/>
              <w:right w:val="nil"/>
            </w:tcBorders>
            <w:shd w:val="clear" w:color="auto" w:fill="auto"/>
            <w:noWrap/>
            <w:vAlign w:val="bottom"/>
          </w:tcPr>
          <w:p w14:paraId="3F376F43" w14:textId="77777777" w:rsidR="00B97AB4" w:rsidRPr="00205C60" w:rsidRDefault="00B97AB4" w:rsidP="00984E25">
            <w:pPr>
              <w:rPr>
                <w:rFonts w:ascii="Verdana" w:hAnsi="Verdana"/>
                <w:color w:val="000000"/>
                <w:sz w:val="22"/>
                <w:szCs w:val="22"/>
                <w:lang w:val="en-US"/>
              </w:rPr>
            </w:pPr>
          </w:p>
        </w:tc>
        <w:tc>
          <w:tcPr>
            <w:tcW w:w="1257" w:type="dxa"/>
            <w:tcBorders>
              <w:top w:val="nil"/>
              <w:left w:val="nil"/>
              <w:bottom w:val="nil"/>
              <w:right w:val="nil"/>
            </w:tcBorders>
            <w:shd w:val="clear" w:color="auto" w:fill="auto"/>
            <w:noWrap/>
          </w:tcPr>
          <w:p w14:paraId="4CB433BB" w14:textId="1D4DF51B" w:rsidR="00B97AB4" w:rsidRPr="00205C60" w:rsidRDefault="00324832" w:rsidP="00984E25">
            <w:pPr>
              <w:jc w:val="center"/>
              <w:rPr>
                <w:rFonts w:ascii="Verdana" w:hAnsi="Verdana"/>
                <w:sz w:val="22"/>
                <w:szCs w:val="22"/>
              </w:rPr>
            </w:pPr>
            <w:r w:rsidRPr="00205C60">
              <w:rPr>
                <w:rFonts w:ascii="Verdana" w:hAnsi="Verdana"/>
                <w:color w:val="000000"/>
                <w:sz w:val="22"/>
                <w:szCs w:val="22"/>
                <w:lang w:val="en-US"/>
              </w:rPr>
              <w:t>11,89</w:t>
            </w:r>
            <w:r w:rsidR="00B97AB4" w:rsidRPr="00205C60">
              <w:rPr>
                <w:rFonts w:ascii="Verdana" w:hAnsi="Verdana"/>
                <w:color w:val="000000"/>
                <w:sz w:val="22"/>
                <w:szCs w:val="22"/>
                <w:lang w:val="en-US"/>
              </w:rPr>
              <w:t>%</w:t>
            </w:r>
          </w:p>
        </w:tc>
        <w:tc>
          <w:tcPr>
            <w:tcW w:w="0" w:type="auto"/>
            <w:tcBorders>
              <w:top w:val="nil"/>
              <w:left w:val="nil"/>
              <w:bottom w:val="nil"/>
              <w:right w:val="nil"/>
            </w:tcBorders>
            <w:shd w:val="clear" w:color="auto" w:fill="auto"/>
            <w:noWrap/>
            <w:vAlign w:val="bottom"/>
          </w:tcPr>
          <w:p w14:paraId="38317755" w14:textId="77777777" w:rsidR="00B97AB4" w:rsidRPr="00205C60" w:rsidRDefault="00B97AB4" w:rsidP="00984E25">
            <w:pPr>
              <w:rPr>
                <w:rFonts w:ascii="Verdana" w:hAnsi="Verdana"/>
                <w:color w:val="000000"/>
                <w:sz w:val="22"/>
                <w:szCs w:val="22"/>
                <w:lang w:val="en-US"/>
              </w:rPr>
            </w:pPr>
          </w:p>
        </w:tc>
        <w:tc>
          <w:tcPr>
            <w:tcW w:w="0" w:type="auto"/>
            <w:tcBorders>
              <w:top w:val="nil"/>
              <w:left w:val="nil"/>
              <w:bottom w:val="nil"/>
              <w:right w:val="nil"/>
            </w:tcBorders>
            <w:shd w:val="clear" w:color="auto" w:fill="auto"/>
            <w:noWrap/>
            <w:vAlign w:val="bottom"/>
          </w:tcPr>
          <w:p w14:paraId="5CBBCF05" w14:textId="5543C8DA" w:rsidR="00B97AB4" w:rsidRPr="00205C60" w:rsidRDefault="005E17CC" w:rsidP="00984E25">
            <w:pPr>
              <w:ind w:left="-45"/>
              <w:jc w:val="right"/>
              <w:rPr>
                <w:rFonts w:ascii="Verdana" w:hAnsi="Verdana"/>
                <w:color w:val="000000"/>
                <w:sz w:val="22"/>
                <w:szCs w:val="22"/>
                <w:lang w:val="es-CR"/>
              </w:rPr>
            </w:pPr>
            <w:r w:rsidRPr="00205C60">
              <w:rPr>
                <w:rFonts w:ascii="Verdana" w:hAnsi="Verdana"/>
                <w:color w:val="000000"/>
                <w:sz w:val="22"/>
                <w:szCs w:val="22"/>
                <w:lang w:val="es-CR"/>
              </w:rPr>
              <w:t>2</w:t>
            </w:r>
            <w:r w:rsidR="00B97AB4" w:rsidRPr="00205C60">
              <w:rPr>
                <w:rFonts w:ascii="Verdana" w:hAnsi="Verdana"/>
                <w:color w:val="000000"/>
                <w:sz w:val="22"/>
                <w:szCs w:val="22"/>
                <w:lang w:val="es-CR"/>
              </w:rPr>
              <w:t>.</w:t>
            </w:r>
            <w:r w:rsidRPr="00205C60">
              <w:rPr>
                <w:rFonts w:ascii="Verdana" w:hAnsi="Verdana"/>
                <w:color w:val="000000"/>
                <w:sz w:val="22"/>
                <w:szCs w:val="22"/>
                <w:lang w:val="es-CR"/>
              </w:rPr>
              <w:t>885</w:t>
            </w:r>
            <w:r w:rsidR="00B97AB4" w:rsidRPr="00205C60">
              <w:rPr>
                <w:rFonts w:ascii="Verdana" w:hAnsi="Verdana"/>
                <w:color w:val="000000"/>
                <w:sz w:val="22"/>
                <w:szCs w:val="22"/>
                <w:lang w:val="es-CR"/>
              </w:rPr>
              <w:t>.</w:t>
            </w:r>
            <w:r w:rsidRPr="00205C60">
              <w:rPr>
                <w:rFonts w:ascii="Verdana" w:hAnsi="Verdana"/>
                <w:color w:val="000000"/>
                <w:sz w:val="22"/>
                <w:szCs w:val="22"/>
                <w:lang w:val="es-CR"/>
              </w:rPr>
              <w:t>788</w:t>
            </w:r>
          </w:p>
        </w:tc>
        <w:tc>
          <w:tcPr>
            <w:tcW w:w="0" w:type="auto"/>
            <w:tcBorders>
              <w:top w:val="nil"/>
              <w:left w:val="nil"/>
              <w:bottom w:val="nil"/>
              <w:right w:val="nil"/>
            </w:tcBorders>
            <w:shd w:val="clear" w:color="auto" w:fill="auto"/>
            <w:noWrap/>
            <w:vAlign w:val="center"/>
          </w:tcPr>
          <w:p w14:paraId="2C01D62C" w14:textId="77777777" w:rsidR="00B97AB4" w:rsidRPr="00205C60" w:rsidRDefault="00B97AB4" w:rsidP="00984E25">
            <w:pPr>
              <w:jc w:val="right"/>
              <w:rPr>
                <w:rFonts w:ascii="Verdana" w:hAnsi="Verdana"/>
                <w:color w:val="000000"/>
                <w:sz w:val="22"/>
                <w:szCs w:val="22"/>
                <w:lang w:val="en-US"/>
              </w:rPr>
            </w:pPr>
          </w:p>
        </w:tc>
        <w:tc>
          <w:tcPr>
            <w:tcW w:w="1555" w:type="dxa"/>
            <w:tcBorders>
              <w:top w:val="nil"/>
              <w:left w:val="nil"/>
              <w:bottom w:val="nil"/>
              <w:right w:val="nil"/>
            </w:tcBorders>
            <w:shd w:val="clear" w:color="auto" w:fill="auto"/>
            <w:noWrap/>
            <w:vAlign w:val="center"/>
          </w:tcPr>
          <w:p w14:paraId="5D822A47" w14:textId="41802C9A" w:rsidR="00B97AB4" w:rsidRPr="00205C60" w:rsidRDefault="00B97AB4" w:rsidP="00984E25">
            <w:pPr>
              <w:jc w:val="right"/>
              <w:rPr>
                <w:rFonts w:ascii="Verdana" w:hAnsi="Verdana"/>
                <w:color w:val="000000"/>
                <w:sz w:val="22"/>
                <w:szCs w:val="22"/>
                <w:lang w:val="en-US"/>
              </w:rPr>
            </w:pPr>
            <w:r w:rsidRPr="00205C60">
              <w:rPr>
                <w:rFonts w:ascii="Verdana" w:hAnsi="Verdana"/>
                <w:color w:val="000000"/>
                <w:sz w:val="22"/>
                <w:szCs w:val="22"/>
                <w:lang w:val="en-US"/>
              </w:rPr>
              <w:t>(3</w:t>
            </w:r>
            <w:r w:rsidR="005E17CC" w:rsidRPr="00205C60">
              <w:rPr>
                <w:rFonts w:ascii="Verdana" w:hAnsi="Verdana"/>
                <w:color w:val="000000"/>
                <w:sz w:val="22"/>
                <w:szCs w:val="22"/>
                <w:lang w:val="en-US"/>
              </w:rPr>
              <w:t>0</w:t>
            </w:r>
            <w:r w:rsidRPr="00205C60">
              <w:rPr>
                <w:rFonts w:ascii="Verdana" w:hAnsi="Verdana"/>
                <w:color w:val="000000"/>
                <w:sz w:val="22"/>
                <w:szCs w:val="22"/>
                <w:lang w:val="en-US"/>
              </w:rPr>
              <w:t>.</w:t>
            </w:r>
            <w:r w:rsidR="005E17CC" w:rsidRPr="00205C60">
              <w:rPr>
                <w:rFonts w:ascii="Verdana" w:hAnsi="Verdana"/>
                <w:color w:val="000000"/>
                <w:sz w:val="22"/>
                <w:szCs w:val="22"/>
                <w:lang w:val="en-US"/>
              </w:rPr>
              <w:t>509</w:t>
            </w:r>
            <w:r w:rsidRPr="00205C60">
              <w:rPr>
                <w:rFonts w:ascii="Verdana" w:hAnsi="Verdana"/>
                <w:color w:val="000000"/>
                <w:sz w:val="22"/>
                <w:szCs w:val="22"/>
                <w:lang w:val="en-US"/>
              </w:rPr>
              <w:t>)</w:t>
            </w:r>
          </w:p>
        </w:tc>
        <w:tc>
          <w:tcPr>
            <w:tcW w:w="294" w:type="dxa"/>
            <w:tcBorders>
              <w:top w:val="nil"/>
              <w:left w:val="nil"/>
              <w:bottom w:val="nil"/>
              <w:right w:val="nil"/>
            </w:tcBorders>
            <w:shd w:val="clear" w:color="auto" w:fill="auto"/>
            <w:noWrap/>
            <w:vAlign w:val="bottom"/>
          </w:tcPr>
          <w:p w14:paraId="659CCCE4" w14:textId="77777777" w:rsidR="00B97AB4" w:rsidRPr="00205C60" w:rsidRDefault="00B97AB4" w:rsidP="00984E25">
            <w:pPr>
              <w:jc w:val="right"/>
              <w:rPr>
                <w:rFonts w:ascii="Verdana" w:hAnsi="Verdana"/>
                <w:color w:val="000000"/>
                <w:sz w:val="22"/>
                <w:szCs w:val="22"/>
                <w:lang w:val="en-US"/>
              </w:rPr>
            </w:pPr>
          </w:p>
        </w:tc>
        <w:tc>
          <w:tcPr>
            <w:tcW w:w="0" w:type="auto"/>
            <w:tcBorders>
              <w:top w:val="nil"/>
              <w:left w:val="nil"/>
              <w:bottom w:val="nil"/>
              <w:right w:val="nil"/>
            </w:tcBorders>
            <w:shd w:val="clear" w:color="auto" w:fill="auto"/>
            <w:noWrap/>
            <w:vAlign w:val="center"/>
          </w:tcPr>
          <w:p w14:paraId="4B6D44A2" w14:textId="77777777" w:rsidR="00B97AB4" w:rsidRPr="00205C60" w:rsidRDefault="00B97AB4" w:rsidP="00984E25">
            <w:pPr>
              <w:jc w:val="center"/>
              <w:rPr>
                <w:rFonts w:ascii="Verdana" w:hAnsi="Verdana"/>
                <w:color w:val="000000"/>
                <w:sz w:val="22"/>
                <w:szCs w:val="22"/>
                <w:lang w:val="en-US"/>
              </w:rPr>
            </w:pPr>
            <w:r w:rsidRPr="00205C60">
              <w:rPr>
                <w:rFonts w:ascii="Verdana" w:hAnsi="Verdana"/>
                <w:color w:val="000000"/>
                <w:sz w:val="22"/>
                <w:szCs w:val="22"/>
                <w:lang w:val="en-US"/>
              </w:rPr>
              <w:t>No</w:t>
            </w:r>
          </w:p>
        </w:tc>
      </w:tr>
      <w:tr w:rsidR="00B97AB4" w:rsidRPr="00205C60" w14:paraId="36C58B2B" w14:textId="77777777" w:rsidTr="00984E25">
        <w:trPr>
          <w:trHeight w:val="36"/>
        </w:trPr>
        <w:tc>
          <w:tcPr>
            <w:tcW w:w="0" w:type="auto"/>
            <w:tcBorders>
              <w:top w:val="nil"/>
              <w:left w:val="nil"/>
              <w:bottom w:val="nil"/>
              <w:right w:val="nil"/>
            </w:tcBorders>
            <w:shd w:val="clear" w:color="auto" w:fill="auto"/>
            <w:noWrap/>
            <w:vAlign w:val="center"/>
            <w:hideMark/>
          </w:tcPr>
          <w:p w14:paraId="1A3CFDA8" w14:textId="77777777" w:rsidR="00B97AB4" w:rsidRPr="00205C60" w:rsidRDefault="00B97AB4" w:rsidP="00984E25">
            <w:pPr>
              <w:rPr>
                <w:rFonts w:ascii="Verdana" w:hAnsi="Verdana"/>
                <w:color w:val="000000"/>
                <w:sz w:val="22"/>
                <w:szCs w:val="22"/>
                <w:lang w:val="en-US"/>
              </w:rPr>
            </w:pPr>
            <w:r w:rsidRPr="00205C60">
              <w:rPr>
                <w:rFonts w:ascii="Verdana" w:hAnsi="Verdana"/>
                <w:color w:val="000000"/>
                <w:sz w:val="22"/>
                <w:szCs w:val="22"/>
                <w:lang w:val="en-US"/>
              </w:rPr>
              <w:t>De 31 a 60 días</w:t>
            </w:r>
          </w:p>
        </w:tc>
        <w:tc>
          <w:tcPr>
            <w:tcW w:w="0" w:type="auto"/>
            <w:tcBorders>
              <w:top w:val="nil"/>
              <w:left w:val="nil"/>
              <w:bottom w:val="nil"/>
              <w:right w:val="nil"/>
            </w:tcBorders>
            <w:shd w:val="clear" w:color="auto" w:fill="auto"/>
            <w:noWrap/>
            <w:vAlign w:val="bottom"/>
          </w:tcPr>
          <w:p w14:paraId="30DBD845" w14:textId="77777777" w:rsidR="00B97AB4" w:rsidRPr="00205C60" w:rsidRDefault="00B97AB4" w:rsidP="00984E25">
            <w:pPr>
              <w:rPr>
                <w:rFonts w:ascii="Verdana" w:hAnsi="Verdana"/>
                <w:color w:val="000000"/>
                <w:sz w:val="22"/>
                <w:szCs w:val="22"/>
                <w:lang w:val="en-US"/>
              </w:rPr>
            </w:pPr>
          </w:p>
        </w:tc>
        <w:tc>
          <w:tcPr>
            <w:tcW w:w="1257" w:type="dxa"/>
            <w:tcBorders>
              <w:top w:val="nil"/>
              <w:left w:val="nil"/>
              <w:bottom w:val="nil"/>
              <w:right w:val="nil"/>
            </w:tcBorders>
            <w:shd w:val="clear" w:color="auto" w:fill="auto"/>
            <w:noWrap/>
          </w:tcPr>
          <w:p w14:paraId="7D04986B" w14:textId="138B23EF" w:rsidR="00B97AB4" w:rsidRPr="00205C60" w:rsidRDefault="00324832" w:rsidP="00984E25">
            <w:pPr>
              <w:jc w:val="center"/>
              <w:rPr>
                <w:rFonts w:ascii="Verdana" w:hAnsi="Verdana"/>
                <w:sz w:val="22"/>
                <w:szCs w:val="22"/>
              </w:rPr>
            </w:pPr>
            <w:r w:rsidRPr="00205C60">
              <w:rPr>
                <w:rFonts w:ascii="Verdana" w:hAnsi="Verdana"/>
                <w:color w:val="000000"/>
                <w:sz w:val="22"/>
                <w:szCs w:val="22"/>
                <w:lang w:val="en-US"/>
              </w:rPr>
              <w:t>5,34</w:t>
            </w:r>
            <w:r w:rsidR="00B97AB4" w:rsidRPr="00205C60">
              <w:rPr>
                <w:rFonts w:ascii="Verdana" w:hAnsi="Verdana"/>
                <w:color w:val="000000"/>
                <w:sz w:val="22"/>
                <w:szCs w:val="22"/>
                <w:lang w:val="en-US"/>
              </w:rPr>
              <w:t>%</w:t>
            </w:r>
          </w:p>
        </w:tc>
        <w:tc>
          <w:tcPr>
            <w:tcW w:w="0" w:type="auto"/>
            <w:tcBorders>
              <w:top w:val="nil"/>
              <w:left w:val="nil"/>
              <w:bottom w:val="nil"/>
              <w:right w:val="nil"/>
            </w:tcBorders>
            <w:shd w:val="clear" w:color="auto" w:fill="auto"/>
            <w:noWrap/>
            <w:vAlign w:val="bottom"/>
          </w:tcPr>
          <w:p w14:paraId="34583A68" w14:textId="77777777" w:rsidR="00B97AB4" w:rsidRPr="00205C60" w:rsidRDefault="00B97AB4" w:rsidP="00984E25">
            <w:pPr>
              <w:rPr>
                <w:rFonts w:ascii="Verdana" w:hAnsi="Verdana"/>
                <w:color w:val="000000"/>
                <w:sz w:val="22"/>
                <w:szCs w:val="22"/>
                <w:lang w:val="en-US"/>
              </w:rPr>
            </w:pPr>
          </w:p>
        </w:tc>
        <w:tc>
          <w:tcPr>
            <w:tcW w:w="0" w:type="auto"/>
            <w:tcBorders>
              <w:top w:val="nil"/>
              <w:left w:val="nil"/>
              <w:bottom w:val="nil"/>
              <w:right w:val="nil"/>
            </w:tcBorders>
            <w:shd w:val="clear" w:color="auto" w:fill="auto"/>
            <w:noWrap/>
            <w:vAlign w:val="bottom"/>
          </w:tcPr>
          <w:p w14:paraId="37C5733C" w14:textId="113A130C" w:rsidR="00B97AB4" w:rsidRPr="00205C60" w:rsidRDefault="005E17CC" w:rsidP="00984E25">
            <w:pPr>
              <w:ind w:left="-45"/>
              <w:jc w:val="right"/>
              <w:rPr>
                <w:rFonts w:ascii="Verdana" w:hAnsi="Verdana"/>
                <w:color w:val="000000"/>
                <w:sz w:val="22"/>
                <w:szCs w:val="22"/>
                <w:lang w:val="es-CR"/>
              </w:rPr>
            </w:pPr>
            <w:r w:rsidRPr="00205C60">
              <w:rPr>
                <w:rFonts w:ascii="Verdana" w:hAnsi="Verdana"/>
                <w:color w:val="000000"/>
                <w:sz w:val="22"/>
                <w:szCs w:val="22"/>
                <w:lang w:val="es-CR"/>
              </w:rPr>
              <w:t>621</w:t>
            </w:r>
            <w:r w:rsidR="00B97AB4" w:rsidRPr="00205C60">
              <w:rPr>
                <w:rFonts w:ascii="Verdana" w:hAnsi="Verdana"/>
                <w:color w:val="000000"/>
                <w:sz w:val="22"/>
                <w:szCs w:val="22"/>
                <w:lang w:val="es-CR"/>
              </w:rPr>
              <w:t>.</w:t>
            </w:r>
            <w:r w:rsidRPr="00205C60">
              <w:rPr>
                <w:rFonts w:ascii="Verdana" w:hAnsi="Verdana"/>
                <w:color w:val="000000"/>
                <w:sz w:val="22"/>
                <w:szCs w:val="22"/>
                <w:lang w:val="es-CR"/>
              </w:rPr>
              <w:t>2</w:t>
            </w:r>
            <w:r w:rsidR="00B97AB4" w:rsidRPr="00205C60">
              <w:rPr>
                <w:rFonts w:ascii="Verdana" w:hAnsi="Verdana"/>
                <w:color w:val="000000"/>
                <w:sz w:val="22"/>
                <w:szCs w:val="22"/>
                <w:lang w:val="es-CR"/>
              </w:rPr>
              <w:t>36</w:t>
            </w:r>
          </w:p>
        </w:tc>
        <w:tc>
          <w:tcPr>
            <w:tcW w:w="0" w:type="auto"/>
            <w:tcBorders>
              <w:top w:val="nil"/>
              <w:left w:val="nil"/>
              <w:bottom w:val="nil"/>
              <w:right w:val="nil"/>
            </w:tcBorders>
            <w:shd w:val="clear" w:color="auto" w:fill="auto"/>
            <w:noWrap/>
            <w:vAlign w:val="center"/>
          </w:tcPr>
          <w:p w14:paraId="2CE29B44" w14:textId="77777777" w:rsidR="00B97AB4" w:rsidRPr="00205C60" w:rsidRDefault="00B97AB4" w:rsidP="00984E25">
            <w:pPr>
              <w:jc w:val="right"/>
              <w:rPr>
                <w:rFonts w:ascii="Verdana" w:hAnsi="Verdana"/>
                <w:color w:val="000000"/>
                <w:sz w:val="22"/>
                <w:szCs w:val="22"/>
                <w:lang w:val="en-US"/>
              </w:rPr>
            </w:pPr>
          </w:p>
        </w:tc>
        <w:tc>
          <w:tcPr>
            <w:tcW w:w="1555" w:type="dxa"/>
            <w:tcBorders>
              <w:top w:val="nil"/>
              <w:left w:val="nil"/>
              <w:bottom w:val="nil"/>
              <w:right w:val="nil"/>
            </w:tcBorders>
            <w:shd w:val="clear" w:color="auto" w:fill="auto"/>
            <w:noWrap/>
          </w:tcPr>
          <w:p w14:paraId="0C6B4AB6" w14:textId="24528104" w:rsidR="00B97AB4" w:rsidRPr="00205C60" w:rsidRDefault="00B97AB4" w:rsidP="00984E25">
            <w:pPr>
              <w:jc w:val="right"/>
              <w:rPr>
                <w:rFonts w:ascii="Verdana" w:hAnsi="Verdana"/>
                <w:sz w:val="22"/>
                <w:szCs w:val="22"/>
              </w:rPr>
            </w:pPr>
            <w:r w:rsidRPr="00205C60">
              <w:rPr>
                <w:rFonts w:ascii="Verdana" w:hAnsi="Verdana"/>
                <w:color w:val="000000"/>
                <w:sz w:val="22"/>
                <w:szCs w:val="22"/>
                <w:lang w:val="en-US"/>
              </w:rPr>
              <w:t>(</w:t>
            </w:r>
            <w:r w:rsidR="00B33A37" w:rsidRPr="00205C60">
              <w:rPr>
                <w:rFonts w:ascii="Verdana" w:hAnsi="Verdana"/>
                <w:color w:val="000000"/>
                <w:sz w:val="22"/>
                <w:szCs w:val="22"/>
                <w:lang w:val="en-US"/>
              </w:rPr>
              <w:t>2</w:t>
            </w:r>
            <w:r w:rsidRPr="00205C60">
              <w:rPr>
                <w:rFonts w:ascii="Verdana" w:hAnsi="Verdana"/>
                <w:color w:val="000000"/>
                <w:sz w:val="22"/>
                <w:szCs w:val="22"/>
                <w:lang w:val="en-US"/>
              </w:rPr>
              <w:t>7.</w:t>
            </w:r>
            <w:r w:rsidR="00B33A37" w:rsidRPr="00205C60">
              <w:rPr>
                <w:rFonts w:ascii="Verdana" w:hAnsi="Verdana"/>
                <w:color w:val="000000"/>
                <w:sz w:val="22"/>
                <w:szCs w:val="22"/>
                <w:lang w:val="en-US"/>
              </w:rPr>
              <w:t>504</w:t>
            </w:r>
            <w:r w:rsidRPr="00205C60">
              <w:rPr>
                <w:rFonts w:ascii="Verdana" w:hAnsi="Verdana"/>
                <w:color w:val="000000"/>
                <w:sz w:val="22"/>
                <w:szCs w:val="22"/>
                <w:lang w:val="en-US"/>
              </w:rPr>
              <w:t>)</w:t>
            </w:r>
          </w:p>
        </w:tc>
        <w:tc>
          <w:tcPr>
            <w:tcW w:w="294" w:type="dxa"/>
            <w:tcBorders>
              <w:top w:val="nil"/>
              <w:left w:val="nil"/>
              <w:bottom w:val="nil"/>
              <w:right w:val="nil"/>
            </w:tcBorders>
            <w:shd w:val="clear" w:color="auto" w:fill="auto"/>
            <w:noWrap/>
            <w:vAlign w:val="bottom"/>
          </w:tcPr>
          <w:p w14:paraId="0B1DD4C7" w14:textId="77777777" w:rsidR="00B97AB4" w:rsidRPr="00205C60" w:rsidRDefault="00B97AB4" w:rsidP="00984E25">
            <w:pPr>
              <w:jc w:val="right"/>
              <w:rPr>
                <w:rFonts w:ascii="Verdana" w:hAnsi="Verdana"/>
                <w:color w:val="000000"/>
                <w:sz w:val="22"/>
                <w:szCs w:val="22"/>
                <w:lang w:val="en-US"/>
              </w:rPr>
            </w:pPr>
          </w:p>
        </w:tc>
        <w:tc>
          <w:tcPr>
            <w:tcW w:w="0" w:type="auto"/>
            <w:tcBorders>
              <w:top w:val="nil"/>
              <w:left w:val="nil"/>
              <w:bottom w:val="nil"/>
              <w:right w:val="nil"/>
            </w:tcBorders>
            <w:shd w:val="clear" w:color="auto" w:fill="auto"/>
            <w:noWrap/>
            <w:vAlign w:val="center"/>
          </w:tcPr>
          <w:p w14:paraId="127893AA" w14:textId="5CAEC3FE" w:rsidR="00B97AB4" w:rsidRPr="00205C60" w:rsidRDefault="00002ABD" w:rsidP="00984E25">
            <w:pPr>
              <w:jc w:val="center"/>
              <w:rPr>
                <w:rFonts w:ascii="Verdana" w:hAnsi="Verdana"/>
                <w:color w:val="000000"/>
                <w:sz w:val="22"/>
                <w:szCs w:val="22"/>
                <w:lang w:val="en-US"/>
              </w:rPr>
            </w:pPr>
            <w:r w:rsidRPr="00205C60">
              <w:rPr>
                <w:rFonts w:ascii="Verdana" w:hAnsi="Verdana"/>
                <w:color w:val="000000"/>
                <w:sz w:val="22"/>
                <w:szCs w:val="22"/>
                <w:lang w:val="en-US"/>
              </w:rPr>
              <w:t>Si</w:t>
            </w:r>
          </w:p>
        </w:tc>
      </w:tr>
      <w:tr w:rsidR="00B97AB4" w:rsidRPr="00205C60" w14:paraId="49AA2146" w14:textId="77777777" w:rsidTr="00984E25">
        <w:trPr>
          <w:trHeight w:val="36"/>
        </w:trPr>
        <w:tc>
          <w:tcPr>
            <w:tcW w:w="0" w:type="auto"/>
            <w:tcBorders>
              <w:top w:val="nil"/>
              <w:left w:val="nil"/>
              <w:bottom w:val="nil"/>
              <w:right w:val="nil"/>
            </w:tcBorders>
            <w:shd w:val="clear" w:color="auto" w:fill="auto"/>
            <w:noWrap/>
            <w:vAlign w:val="center"/>
            <w:hideMark/>
          </w:tcPr>
          <w:p w14:paraId="5378C31E" w14:textId="77777777" w:rsidR="00B97AB4" w:rsidRPr="00205C60" w:rsidRDefault="00B97AB4" w:rsidP="00984E25">
            <w:pPr>
              <w:rPr>
                <w:rFonts w:ascii="Verdana" w:hAnsi="Verdana"/>
                <w:color w:val="000000"/>
                <w:sz w:val="22"/>
                <w:szCs w:val="22"/>
                <w:lang w:val="en-US"/>
              </w:rPr>
            </w:pPr>
            <w:r w:rsidRPr="00205C60">
              <w:rPr>
                <w:rFonts w:ascii="Verdana" w:hAnsi="Verdana"/>
                <w:color w:val="000000"/>
                <w:sz w:val="22"/>
                <w:szCs w:val="22"/>
                <w:lang w:val="en-US"/>
              </w:rPr>
              <w:t>De 61 a 180 días</w:t>
            </w:r>
          </w:p>
        </w:tc>
        <w:tc>
          <w:tcPr>
            <w:tcW w:w="0" w:type="auto"/>
            <w:tcBorders>
              <w:top w:val="nil"/>
              <w:left w:val="nil"/>
              <w:bottom w:val="nil"/>
              <w:right w:val="nil"/>
            </w:tcBorders>
            <w:shd w:val="clear" w:color="auto" w:fill="auto"/>
            <w:noWrap/>
            <w:vAlign w:val="bottom"/>
          </w:tcPr>
          <w:p w14:paraId="5AE22F36" w14:textId="77777777" w:rsidR="00B97AB4" w:rsidRPr="00205C60" w:rsidRDefault="00B97AB4" w:rsidP="00984E25">
            <w:pPr>
              <w:rPr>
                <w:rFonts w:ascii="Verdana" w:hAnsi="Verdana"/>
                <w:color w:val="000000"/>
                <w:sz w:val="22"/>
                <w:szCs w:val="22"/>
                <w:lang w:val="en-US"/>
              </w:rPr>
            </w:pPr>
          </w:p>
        </w:tc>
        <w:tc>
          <w:tcPr>
            <w:tcW w:w="1257" w:type="dxa"/>
            <w:tcBorders>
              <w:top w:val="nil"/>
              <w:left w:val="nil"/>
              <w:bottom w:val="nil"/>
              <w:right w:val="nil"/>
            </w:tcBorders>
            <w:shd w:val="clear" w:color="auto" w:fill="auto"/>
            <w:noWrap/>
          </w:tcPr>
          <w:p w14:paraId="323A183D" w14:textId="50FD20D2" w:rsidR="00B97AB4" w:rsidRPr="00205C60" w:rsidRDefault="00324832" w:rsidP="00984E25">
            <w:pPr>
              <w:jc w:val="center"/>
              <w:rPr>
                <w:rFonts w:ascii="Verdana" w:hAnsi="Verdana"/>
                <w:sz w:val="22"/>
                <w:szCs w:val="22"/>
              </w:rPr>
            </w:pPr>
            <w:r w:rsidRPr="00205C60">
              <w:rPr>
                <w:rFonts w:ascii="Verdana" w:hAnsi="Verdana"/>
                <w:color w:val="000000"/>
                <w:sz w:val="22"/>
                <w:szCs w:val="22"/>
                <w:lang w:val="en-US"/>
              </w:rPr>
              <w:t>5,80</w:t>
            </w:r>
            <w:r w:rsidR="00B97AB4" w:rsidRPr="00205C60">
              <w:rPr>
                <w:rFonts w:ascii="Verdana" w:hAnsi="Verdana"/>
                <w:color w:val="000000"/>
                <w:sz w:val="22"/>
                <w:szCs w:val="22"/>
                <w:lang w:val="en-US"/>
              </w:rPr>
              <w:t>%</w:t>
            </w:r>
          </w:p>
        </w:tc>
        <w:tc>
          <w:tcPr>
            <w:tcW w:w="0" w:type="auto"/>
            <w:tcBorders>
              <w:top w:val="nil"/>
              <w:left w:val="nil"/>
              <w:bottom w:val="nil"/>
              <w:right w:val="nil"/>
            </w:tcBorders>
            <w:shd w:val="clear" w:color="auto" w:fill="auto"/>
            <w:noWrap/>
            <w:vAlign w:val="bottom"/>
          </w:tcPr>
          <w:p w14:paraId="79C0AC08" w14:textId="77777777" w:rsidR="00B97AB4" w:rsidRPr="00205C60" w:rsidRDefault="00B97AB4" w:rsidP="00984E25">
            <w:pPr>
              <w:rPr>
                <w:rFonts w:ascii="Verdana" w:hAnsi="Verdana"/>
                <w:color w:val="000000"/>
                <w:sz w:val="22"/>
                <w:szCs w:val="22"/>
                <w:lang w:val="en-US"/>
              </w:rPr>
            </w:pPr>
          </w:p>
        </w:tc>
        <w:tc>
          <w:tcPr>
            <w:tcW w:w="0" w:type="auto"/>
            <w:tcBorders>
              <w:top w:val="nil"/>
              <w:left w:val="nil"/>
              <w:right w:val="nil"/>
            </w:tcBorders>
            <w:shd w:val="clear" w:color="auto" w:fill="auto"/>
            <w:noWrap/>
            <w:vAlign w:val="bottom"/>
          </w:tcPr>
          <w:p w14:paraId="6F94A0DF" w14:textId="4BFF0B7D" w:rsidR="00B97AB4" w:rsidRPr="00205C60" w:rsidRDefault="005E17CC" w:rsidP="00984E25">
            <w:pPr>
              <w:ind w:left="-45"/>
              <w:jc w:val="right"/>
              <w:rPr>
                <w:rFonts w:ascii="Verdana" w:hAnsi="Verdana"/>
                <w:color w:val="000000"/>
                <w:sz w:val="22"/>
                <w:szCs w:val="22"/>
                <w:lang w:val="es-CR"/>
              </w:rPr>
            </w:pPr>
            <w:r w:rsidRPr="00205C60">
              <w:rPr>
                <w:rFonts w:ascii="Verdana" w:hAnsi="Verdana"/>
                <w:color w:val="000000"/>
                <w:sz w:val="22"/>
                <w:szCs w:val="22"/>
                <w:lang w:val="es-CR"/>
              </w:rPr>
              <w:t>283</w:t>
            </w:r>
            <w:r w:rsidR="00B97AB4" w:rsidRPr="00205C60">
              <w:rPr>
                <w:rFonts w:ascii="Verdana" w:hAnsi="Verdana"/>
                <w:color w:val="000000"/>
                <w:sz w:val="22"/>
                <w:szCs w:val="22"/>
                <w:lang w:val="es-CR"/>
              </w:rPr>
              <w:t>.</w:t>
            </w:r>
            <w:r w:rsidRPr="00205C60">
              <w:rPr>
                <w:rFonts w:ascii="Verdana" w:hAnsi="Verdana"/>
                <w:color w:val="000000"/>
                <w:sz w:val="22"/>
                <w:szCs w:val="22"/>
                <w:lang w:val="es-CR"/>
              </w:rPr>
              <w:t>544</w:t>
            </w:r>
          </w:p>
        </w:tc>
        <w:tc>
          <w:tcPr>
            <w:tcW w:w="0" w:type="auto"/>
            <w:tcBorders>
              <w:top w:val="nil"/>
              <w:left w:val="nil"/>
              <w:right w:val="nil"/>
            </w:tcBorders>
            <w:shd w:val="clear" w:color="auto" w:fill="auto"/>
            <w:noWrap/>
            <w:vAlign w:val="center"/>
          </w:tcPr>
          <w:p w14:paraId="33EC6F7E" w14:textId="77777777" w:rsidR="00B97AB4" w:rsidRPr="00205C60" w:rsidRDefault="00B97AB4" w:rsidP="00984E25">
            <w:pPr>
              <w:jc w:val="right"/>
              <w:rPr>
                <w:rFonts w:ascii="Verdana" w:hAnsi="Verdana"/>
                <w:color w:val="000000"/>
                <w:sz w:val="22"/>
                <w:szCs w:val="22"/>
                <w:lang w:val="en-US"/>
              </w:rPr>
            </w:pPr>
          </w:p>
        </w:tc>
        <w:tc>
          <w:tcPr>
            <w:tcW w:w="1555" w:type="dxa"/>
            <w:tcBorders>
              <w:top w:val="nil"/>
              <w:left w:val="nil"/>
              <w:right w:val="nil"/>
            </w:tcBorders>
            <w:shd w:val="clear" w:color="auto" w:fill="auto"/>
            <w:noWrap/>
          </w:tcPr>
          <w:p w14:paraId="107DFE95" w14:textId="04690627" w:rsidR="00B97AB4" w:rsidRPr="00205C60" w:rsidRDefault="00B97AB4" w:rsidP="00984E25">
            <w:pPr>
              <w:jc w:val="right"/>
              <w:rPr>
                <w:rFonts w:ascii="Verdana" w:hAnsi="Verdana"/>
                <w:sz w:val="22"/>
                <w:szCs w:val="22"/>
              </w:rPr>
            </w:pPr>
            <w:r w:rsidRPr="00205C60">
              <w:rPr>
                <w:rFonts w:ascii="Verdana" w:hAnsi="Verdana"/>
                <w:color w:val="000000"/>
                <w:sz w:val="22"/>
                <w:szCs w:val="22"/>
                <w:lang w:val="en-US"/>
              </w:rPr>
              <w:t>(</w:t>
            </w:r>
            <w:r w:rsidR="00B33A37" w:rsidRPr="00205C60">
              <w:rPr>
                <w:rFonts w:ascii="Verdana" w:hAnsi="Verdana"/>
                <w:color w:val="000000"/>
                <w:sz w:val="22"/>
                <w:szCs w:val="22"/>
                <w:lang w:val="en-US"/>
              </w:rPr>
              <w:t>39</w:t>
            </w:r>
            <w:r w:rsidRPr="00205C60">
              <w:rPr>
                <w:rFonts w:ascii="Verdana" w:hAnsi="Verdana"/>
                <w:color w:val="000000"/>
                <w:sz w:val="22"/>
                <w:szCs w:val="22"/>
                <w:lang w:val="en-US"/>
              </w:rPr>
              <w:t>.</w:t>
            </w:r>
            <w:r w:rsidR="00B33A37" w:rsidRPr="00205C60">
              <w:rPr>
                <w:rFonts w:ascii="Verdana" w:hAnsi="Verdana"/>
                <w:color w:val="000000"/>
                <w:sz w:val="22"/>
                <w:szCs w:val="22"/>
                <w:lang w:val="en-US"/>
              </w:rPr>
              <w:t>058</w:t>
            </w:r>
            <w:r w:rsidRPr="00205C60">
              <w:rPr>
                <w:rFonts w:ascii="Verdana" w:hAnsi="Verdana"/>
                <w:color w:val="000000"/>
                <w:sz w:val="22"/>
                <w:szCs w:val="22"/>
                <w:lang w:val="en-US"/>
              </w:rPr>
              <w:t>)</w:t>
            </w:r>
          </w:p>
        </w:tc>
        <w:tc>
          <w:tcPr>
            <w:tcW w:w="294" w:type="dxa"/>
            <w:tcBorders>
              <w:top w:val="nil"/>
              <w:left w:val="nil"/>
              <w:bottom w:val="nil"/>
              <w:right w:val="nil"/>
            </w:tcBorders>
            <w:shd w:val="clear" w:color="auto" w:fill="auto"/>
            <w:noWrap/>
            <w:vAlign w:val="bottom"/>
          </w:tcPr>
          <w:p w14:paraId="4C9C4A62" w14:textId="77777777" w:rsidR="00B97AB4" w:rsidRPr="00205C60" w:rsidRDefault="00B97AB4" w:rsidP="00984E25">
            <w:pPr>
              <w:jc w:val="right"/>
              <w:rPr>
                <w:rFonts w:ascii="Verdana" w:hAnsi="Verdana"/>
                <w:color w:val="000000"/>
                <w:sz w:val="22"/>
                <w:szCs w:val="22"/>
                <w:lang w:val="en-US"/>
              </w:rPr>
            </w:pPr>
          </w:p>
        </w:tc>
        <w:tc>
          <w:tcPr>
            <w:tcW w:w="0" w:type="auto"/>
            <w:tcBorders>
              <w:top w:val="nil"/>
              <w:left w:val="nil"/>
              <w:bottom w:val="nil"/>
              <w:right w:val="nil"/>
            </w:tcBorders>
            <w:shd w:val="clear" w:color="auto" w:fill="auto"/>
            <w:noWrap/>
            <w:vAlign w:val="center"/>
          </w:tcPr>
          <w:p w14:paraId="22DE6A8B" w14:textId="63AB9B71" w:rsidR="00B97AB4" w:rsidRPr="00205C60" w:rsidRDefault="00002ABD" w:rsidP="00984E25">
            <w:pPr>
              <w:jc w:val="center"/>
              <w:rPr>
                <w:rFonts w:ascii="Verdana" w:hAnsi="Verdana"/>
                <w:color w:val="000000"/>
                <w:sz w:val="22"/>
                <w:szCs w:val="22"/>
                <w:lang w:val="en-US"/>
              </w:rPr>
            </w:pPr>
            <w:r w:rsidRPr="00205C60">
              <w:rPr>
                <w:rFonts w:ascii="Verdana" w:hAnsi="Verdana"/>
                <w:color w:val="000000"/>
                <w:sz w:val="22"/>
                <w:szCs w:val="22"/>
                <w:lang w:val="en-US"/>
              </w:rPr>
              <w:t>Si</w:t>
            </w:r>
          </w:p>
        </w:tc>
      </w:tr>
      <w:tr w:rsidR="00B97AB4" w:rsidRPr="00205C60" w14:paraId="00297DFB" w14:textId="77777777" w:rsidTr="00984E25">
        <w:trPr>
          <w:trHeight w:val="36"/>
        </w:trPr>
        <w:tc>
          <w:tcPr>
            <w:tcW w:w="0" w:type="auto"/>
            <w:tcBorders>
              <w:top w:val="nil"/>
              <w:left w:val="nil"/>
              <w:bottom w:val="nil"/>
              <w:right w:val="nil"/>
            </w:tcBorders>
            <w:shd w:val="clear" w:color="auto" w:fill="auto"/>
            <w:noWrap/>
            <w:vAlign w:val="center"/>
            <w:hideMark/>
          </w:tcPr>
          <w:p w14:paraId="1ECB5EE9" w14:textId="77777777" w:rsidR="00B97AB4" w:rsidRPr="00205C60" w:rsidRDefault="00B97AB4" w:rsidP="00984E25">
            <w:pPr>
              <w:rPr>
                <w:rFonts w:ascii="Verdana" w:hAnsi="Verdana"/>
                <w:color w:val="000000"/>
                <w:sz w:val="22"/>
                <w:szCs w:val="22"/>
                <w:lang w:val="en-US"/>
              </w:rPr>
            </w:pPr>
            <w:r w:rsidRPr="00205C60">
              <w:rPr>
                <w:rFonts w:ascii="Verdana" w:hAnsi="Verdana"/>
                <w:color w:val="000000"/>
                <w:sz w:val="22"/>
                <w:szCs w:val="22"/>
                <w:lang w:val="en-US"/>
              </w:rPr>
              <w:t>De 181 a 360 días</w:t>
            </w:r>
          </w:p>
        </w:tc>
        <w:tc>
          <w:tcPr>
            <w:tcW w:w="0" w:type="auto"/>
            <w:tcBorders>
              <w:top w:val="nil"/>
              <w:left w:val="nil"/>
              <w:bottom w:val="nil"/>
              <w:right w:val="nil"/>
            </w:tcBorders>
            <w:shd w:val="clear" w:color="auto" w:fill="auto"/>
            <w:noWrap/>
            <w:vAlign w:val="bottom"/>
          </w:tcPr>
          <w:p w14:paraId="7B04DA5F" w14:textId="77777777" w:rsidR="00B97AB4" w:rsidRPr="00205C60" w:rsidRDefault="00B97AB4" w:rsidP="00984E25">
            <w:pPr>
              <w:rPr>
                <w:rFonts w:ascii="Verdana" w:hAnsi="Verdana"/>
                <w:color w:val="000000"/>
                <w:sz w:val="22"/>
                <w:szCs w:val="22"/>
                <w:lang w:val="en-US"/>
              </w:rPr>
            </w:pPr>
          </w:p>
        </w:tc>
        <w:tc>
          <w:tcPr>
            <w:tcW w:w="1257" w:type="dxa"/>
            <w:tcBorders>
              <w:top w:val="nil"/>
              <w:left w:val="nil"/>
              <w:bottom w:val="nil"/>
              <w:right w:val="nil"/>
            </w:tcBorders>
            <w:shd w:val="clear" w:color="auto" w:fill="auto"/>
            <w:noWrap/>
          </w:tcPr>
          <w:p w14:paraId="043A6487" w14:textId="15D4475F" w:rsidR="00B97AB4" w:rsidRPr="00205C60" w:rsidRDefault="00324832" w:rsidP="00984E25">
            <w:pPr>
              <w:jc w:val="center"/>
              <w:rPr>
                <w:rFonts w:ascii="Verdana" w:hAnsi="Verdana"/>
                <w:sz w:val="22"/>
                <w:szCs w:val="22"/>
              </w:rPr>
            </w:pPr>
            <w:r w:rsidRPr="00205C60">
              <w:rPr>
                <w:rFonts w:ascii="Verdana" w:hAnsi="Verdana"/>
                <w:sz w:val="22"/>
                <w:szCs w:val="22"/>
              </w:rPr>
              <w:t>6,10</w:t>
            </w:r>
            <w:r w:rsidR="00B97AB4" w:rsidRPr="00205C60">
              <w:rPr>
                <w:rFonts w:ascii="Verdana" w:hAnsi="Verdana"/>
                <w:sz w:val="22"/>
                <w:szCs w:val="22"/>
              </w:rPr>
              <w:t>%</w:t>
            </w:r>
          </w:p>
        </w:tc>
        <w:tc>
          <w:tcPr>
            <w:tcW w:w="0" w:type="auto"/>
            <w:tcBorders>
              <w:top w:val="nil"/>
              <w:left w:val="nil"/>
              <w:bottom w:val="nil"/>
              <w:right w:val="nil"/>
            </w:tcBorders>
            <w:shd w:val="clear" w:color="auto" w:fill="auto"/>
            <w:noWrap/>
            <w:vAlign w:val="bottom"/>
          </w:tcPr>
          <w:p w14:paraId="4F2F45D1" w14:textId="77777777" w:rsidR="00B97AB4" w:rsidRPr="00205C60" w:rsidRDefault="00B97AB4" w:rsidP="00984E25">
            <w:pPr>
              <w:rPr>
                <w:rFonts w:ascii="Verdana" w:hAnsi="Verdana"/>
                <w:sz w:val="22"/>
                <w:szCs w:val="22"/>
              </w:rPr>
            </w:pPr>
          </w:p>
        </w:tc>
        <w:tc>
          <w:tcPr>
            <w:tcW w:w="0" w:type="auto"/>
            <w:tcBorders>
              <w:top w:val="nil"/>
              <w:left w:val="nil"/>
              <w:bottom w:val="nil"/>
              <w:right w:val="nil"/>
            </w:tcBorders>
            <w:shd w:val="clear" w:color="auto" w:fill="auto"/>
            <w:noWrap/>
            <w:vAlign w:val="bottom"/>
          </w:tcPr>
          <w:p w14:paraId="6396344C" w14:textId="1F688B78" w:rsidR="00B97AB4" w:rsidRPr="00205C60" w:rsidRDefault="00B73690" w:rsidP="00984E25">
            <w:pPr>
              <w:ind w:left="-45"/>
              <w:jc w:val="right"/>
              <w:rPr>
                <w:rFonts w:ascii="Verdana" w:hAnsi="Verdana"/>
                <w:sz w:val="22"/>
                <w:szCs w:val="22"/>
              </w:rPr>
            </w:pPr>
            <w:r w:rsidRPr="00205C60">
              <w:rPr>
                <w:rFonts w:ascii="Verdana" w:hAnsi="Verdana"/>
                <w:sz w:val="22"/>
                <w:szCs w:val="22"/>
              </w:rPr>
              <w:t>574</w:t>
            </w:r>
            <w:r w:rsidR="00B97AB4" w:rsidRPr="00205C60">
              <w:rPr>
                <w:rFonts w:ascii="Verdana" w:hAnsi="Verdana"/>
                <w:sz w:val="22"/>
                <w:szCs w:val="22"/>
              </w:rPr>
              <w:t>.</w:t>
            </w:r>
            <w:r w:rsidRPr="00205C60">
              <w:rPr>
                <w:rFonts w:ascii="Verdana" w:hAnsi="Verdana"/>
                <w:sz w:val="22"/>
                <w:szCs w:val="22"/>
              </w:rPr>
              <w:t>689</w:t>
            </w:r>
          </w:p>
        </w:tc>
        <w:tc>
          <w:tcPr>
            <w:tcW w:w="0" w:type="auto"/>
            <w:tcBorders>
              <w:top w:val="nil"/>
              <w:left w:val="nil"/>
              <w:bottom w:val="nil"/>
              <w:right w:val="nil"/>
            </w:tcBorders>
            <w:shd w:val="clear" w:color="auto" w:fill="auto"/>
            <w:noWrap/>
            <w:vAlign w:val="center"/>
          </w:tcPr>
          <w:p w14:paraId="14612B7E" w14:textId="77777777" w:rsidR="00B97AB4" w:rsidRPr="00205C60" w:rsidRDefault="00B97AB4" w:rsidP="00984E25">
            <w:pPr>
              <w:jc w:val="right"/>
              <w:rPr>
                <w:rFonts w:ascii="Verdana" w:hAnsi="Verdana"/>
                <w:sz w:val="22"/>
                <w:szCs w:val="22"/>
              </w:rPr>
            </w:pPr>
          </w:p>
        </w:tc>
        <w:tc>
          <w:tcPr>
            <w:tcW w:w="1555" w:type="dxa"/>
            <w:tcBorders>
              <w:top w:val="nil"/>
              <w:left w:val="nil"/>
              <w:bottom w:val="nil"/>
              <w:right w:val="nil"/>
            </w:tcBorders>
            <w:shd w:val="clear" w:color="auto" w:fill="auto"/>
            <w:noWrap/>
            <w:vAlign w:val="bottom"/>
          </w:tcPr>
          <w:p w14:paraId="6ECE391E" w14:textId="5BE17003" w:rsidR="00B97AB4" w:rsidRPr="00205C60" w:rsidRDefault="00B97AB4" w:rsidP="00984E25">
            <w:pPr>
              <w:jc w:val="right"/>
              <w:rPr>
                <w:rFonts w:ascii="Verdana" w:hAnsi="Verdana"/>
                <w:sz w:val="22"/>
                <w:szCs w:val="22"/>
              </w:rPr>
            </w:pPr>
            <w:r w:rsidRPr="00205C60">
              <w:rPr>
                <w:rFonts w:ascii="Verdana" w:hAnsi="Verdana"/>
                <w:sz w:val="22"/>
                <w:szCs w:val="22"/>
              </w:rPr>
              <w:t>(</w:t>
            </w:r>
            <w:r w:rsidR="00B33A37" w:rsidRPr="00205C60">
              <w:rPr>
                <w:rFonts w:ascii="Verdana" w:hAnsi="Verdana"/>
                <w:sz w:val="22"/>
                <w:szCs w:val="22"/>
              </w:rPr>
              <w:t>135</w:t>
            </w:r>
            <w:r w:rsidRPr="00205C60">
              <w:rPr>
                <w:rFonts w:ascii="Verdana" w:hAnsi="Verdana"/>
                <w:sz w:val="22"/>
                <w:szCs w:val="22"/>
              </w:rPr>
              <w:t>.</w:t>
            </w:r>
            <w:r w:rsidR="00B33A37" w:rsidRPr="00205C60">
              <w:rPr>
                <w:rFonts w:ascii="Verdana" w:hAnsi="Verdana"/>
                <w:sz w:val="22"/>
                <w:szCs w:val="22"/>
              </w:rPr>
              <w:t>197</w:t>
            </w:r>
            <w:r w:rsidRPr="00205C60">
              <w:rPr>
                <w:rFonts w:ascii="Verdana" w:hAnsi="Verdana"/>
                <w:sz w:val="22"/>
                <w:szCs w:val="22"/>
              </w:rPr>
              <w:t>)</w:t>
            </w:r>
          </w:p>
        </w:tc>
        <w:tc>
          <w:tcPr>
            <w:tcW w:w="294" w:type="dxa"/>
            <w:tcBorders>
              <w:top w:val="nil"/>
              <w:left w:val="nil"/>
              <w:bottom w:val="nil"/>
              <w:right w:val="nil"/>
            </w:tcBorders>
            <w:shd w:val="clear" w:color="auto" w:fill="auto"/>
            <w:noWrap/>
            <w:vAlign w:val="bottom"/>
          </w:tcPr>
          <w:p w14:paraId="78722483" w14:textId="77777777" w:rsidR="00B97AB4" w:rsidRPr="00205C60" w:rsidRDefault="00B97AB4" w:rsidP="00984E25">
            <w:pPr>
              <w:jc w:val="right"/>
              <w:rPr>
                <w:rFonts w:ascii="Verdana" w:hAnsi="Verdana"/>
                <w:sz w:val="22"/>
                <w:szCs w:val="22"/>
              </w:rPr>
            </w:pPr>
          </w:p>
        </w:tc>
        <w:tc>
          <w:tcPr>
            <w:tcW w:w="0" w:type="auto"/>
            <w:tcBorders>
              <w:top w:val="nil"/>
              <w:left w:val="nil"/>
              <w:bottom w:val="nil"/>
              <w:right w:val="nil"/>
            </w:tcBorders>
            <w:shd w:val="clear" w:color="auto" w:fill="auto"/>
            <w:noWrap/>
            <w:vAlign w:val="center"/>
          </w:tcPr>
          <w:p w14:paraId="4DEFB617" w14:textId="7B54BB0C" w:rsidR="00B97AB4" w:rsidRPr="00205C60" w:rsidRDefault="00002ABD" w:rsidP="00984E25">
            <w:pPr>
              <w:jc w:val="center"/>
              <w:rPr>
                <w:rFonts w:ascii="Verdana" w:hAnsi="Verdana"/>
                <w:sz w:val="22"/>
                <w:szCs w:val="22"/>
              </w:rPr>
            </w:pPr>
            <w:r w:rsidRPr="00205C60">
              <w:rPr>
                <w:rFonts w:ascii="Verdana" w:hAnsi="Verdana"/>
                <w:color w:val="000000"/>
                <w:sz w:val="22"/>
                <w:szCs w:val="22"/>
                <w:lang w:val="en-US"/>
              </w:rPr>
              <w:t>Si</w:t>
            </w:r>
          </w:p>
        </w:tc>
      </w:tr>
      <w:tr w:rsidR="00B97AB4" w:rsidRPr="00205C60" w14:paraId="0A390D1D" w14:textId="77777777" w:rsidTr="00984E25">
        <w:trPr>
          <w:trHeight w:val="36"/>
        </w:trPr>
        <w:tc>
          <w:tcPr>
            <w:tcW w:w="0" w:type="auto"/>
            <w:tcBorders>
              <w:top w:val="nil"/>
              <w:left w:val="nil"/>
              <w:bottom w:val="nil"/>
              <w:right w:val="nil"/>
            </w:tcBorders>
            <w:shd w:val="clear" w:color="auto" w:fill="auto"/>
            <w:noWrap/>
            <w:vAlign w:val="center"/>
            <w:hideMark/>
          </w:tcPr>
          <w:p w14:paraId="52D2AFB1" w14:textId="77777777" w:rsidR="00B97AB4" w:rsidRPr="00205C60" w:rsidRDefault="00B97AB4" w:rsidP="00984E25">
            <w:pPr>
              <w:rPr>
                <w:rFonts w:ascii="Verdana" w:hAnsi="Verdana"/>
                <w:color w:val="000000"/>
                <w:sz w:val="22"/>
                <w:szCs w:val="22"/>
                <w:lang w:val="en-US"/>
              </w:rPr>
            </w:pPr>
            <w:r w:rsidRPr="00205C60">
              <w:rPr>
                <w:rFonts w:ascii="Verdana" w:hAnsi="Verdana"/>
                <w:color w:val="000000"/>
                <w:sz w:val="22"/>
                <w:szCs w:val="22"/>
                <w:lang w:val="en-US"/>
              </w:rPr>
              <w:t>De 361 a 720 días</w:t>
            </w:r>
          </w:p>
        </w:tc>
        <w:tc>
          <w:tcPr>
            <w:tcW w:w="0" w:type="auto"/>
            <w:tcBorders>
              <w:top w:val="nil"/>
              <w:left w:val="nil"/>
              <w:bottom w:val="nil"/>
              <w:right w:val="nil"/>
            </w:tcBorders>
            <w:shd w:val="clear" w:color="auto" w:fill="auto"/>
            <w:noWrap/>
            <w:vAlign w:val="bottom"/>
          </w:tcPr>
          <w:p w14:paraId="77AB0B44" w14:textId="77777777" w:rsidR="00B97AB4" w:rsidRPr="00205C60" w:rsidRDefault="00B97AB4" w:rsidP="00984E25">
            <w:pPr>
              <w:rPr>
                <w:rFonts w:ascii="Verdana" w:hAnsi="Verdana"/>
                <w:sz w:val="22"/>
                <w:szCs w:val="22"/>
                <w:lang w:val="en-US"/>
              </w:rPr>
            </w:pPr>
          </w:p>
        </w:tc>
        <w:tc>
          <w:tcPr>
            <w:tcW w:w="1257" w:type="dxa"/>
            <w:tcBorders>
              <w:top w:val="nil"/>
              <w:left w:val="nil"/>
              <w:bottom w:val="nil"/>
              <w:right w:val="nil"/>
            </w:tcBorders>
            <w:shd w:val="clear" w:color="auto" w:fill="auto"/>
            <w:noWrap/>
          </w:tcPr>
          <w:p w14:paraId="77DC227D" w14:textId="09D8EF9D" w:rsidR="00B97AB4" w:rsidRPr="00205C60" w:rsidRDefault="00324832" w:rsidP="00984E25">
            <w:pPr>
              <w:jc w:val="center"/>
              <w:rPr>
                <w:rFonts w:ascii="Verdana" w:hAnsi="Verdana"/>
                <w:sz w:val="22"/>
                <w:szCs w:val="22"/>
              </w:rPr>
            </w:pPr>
            <w:r w:rsidRPr="00205C60">
              <w:rPr>
                <w:rFonts w:ascii="Verdana" w:hAnsi="Verdana"/>
                <w:sz w:val="22"/>
                <w:szCs w:val="22"/>
              </w:rPr>
              <w:t>5,86</w:t>
            </w:r>
            <w:r w:rsidR="00B97AB4" w:rsidRPr="00205C60">
              <w:rPr>
                <w:rFonts w:ascii="Verdana" w:hAnsi="Verdana"/>
                <w:sz w:val="22"/>
                <w:szCs w:val="22"/>
              </w:rPr>
              <w:t>%</w:t>
            </w:r>
          </w:p>
        </w:tc>
        <w:tc>
          <w:tcPr>
            <w:tcW w:w="0" w:type="auto"/>
            <w:tcBorders>
              <w:top w:val="nil"/>
              <w:left w:val="nil"/>
              <w:bottom w:val="nil"/>
              <w:right w:val="nil"/>
            </w:tcBorders>
            <w:shd w:val="clear" w:color="auto" w:fill="auto"/>
            <w:noWrap/>
            <w:vAlign w:val="bottom"/>
          </w:tcPr>
          <w:p w14:paraId="5324201A" w14:textId="77777777" w:rsidR="00B97AB4" w:rsidRPr="00205C60" w:rsidRDefault="00B97AB4" w:rsidP="00984E25">
            <w:pPr>
              <w:jc w:val="center"/>
              <w:rPr>
                <w:rFonts w:ascii="Verdana" w:hAnsi="Verdana"/>
                <w:sz w:val="22"/>
                <w:szCs w:val="22"/>
              </w:rPr>
            </w:pPr>
          </w:p>
        </w:tc>
        <w:tc>
          <w:tcPr>
            <w:tcW w:w="0" w:type="auto"/>
            <w:tcBorders>
              <w:left w:val="nil"/>
              <w:right w:val="nil"/>
            </w:tcBorders>
            <w:shd w:val="clear" w:color="auto" w:fill="auto"/>
            <w:noWrap/>
            <w:vAlign w:val="bottom"/>
          </w:tcPr>
          <w:p w14:paraId="2BF067AE" w14:textId="5E41584B" w:rsidR="00B97AB4" w:rsidRPr="00205C60" w:rsidRDefault="00B97AB4" w:rsidP="00984E25">
            <w:pPr>
              <w:ind w:left="-45"/>
              <w:jc w:val="right"/>
              <w:rPr>
                <w:rFonts w:ascii="Verdana" w:hAnsi="Verdana"/>
                <w:sz w:val="22"/>
                <w:szCs w:val="22"/>
              </w:rPr>
            </w:pPr>
            <w:r w:rsidRPr="00205C60">
              <w:rPr>
                <w:rFonts w:ascii="Verdana" w:hAnsi="Verdana"/>
                <w:sz w:val="22"/>
                <w:szCs w:val="22"/>
              </w:rPr>
              <w:t>1.</w:t>
            </w:r>
            <w:r w:rsidR="00B73690" w:rsidRPr="00205C60">
              <w:rPr>
                <w:rFonts w:ascii="Verdana" w:hAnsi="Verdana"/>
                <w:sz w:val="22"/>
                <w:szCs w:val="22"/>
              </w:rPr>
              <w:t>000</w:t>
            </w:r>
            <w:r w:rsidRPr="00205C60">
              <w:rPr>
                <w:rFonts w:ascii="Verdana" w:hAnsi="Verdana"/>
                <w:sz w:val="22"/>
                <w:szCs w:val="22"/>
              </w:rPr>
              <w:t>.</w:t>
            </w:r>
            <w:r w:rsidR="00B73690" w:rsidRPr="00205C60">
              <w:rPr>
                <w:rFonts w:ascii="Verdana" w:hAnsi="Verdana"/>
                <w:sz w:val="22"/>
                <w:szCs w:val="22"/>
              </w:rPr>
              <w:t>960</w:t>
            </w:r>
          </w:p>
        </w:tc>
        <w:tc>
          <w:tcPr>
            <w:tcW w:w="0" w:type="auto"/>
            <w:tcBorders>
              <w:left w:val="nil"/>
              <w:right w:val="nil"/>
            </w:tcBorders>
            <w:shd w:val="clear" w:color="auto" w:fill="auto"/>
            <w:noWrap/>
            <w:vAlign w:val="center"/>
          </w:tcPr>
          <w:p w14:paraId="40C636B5" w14:textId="77777777" w:rsidR="00B97AB4" w:rsidRPr="00205C60" w:rsidRDefault="00B97AB4" w:rsidP="00984E25">
            <w:pPr>
              <w:jc w:val="right"/>
              <w:rPr>
                <w:rFonts w:ascii="Verdana" w:hAnsi="Verdana"/>
                <w:sz w:val="22"/>
                <w:szCs w:val="22"/>
              </w:rPr>
            </w:pPr>
          </w:p>
        </w:tc>
        <w:tc>
          <w:tcPr>
            <w:tcW w:w="1555" w:type="dxa"/>
            <w:tcBorders>
              <w:left w:val="nil"/>
              <w:right w:val="nil"/>
            </w:tcBorders>
            <w:shd w:val="clear" w:color="auto" w:fill="auto"/>
            <w:noWrap/>
            <w:vAlign w:val="bottom"/>
          </w:tcPr>
          <w:p w14:paraId="0F2D95F3" w14:textId="0138AE56" w:rsidR="00B97AB4" w:rsidRPr="00205C60" w:rsidRDefault="00B97AB4" w:rsidP="00984E25">
            <w:pPr>
              <w:jc w:val="right"/>
              <w:rPr>
                <w:rFonts w:ascii="Verdana" w:hAnsi="Verdana"/>
                <w:sz w:val="22"/>
                <w:szCs w:val="22"/>
              </w:rPr>
            </w:pPr>
            <w:r w:rsidRPr="00205C60">
              <w:rPr>
                <w:rFonts w:ascii="Verdana" w:hAnsi="Verdana"/>
                <w:sz w:val="22"/>
                <w:szCs w:val="22"/>
              </w:rPr>
              <w:t>(2</w:t>
            </w:r>
            <w:r w:rsidR="00B33A37" w:rsidRPr="00205C60">
              <w:rPr>
                <w:rFonts w:ascii="Verdana" w:hAnsi="Verdana"/>
                <w:sz w:val="22"/>
                <w:szCs w:val="22"/>
              </w:rPr>
              <w:t>29</w:t>
            </w:r>
            <w:r w:rsidRPr="00205C60">
              <w:rPr>
                <w:rFonts w:ascii="Verdana" w:hAnsi="Verdana"/>
                <w:sz w:val="22"/>
                <w:szCs w:val="22"/>
              </w:rPr>
              <w:t>.</w:t>
            </w:r>
            <w:r w:rsidR="00B33A37" w:rsidRPr="00205C60">
              <w:rPr>
                <w:rFonts w:ascii="Verdana" w:hAnsi="Verdana"/>
                <w:sz w:val="22"/>
                <w:szCs w:val="22"/>
              </w:rPr>
              <w:t>0</w:t>
            </w:r>
            <w:r w:rsidRPr="00205C60">
              <w:rPr>
                <w:rFonts w:ascii="Verdana" w:hAnsi="Verdana"/>
                <w:sz w:val="22"/>
                <w:szCs w:val="22"/>
              </w:rPr>
              <w:t>6</w:t>
            </w:r>
            <w:r w:rsidR="00B33A37" w:rsidRPr="00205C60">
              <w:rPr>
                <w:rFonts w:ascii="Verdana" w:hAnsi="Verdana"/>
                <w:sz w:val="22"/>
                <w:szCs w:val="22"/>
              </w:rPr>
              <w:t>4</w:t>
            </w:r>
            <w:r w:rsidRPr="00205C60">
              <w:rPr>
                <w:rFonts w:ascii="Verdana" w:hAnsi="Verdana"/>
                <w:sz w:val="22"/>
                <w:szCs w:val="22"/>
              </w:rPr>
              <w:t>)</w:t>
            </w:r>
          </w:p>
        </w:tc>
        <w:tc>
          <w:tcPr>
            <w:tcW w:w="294" w:type="dxa"/>
            <w:tcBorders>
              <w:top w:val="nil"/>
              <w:left w:val="nil"/>
              <w:bottom w:val="nil"/>
              <w:right w:val="nil"/>
            </w:tcBorders>
            <w:shd w:val="clear" w:color="auto" w:fill="auto"/>
            <w:noWrap/>
            <w:vAlign w:val="bottom"/>
          </w:tcPr>
          <w:p w14:paraId="62DE36BC" w14:textId="77777777" w:rsidR="00B97AB4" w:rsidRPr="00205C60" w:rsidRDefault="00B97AB4" w:rsidP="00984E25">
            <w:pPr>
              <w:jc w:val="center"/>
              <w:rPr>
                <w:rFonts w:ascii="Verdana" w:hAnsi="Verdana"/>
                <w:sz w:val="22"/>
                <w:szCs w:val="22"/>
              </w:rPr>
            </w:pPr>
          </w:p>
        </w:tc>
        <w:tc>
          <w:tcPr>
            <w:tcW w:w="0" w:type="auto"/>
            <w:tcBorders>
              <w:top w:val="nil"/>
              <w:left w:val="nil"/>
              <w:bottom w:val="nil"/>
              <w:right w:val="nil"/>
            </w:tcBorders>
            <w:shd w:val="clear" w:color="auto" w:fill="auto"/>
            <w:noWrap/>
            <w:vAlign w:val="center"/>
          </w:tcPr>
          <w:p w14:paraId="01E6B1A1" w14:textId="06ABBFBE" w:rsidR="00B97AB4" w:rsidRPr="00205C60" w:rsidRDefault="00002ABD" w:rsidP="00984E25">
            <w:pPr>
              <w:jc w:val="center"/>
              <w:rPr>
                <w:rFonts w:ascii="Verdana" w:hAnsi="Verdana"/>
                <w:sz w:val="22"/>
                <w:szCs w:val="22"/>
              </w:rPr>
            </w:pPr>
            <w:r w:rsidRPr="00205C60">
              <w:rPr>
                <w:rFonts w:ascii="Verdana" w:hAnsi="Verdana"/>
                <w:color w:val="000000"/>
                <w:sz w:val="22"/>
                <w:szCs w:val="22"/>
                <w:lang w:val="en-US"/>
              </w:rPr>
              <w:t>Si</w:t>
            </w:r>
          </w:p>
        </w:tc>
      </w:tr>
      <w:tr w:rsidR="00B97AB4" w:rsidRPr="00205C60" w14:paraId="035F8916" w14:textId="77777777" w:rsidTr="00984E25">
        <w:trPr>
          <w:trHeight w:val="36"/>
        </w:trPr>
        <w:tc>
          <w:tcPr>
            <w:tcW w:w="0" w:type="auto"/>
            <w:tcBorders>
              <w:top w:val="nil"/>
              <w:left w:val="nil"/>
              <w:bottom w:val="nil"/>
              <w:right w:val="nil"/>
            </w:tcBorders>
            <w:shd w:val="clear" w:color="auto" w:fill="auto"/>
            <w:noWrap/>
            <w:vAlign w:val="center"/>
            <w:hideMark/>
          </w:tcPr>
          <w:p w14:paraId="49B8B7AD" w14:textId="77777777" w:rsidR="00B97AB4" w:rsidRPr="00205C60" w:rsidRDefault="00B97AB4" w:rsidP="00984E25">
            <w:pPr>
              <w:rPr>
                <w:rFonts w:ascii="Verdana" w:hAnsi="Verdana"/>
                <w:color w:val="000000"/>
                <w:sz w:val="22"/>
                <w:szCs w:val="22"/>
                <w:lang w:val="en-US"/>
              </w:rPr>
            </w:pPr>
            <w:r w:rsidRPr="00205C60">
              <w:rPr>
                <w:rFonts w:ascii="Verdana" w:hAnsi="Verdana"/>
                <w:color w:val="000000"/>
                <w:sz w:val="22"/>
                <w:szCs w:val="22"/>
                <w:lang w:val="en-US"/>
              </w:rPr>
              <w:t>De 721 días y más</w:t>
            </w:r>
          </w:p>
        </w:tc>
        <w:tc>
          <w:tcPr>
            <w:tcW w:w="0" w:type="auto"/>
            <w:tcBorders>
              <w:top w:val="nil"/>
              <w:left w:val="nil"/>
              <w:bottom w:val="nil"/>
              <w:right w:val="nil"/>
            </w:tcBorders>
            <w:shd w:val="clear" w:color="auto" w:fill="auto"/>
            <w:noWrap/>
            <w:vAlign w:val="bottom"/>
          </w:tcPr>
          <w:p w14:paraId="4E6B43C6" w14:textId="77777777" w:rsidR="00B97AB4" w:rsidRPr="00205C60" w:rsidRDefault="00B97AB4" w:rsidP="00984E25">
            <w:pPr>
              <w:rPr>
                <w:rFonts w:ascii="Verdana" w:hAnsi="Verdana"/>
                <w:sz w:val="22"/>
                <w:szCs w:val="22"/>
                <w:lang w:val="en-US"/>
              </w:rPr>
            </w:pPr>
          </w:p>
        </w:tc>
        <w:tc>
          <w:tcPr>
            <w:tcW w:w="1257" w:type="dxa"/>
            <w:tcBorders>
              <w:top w:val="nil"/>
              <w:left w:val="nil"/>
              <w:bottom w:val="nil"/>
              <w:right w:val="nil"/>
            </w:tcBorders>
            <w:shd w:val="clear" w:color="auto" w:fill="auto"/>
            <w:noWrap/>
          </w:tcPr>
          <w:p w14:paraId="0413EEFB" w14:textId="04F8739D" w:rsidR="00B97AB4" w:rsidRPr="00205C60" w:rsidRDefault="005E17CC" w:rsidP="00984E25">
            <w:pPr>
              <w:jc w:val="center"/>
              <w:rPr>
                <w:rFonts w:ascii="Verdana" w:hAnsi="Verdana"/>
                <w:sz w:val="22"/>
                <w:szCs w:val="22"/>
              </w:rPr>
            </w:pPr>
            <w:r w:rsidRPr="00205C60">
              <w:rPr>
                <w:rFonts w:ascii="Verdana" w:hAnsi="Verdana"/>
                <w:sz w:val="22"/>
                <w:szCs w:val="22"/>
              </w:rPr>
              <w:t>3,73</w:t>
            </w:r>
            <w:r w:rsidR="00B97AB4" w:rsidRPr="00205C60">
              <w:rPr>
                <w:rFonts w:ascii="Verdana" w:hAnsi="Verdana"/>
                <w:sz w:val="22"/>
                <w:szCs w:val="22"/>
              </w:rPr>
              <w:t>%</w:t>
            </w:r>
          </w:p>
        </w:tc>
        <w:tc>
          <w:tcPr>
            <w:tcW w:w="0" w:type="auto"/>
            <w:tcBorders>
              <w:top w:val="nil"/>
              <w:left w:val="nil"/>
              <w:bottom w:val="nil"/>
              <w:right w:val="nil"/>
            </w:tcBorders>
            <w:shd w:val="clear" w:color="auto" w:fill="auto"/>
            <w:noWrap/>
            <w:vAlign w:val="bottom"/>
          </w:tcPr>
          <w:p w14:paraId="0BC3C3D1" w14:textId="77777777" w:rsidR="00B97AB4" w:rsidRPr="00205C60" w:rsidRDefault="00B97AB4" w:rsidP="00984E25">
            <w:pPr>
              <w:jc w:val="center"/>
              <w:rPr>
                <w:rFonts w:ascii="Verdana" w:hAnsi="Verdana"/>
                <w:sz w:val="22"/>
                <w:szCs w:val="22"/>
              </w:rPr>
            </w:pPr>
          </w:p>
        </w:tc>
        <w:tc>
          <w:tcPr>
            <w:tcW w:w="0" w:type="auto"/>
            <w:tcBorders>
              <w:left w:val="nil"/>
              <w:bottom w:val="single" w:sz="4" w:space="0" w:color="auto"/>
              <w:right w:val="nil"/>
            </w:tcBorders>
            <w:shd w:val="clear" w:color="auto" w:fill="auto"/>
            <w:noWrap/>
            <w:vAlign w:val="bottom"/>
          </w:tcPr>
          <w:p w14:paraId="703BD7FA" w14:textId="05729AFB" w:rsidR="00B97AB4" w:rsidRPr="00205C60" w:rsidRDefault="00B97AB4" w:rsidP="00984E25">
            <w:pPr>
              <w:ind w:left="-45"/>
              <w:jc w:val="right"/>
              <w:rPr>
                <w:rFonts w:ascii="Verdana" w:hAnsi="Verdana"/>
                <w:sz w:val="22"/>
                <w:szCs w:val="22"/>
              </w:rPr>
            </w:pPr>
            <w:r w:rsidRPr="00205C60">
              <w:rPr>
                <w:rFonts w:ascii="Verdana" w:hAnsi="Verdana"/>
                <w:sz w:val="22"/>
                <w:szCs w:val="22"/>
              </w:rPr>
              <w:t>1.8</w:t>
            </w:r>
            <w:r w:rsidR="00B73690" w:rsidRPr="00205C60">
              <w:rPr>
                <w:rFonts w:ascii="Verdana" w:hAnsi="Verdana"/>
                <w:sz w:val="22"/>
                <w:szCs w:val="22"/>
              </w:rPr>
              <w:t>37</w:t>
            </w:r>
            <w:r w:rsidRPr="00205C60">
              <w:rPr>
                <w:rFonts w:ascii="Verdana" w:hAnsi="Verdana"/>
                <w:sz w:val="22"/>
                <w:szCs w:val="22"/>
              </w:rPr>
              <w:t>.</w:t>
            </w:r>
            <w:r w:rsidR="00B73690" w:rsidRPr="00205C60">
              <w:rPr>
                <w:rFonts w:ascii="Verdana" w:hAnsi="Verdana"/>
                <w:sz w:val="22"/>
                <w:szCs w:val="22"/>
              </w:rPr>
              <w:t>79</w:t>
            </w:r>
            <w:r w:rsidRPr="00205C60">
              <w:rPr>
                <w:rFonts w:ascii="Verdana" w:hAnsi="Verdana"/>
                <w:sz w:val="22"/>
                <w:szCs w:val="22"/>
              </w:rPr>
              <w:t>8</w:t>
            </w:r>
          </w:p>
        </w:tc>
        <w:tc>
          <w:tcPr>
            <w:tcW w:w="0" w:type="auto"/>
            <w:tcBorders>
              <w:left w:val="nil"/>
              <w:right w:val="nil"/>
            </w:tcBorders>
            <w:shd w:val="clear" w:color="auto" w:fill="auto"/>
            <w:noWrap/>
            <w:vAlign w:val="center"/>
          </w:tcPr>
          <w:p w14:paraId="42D994B8" w14:textId="77777777" w:rsidR="00B97AB4" w:rsidRPr="00205C60" w:rsidRDefault="00B97AB4" w:rsidP="00984E25">
            <w:pPr>
              <w:jc w:val="right"/>
              <w:rPr>
                <w:rFonts w:ascii="Verdana" w:hAnsi="Verdana"/>
                <w:sz w:val="22"/>
                <w:szCs w:val="22"/>
              </w:rPr>
            </w:pPr>
          </w:p>
        </w:tc>
        <w:tc>
          <w:tcPr>
            <w:tcW w:w="1555" w:type="dxa"/>
            <w:tcBorders>
              <w:left w:val="nil"/>
              <w:bottom w:val="single" w:sz="4" w:space="0" w:color="auto"/>
              <w:right w:val="nil"/>
            </w:tcBorders>
            <w:shd w:val="clear" w:color="auto" w:fill="auto"/>
            <w:noWrap/>
            <w:vAlign w:val="bottom"/>
          </w:tcPr>
          <w:p w14:paraId="302B3D46" w14:textId="7D95A625" w:rsidR="00B97AB4" w:rsidRPr="00205C60" w:rsidRDefault="00B97AB4" w:rsidP="00984E25">
            <w:pPr>
              <w:jc w:val="right"/>
              <w:rPr>
                <w:rFonts w:ascii="Verdana" w:hAnsi="Verdana"/>
                <w:sz w:val="22"/>
                <w:szCs w:val="22"/>
              </w:rPr>
            </w:pPr>
            <w:r w:rsidRPr="00205C60">
              <w:rPr>
                <w:rFonts w:ascii="Verdana" w:hAnsi="Verdana"/>
                <w:sz w:val="22"/>
                <w:szCs w:val="22"/>
              </w:rPr>
              <w:t>(</w:t>
            </w:r>
            <w:r w:rsidR="00B33A37" w:rsidRPr="00205C60">
              <w:rPr>
                <w:rFonts w:ascii="Verdana" w:hAnsi="Verdana"/>
                <w:sz w:val="22"/>
                <w:szCs w:val="22"/>
              </w:rPr>
              <w:t>358</w:t>
            </w:r>
            <w:r w:rsidRPr="00205C60">
              <w:rPr>
                <w:rFonts w:ascii="Verdana" w:hAnsi="Verdana"/>
                <w:sz w:val="22"/>
                <w:szCs w:val="22"/>
              </w:rPr>
              <w:t>.</w:t>
            </w:r>
            <w:r w:rsidR="00B33A37" w:rsidRPr="00205C60">
              <w:rPr>
                <w:rFonts w:ascii="Verdana" w:hAnsi="Verdana"/>
                <w:sz w:val="22"/>
                <w:szCs w:val="22"/>
              </w:rPr>
              <w:t>748</w:t>
            </w:r>
            <w:r w:rsidRPr="00205C60">
              <w:rPr>
                <w:rFonts w:ascii="Verdana" w:hAnsi="Verdana"/>
                <w:sz w:val="22"/>
                <w:szCs w:val="22"/>
              </w:rPr>
              <w:t>)</w:t>
            </w:r>
          </w:p>
        </w:tc>
        <w:tc>
          <w:tcPr>
            <w:tcW w:w="294" w:type="dxa"/>
            <w:tcBorders>
              <w:top w:val="nil"/>
              <w:left w:val="nil"/>
              <w:bottom w:val="nil"/>
              <w:right w:val="nil"/>
            </w:tcBorders>
            <w:shd w:val="clear" w:color="auto" w:fill="auto"/>
            <w:noWrap/>
            <w:vAlign w:val="bottom"/>
          </w:tcPr>
          <w:p w14:paraId="05DA6586" w14:textId="77777777" w:rsidR="00B97AB4" w:rsidRPr="00205C60" w:rsidRDefault="00B97AB4" w:rsidP="00984E25">
            <w:pPr>
              <w:jc w:val="center"/>
              <w:rPr>
                <w:rFonts w:ascii="Verdana" w:hAnsi="Verdana"/>
                <w:sz w:val="22"/>
                <w:szCs w:val="22"/>
              </w:rPr>
            </w:pPr>
          </w:p>
        </w:tc>
        <w:tc>
          <w:tcPr>
            <w:tcW w:w="0" w:type="auto"/>
            <w:tcBorders>
              <w:top w:val="nil"/>
              <w:left w:val="nil"/>
              <w:bottom w:val="nil"/>
              <w:right w:val="nil"/>
            </w:tcBorders>
            <w:shd w:val="clear" w:color="auto" w:fill="auto"/>
            <w:noWrap/>
            <w:vAlign w:val="center"/>
          </w:tcPr>
          <w:p w14:paraId="267576E9" w14:textId="77777777" w:rsidR="00B97AB4" w:rsidRPr="00205C60" w:rsidRDefault="00B97AB4" w:rsidP="00984E25">
            <w:pPr>
              <w:jc w:val="center"/>
              <w:rPr>
                <w:rFonts w:ascii="Verdana" w:hAnsi="Verdana"/>
                <w:sz w:val="22"/>
                <w:szCs w:val="22"/>
              </w:rPr>
            </w:pPr>
            <w:r w:rsidRPr="00205C60">
              <w:rPr>
                <w:rFonts w:ascii="Verdana" w:hAnsi="Verdana"/>
                <w:sz w:val="22"/>
                <w:szCs w:val="22"/>
              </w:rPr>
              <w:t>Si</w:t>
            </w:r>
          </w:p>
        </w:tc>
      </w:tr>
      <w:tr w:rsidR="00B97AB4" w:rsidRPr="00205C60" w14:paraId="1D027904" w14:textId="77777777" w:rsidTr="00984E25">
        <w:trPr>
          <w:trHeight w:val="36"/>
        </w:trPr>
        <w:tc>
          <w:tcPr>
            <w:tcW w:w="0" w:type="auto"/>
            <w:tcBorders>
              <w:top w:val="nil"/>
              <w:left w:val="nil"/>
              <w:bottom w:val="nil"/>
              <w:right w:val="nil"/>
            </w:tcBorders>
            <w:shd w:val="clear" w:color="auto" w:fill="auto"/>
            <w:noWrap/>
            <w:vAlign w:val="center"/>
            <w:hideMark/>
          </w:tcPr>
          <w:p w14:paraId="031ACC90" w14:textId="77777777" w:rsidR="00B97AB4" w:rsidRPr="00205C60" w:rsidRDefault="00B97AB4" w:rsidP="00984E25">
            <w:pPr>
              <w:rPr>
                <w:rFonts w:ascii="Verdana" w:hAnsi="Verdana"/>
                <w:color w:val="000000"/>
                <w:sz w:val="22"/>
                <w:szCs w:val="22"/>
                <w:lang w:val="es-419"/>
              </w:rPr>
            </w:pPr>
            <w:r w:rsidRPr="00205C60">
              <w:rPr>
                <w:rFonts w:ascii="Verdana" w:hAnsi="Verdana"/>
                <w:color w:val="000000"/>
                <w:sz w:val="22"/>
                <w:szCs w:val="22"/>
                <w:lang w:val="es-419"/>
              </w:rPr>
              <w:t>Cartera vigente a la fecha de corte</w:t>
            </w:r>
          </w:p>
        </w:tc>
        <w:tc>
          <w:tcPr>
            <w:tcW w:w="0" w:type="auto"/>
            <w:tcBorders>
              <w:top w:val="nil"/>
              <w:left w:val="nil"/>
              <w:bottom w:val="nil"/>
              <w:right w:val="nil"/>
            </w:tcBorders>
            <w:shd w:val="clear" w:color="auto" w:fill="auto"/>
            <w:noWrap/>
            <w:vAlign w:val="bottom"/>
          </w:tcPr>
          <w:p w14:paraId="3626734D" w14:textId="77777777" w:rsidR="00B97AB4" w:rsidRPr="00205C60" w:rsidRDefault="00B97AB4" w:rsidP="00984E25">
            <w:pPr>
              <w:rPr>
                <w:rFonts w:ascii="Verdana" w:hAnsi="Verdana"/>
                <w:sz w:val="22"/>
                <w:szCs w:val="22"/>
                <w:lang w:val="es-419"/>
              </w:rPr>
            </w:pPr>
          </w:p>
        </w:tc>
        <w:tc>
          <w:tcPr>
            <w:tcW w:w="1257" w:type="dxa"/>
            <w:tcBorders>
              <w:top w:val="nil"/>
              <w:left w:val="nil"/>
              <w:bottom w:val="nil"/>
              <w:right w:val="nil"/>
            </w:tcBorders>
            <w:shd w:val="clear" w:color="auto" w:fill="auto"/>
            <w:noWrap/>
          </w:tcPr>
          <w:p w14:paraId="7C221348" w14:textId="77777777" w:rsidR="00B97AB4" w:rsidRPr="00205C60" w:rsidRDefault="00B97AB4" w:rsidP="00984E25">
            <w:pPr>
              <w:jc w:val="center"/>
              <w:rPr>
                <w:rFonts w:ascii="Verdana" w:hAnsi="Verdana"/>
                <w:sz w:val="22"/>
                <w:szCs w:val="22"/>
              </w:rPr>
            </w:pPr>
          </w:p>
        </w:tc>
        <w:tc>
          <w:tcPr>
            <w:tcW w:w="0" w:type="auto"/>
            <w:tcBorders>
              <w:top w:val="nil"/>
              <w:left w:val="nil"/>
              <w:bottom w:val="nil"/>
              <w:right w:val="nil"/>
            </w:tcBorders>
            <w:shd w:val="clear" w:color="auto" w:fill="auto"/>
            <w:noWrap/>
            <w:vAlign w:val="bottom"/>
          </w:tcPr>
          <w:p w14:paraId="424ABED9" w14:textId="77777777" w:rsidR="00B97AB4" w:rsidRPr="00205C60" w:rsidRDefault="00B97AB4" w:rsidP="00984E25">
            <w:pPr>
              <w:jc w:val="center"/>
              <w:rPr>
                <w:rFonts w:ascii="Verdana" w:hAnsi="Verdana"/>
                <w:sz w:val="22"/>
                <w:szCs w:val="22"/>
              </w:rPr>
            </w:pPr>
          </w:p>
        </w:tc>
        <w:tc>
          <w:tcPr>
            <w:tcW w:w="0" w:type="auto"/>
            <w:tcBorders>
              <w:top w:val="single" w:sz="4" w:space="0" w:color="auto"/>
              <w:left w:val="nil"/>
              <w:bottom w:val="double" w:sz="4" w:space="0" w:color="auto"/>
              <w:right w:val="nil"/>
            </w:tcBorders>
            <w:shd w:val="clear" w:color="auto" w:fill="auto"/>
            <w:noWrap/>
            <w:vAlign w:val="bottom"/>
          </w:tcPr>
          <w:p w14:paraId="488850E4" w14:textId="7B952418" w:rsidR="00B97AB4" w:rsidRPr="00205C60" w:rsidRDefault="00B97AB4" w:rsidP="00984E25">
            <w:pPr>
              <w:ind w:left="-45"/>
              <w:jc w:val="right"/>
              <w:rPr>
                <w:rFonts w:ascii="Verdana" w:hAnsi="Verdana"/>
                <w:sz w:val="22"/>
                <w:szCs w:val="22"/>
              </w:rPr>
            </w:pPr>
            <w:r w:rsidRPr="00205C60">
              <w:rPr>
                <w:rFonts w:ascii="Verdana" w:hAnsi="Verdana"/>
                <w:sz w:val="22"/>
                <w:szCs w:val="22"/>
              </w:rPr>
              <w:t>2</w:t>
            </w:r>
            <w:r w:rsidR="00B73690" w:rsidRPr="00205C60">
              <w:rPr>
                <w:rFonts w:ascii="Verdana" w:hAnsi="Verdana"/>
                <w:sz w:val="22"/>
                <w:szCs w:val="22"/>
              </w:rPr>
              <w:t>3</w:t>
            </w:r>
            <w:r w:rsidRPr="00205C60">
              <w:rPr>
                <w:rFonts w:ascii="Verdana" w:hAnsi="Verdana"/>
                <w:sz w:val="22"/>
                <w:szCs w:val="22"/>
              </w:rPr>
              <w:t>.</w:t>
            </w:r>
            <w:r w:rsidR="00B73690" w:rsidRPr="00205C60">
              <w:rPr>
                <w:rFonts w:ascii="Verdana" w:hAnsi="Verdana"/>
                <w:sz w:val="22"/>
                <w:szCs w:val="22"/>
              </w:rPr>
              <w:t>734</w:t>
            </w:r>
            <w:r w:rsidRPr="00205C60">
              <w:rPr>
                <w:rFonts w:ascii="Verdana" w:hAnsi="Verdana"/>
                <w:sz w:val="22"/>
                <w:szCs w:val="22"/>
              </w:rPr>
              <w:t>.</w:t>
            </w:r>
            <w:r w:rsidR="00B73690" w:rsidRPr="00205C60">
              <w:rPr>
                <w:rFonts w:ascii="Verdana" w:hAnsi="Verdana"/>
                <w:sz w:val="22"/>
                <w:szCs w:val="22"/>
              </w:rPr>
              <w:t>762</w:t>
            </w:r>
          </w:p>
        </w:tc>
        <w:tc>
          <w:tcPr>
            <w:tcW w:w="0" w:type="auto"/>
            <w:tcBorders>
              <w:left w:val="nil"/>
              <w:right w:val="nil"/>
            </w:tcBorders>
            <w:shd w:val="clear" w:color="auto" w:fill="auto"/>
            <w:noWrap/>
            <w:vAlign w:val="center"/>
          </w:tcPr>
          <w:p w14:paraId="30940E4D" w14:textId="77777777" w:rsidR="00B97AB4" w:rsidRPr="00205C60" w:rsidRDefault="00B97AB4" w:rsidP="00984E25">
            <w:pPr>
              <w:jc w:val="right"/>
              <w:rPr>
                <w:rFonts w:ascii="Verdana" w:hAnsi="Verdana"/>
                <w:sz w:val="22"/>
                <w:szCs w:val="22"/>
              </w:rPr>
            </w:pPr>
          </w:p>
        </w:tc>
        <w:tc>
          <w:tcPr>
            <w:tcW w:w="1555" w:type="dxa"/>
            <w:tcBorders>
              <w:top w:val="single" w:sz="4" w:space="0" w:color="auto"/>
              <w:left w:val="nil"/>
              <w:bottom w:val="double" w:sz="4" w:space="0" w:color="auto"/>
              <w:right w:val="nil"/>
            </w:tcBorders>
            <w:shd w:val="clear" w:color="auto" w:fill="auto"/>
            <w:noWrap/>
            <w:vAlign w:val="bottom"/>
          </w:tcPr>
          <w:p w14:paraId="3AF560C9" w14:textId="226775BF" w:rsidR="00B97AB4" w:rsidRPr="00205C60" w:rsidRDefault="00B97AB4" w:rsidP="00984E25">
            <w:pPr>
              <w:jc w:val="right"/>
              <w:rPr>
                <w:rFonts w:ascii="Verdana" w:hAnsi="Verdana"/>
                <w:sz w:val="22"/>
                <w:szCs w:val="22"/>
              </w:rPr>
            </w:pPr>
            <w:r w:rsidRPr="00205C60">
              <w:rPr>
                <w:rFonts w:ascii="Verdana" w:hAnsi="Verdana"/>
                <w:sz w:val="22"/>
                <w:szCs w:val="22"/>
              </w:rPr>
              <w:t>(1.</w:t>
            </w:r>
            <w:r w:rsidR="00002ABD" w:rsidRPr="00205C60">
              <w:rPr>
                <w:rFonts w:ascii="Verdana" w:hAnsi="Verdana"/>
                <w:sz w:val="22"/>
                <w:szCs w:val="22"/>
              </w:rPr>
              <w:t>300</w:t>
            </w:r>
            <w:r w:rsidRPr="00205C60">
              <w:rPr>
                <w:rFonts w:ascii="Verdana" w:hAnsi="Verdana"/>
                <w:sz w:val="22"/>
                <w:szCs w:val="22"/>
              </w:rPr>
              <w:t>.</w:t>
            </w:r>
            <w:r w:rsidR="00002ABD" w:rsidRPr="00205C60">
              <w:rPr>
                <w:rFonts w:ascii="Verdana" w:hAnsi="Verdana"/>
                <w:sz w:val="22"/>
                <w:szCs w:val="22"/>
              </w:rPr>
              <w:t>681</w:t>
            </w:r>
            <w:r w:rsidRPr="00205C60">
              <w:rPr>
                <w:rFonts w:ascii="Verdana" w:hAnsi="Verdana"/>
                <w:sz w:val="22"/>
                <w:szCs w:val="22"/>
              </w:rPr>
              <w:t>)</w:t>
            </w:r>
          </w:p>
        </w:tc>
        <w:tc>
          <w:tcPr>
            <w:tcW w:w="294" w:type="dxa"/>
            <w:tcBorders>
              <w:top w:val="nil"/>
              <w:left w:val="nil"/>
              <w:bottom w:val="nil"/>
              <w:right w:val="nil"/>
            </w:tcBorders>
            <w:shd w:val="clear" w:color="auto" w:fill="auto"/>
            <w:noWrap/>
            <w:vAlign w:val="bottom"/>
          </w:tcPr>
          <w:p w14:paraId="728EDD6D" w14:textId="77777777" w:rsidR="00B97AB4" w:rsidRPr="00205C60" w:rsidRDefault="00B97AB4" w:rsidP="00984E25">
            <w:pPr>
              <w:jc w:val="center"/>
              <w:rPr>
                <w:rFonts w:ascii="Verdana" w:hAnsi="Verdana"/>
                <w:sz w:val="22"/>
                <w:szCs w:val="22"/>
              </w:rPr>
            </w:pPr>
          </w:p>
        </w:tc>
        <w:tc>
          <w:tcPr>
            <w:tcW w:w="0" w:type="auto"/>
            <w:tcBorders>
              <w:top w:val="nil"/>
              <w:left w:val="nil"/>
              <w:bottom w:val="nil"/>
              <w:right w:val="nil"/>
            </w:tcBorders>
            <w:shd w:val="clear" w:color="auto" w:fill="auto"/>
            <w:noWrap/>
            <w:vAlign w:val="center"/>
          </w:tcPr>
          <w:p w14:paraId="3E21A741" w14:textId="77777777" w:rsidR="00B97AB4" w:rsidRDefault="00B97AB4" w:rsidP="00984E25">
            <w:pPr>
              <w:jc w:val="center"/>
              <w:rPr>
                <w:rFonts w:ascii="Verdana" w:hAnsi="Verdana"/>
                <w:sz w:val="22"/>
                <w:szCs w:val="22"/>
              </w:rPr>
            </w:pPr>
          </w:p>
          <w:p w14:paraId="6DD199B4" w14:textId="0AFA447A" w:rsidR="008F21D4" w:rsidRPr="00205C60" w:rsidRDefault="008F21D4" w:rsidP="00984E25">
            <w:pPr>
              <w:jc w:val="center"/>
              <w:rPr>
                <w:rFonts w:ascii="Verdana" w:hAnsi="Verdana"/>
                <w:sz w:val="22"/>
                <w:szCs w:val="22"/>
              </w:rPr>
            </w:pPr>
          </w:p>
        </w:tc>
      </w:tr>
    </w:tbl>
    <w:p w14:paraId="50EFE3F8" w14:textId="77777777" w:rsidR="00130225" w:rsidRPr="00205C60" w:rsidRDefault="00130225" w:rsidP="00A55F96">
      <w:pPr>
        <w:pStyle w:val="Textosinformato"/>
        <w:tabs>
          <w:tab w:val="left" w:pos="1350"/>
        </w:tabs>
        <w:jc w:val="both"/>
        <w:rPr>
          <w:rFonts w:ascii="Verdana" w:hAnsi="Verdana" w:cs="Arial"/>
          <w:sz w:val="22"/>
          <w:szCs w:val="22"/>
        </w:rPr>
      </w:pPr>
    </w:p>
    <w:tbl>
      <w:tblPr>
        <w:tblpPr w:leftFromText="141" w:rightFromText="141" w:vertAnchor="text" w:horzAnchor="margin" w:tblpXSpec="center" w:tblpY="68"/>
        <w:tblW w:w="10559" w:type="dxa"/>
        <w:tblLook w:val="04A0" w:firstRow="1" w:lastRow="0" w:firstColumn="1" w:lastColumn="0" w:noHBand="0" w:noVBand="1"/>
      </w:tblPr>
      <w:tblGrid>
        <w:gridCol w:w="4066"/>
        <w:gridCol w:w="222"/>
        <w:gridCol w:w="1257"/>
        <w:gridCol w:w="294"/>
        <w:gridCol w:w="1573"/>
        <w:gridCol w:w="294"/>
        <w:gridCol w:w="1555"/>
        <w:gridCol w:w="294"/>
        <w:gridCol w:w="1218"/>
      </w:tblGrid>
      <w:tr w:rsidR="001760CF" w:rsidRPr="00205C60" w14:paraId="3DB33236" w14:textId="77777777" w:rsidTr="001760CF">
        <w:trPr>
          <w:trHeight w:val="10"/>
        </w:trPr>
        <w:tc>
          <w:tcPr>
            <w:tcW w:w="0" w:type="auto"/>
            <w:tcBorders>
              <w:top w:val="nil"/>
              <w:left w:val="nil"/>
              <w:bottom w:val="nil"/>
              <w:right w:val="nil"/>
            </w:tcBorders>
            <w:shd w:val="clear" w:color="auto" w:fill="auto"/>
            <w:noWrap/>
            <w:vAlign w:val="bottom"/>
            <w:hideMark/>
          </w:tcPr>
          <w:p w14:paraId="779510AC" w14:textId="79C77F0E" w:rsidR="00584CAD" w:rsidRPr="00205C60" w:rsidRDefault="00584CAD" w:rsidP="00584CAD">
            <w:pPr>
              <w:rPr>
                <w:rFonts w:ascii="Verdana" w:hAnsi="Verdana"/>
                <w:sz w:val="22"/>
                <w:szCs w:val="22"/>
                <w:u w:val="single"/>
                <w:lang w:val="es-CR"/>
              </w:rPr>
            </w:pPr>
            <w:r w:rsidRPr="00205C60">
              <w:rPr>
                <w:rFonts w:ascii="Verdana" w:hAnsi="Verdana"/>
                <w:sz w:val="22"/>
                <w:szCs w:val="22"/>
                <w:u w:val="single"/>
                <w:lang w:val="es-CR"/>
              </w:rPr>
              <w:t>31 de diciembre del 2021</w:t>
            </w:r>
          </w:p>
        </w:tc>
        <w:tc>
          <w:tcPr>
            <w:tcW w:w="0" w:type="auto"/>
            <w:tcBorders>
              <w:top w:val="nil"/>
              <w:left w:val="nil"/>
              <w:bottom w:val="nil"/>
              <w:right w:val="nil"/>
            </w:tcBorders>
            <w:shd w:val="clear" w:color="auto" w:fill="auto"/>
            <w:noWrap/>
            <w:vAlign w:val="bottom"/>
          </w:tcPr>
          <w:p w14:paraId="2CAD7E90" w14:textId="77777777" w:rsidR="00584CAD" w:rsidRPr="00205C60" w:rsidRDefault="00584CAD" w:rsidP="00584CAD">
            <w:pPr>
              <w:rPr>
                <w:rFonts w:ascii="Verdana" w:hAnsi="Verdana"/>
                <w:sz w:val="22"/>
                <w:szCs w:val="22"/>
                <w:lang w:val="es-CR"/>
              </w:rPr>
            </w:pPr>
          </w:p>
        </w:tc>
        <w:tc>
          <w:tcPr>
            <w:tcW w:w="1232" w:type="dxa"/>
            <w:tcBorders>
              <w:top w:val="nil"/>
              <w:left w:val="nil"/>
              <w:bottom w:val="single" w:sz="4" w:space="0" w:color="auto"/>
              <w:right w:val="nil"/>
            </w:tcBorders>
            <w:shd w:val="clear" w:color="auto" w:fill="auto"/>
            <w:vAlign w:val="center"/>
            <w:hideMark/>
          </w:tcPr>
          <w:p w14:paraId="16DD1954" w14:textId="77777777" w:rsidR="00584CAD" w:rsidRPr="00205C60" w:rsidRDefault="00584CAD" w:rsidP="00584CAD">
            <w:pPr>
              <w:jc w:val="center"/>
              <w:rPr>
                <w:rFonts w:ascii="Verdana" w:hAnsi="Verdana"/>
                <w:color w:val="000000"/>
                <w:sz w:val="22"/>
                <w:szCs w:val="22"/>
                <w:lang w:val="es-US"/>
              </w:rPr>
            </w:pPr>
            <w:r w:rsidRPr="00205C60">
              <w:rPr>
                <w:rFonts w:ascii="Verdana" w:hAnsi="Verdana"/>
                <w:color w:val="000000"/>
                <w:sz w:val="22"/>
                <w:szCs w:val="22"/>
                <w:lang w:val="es-US"/>
              </w:rPr>
              <w:t>Tasa promedio de pérdida esperada</w:t>
            </w:r>
          </w:p>
        </w:tc>
        <w:tc>
          <w:tcPr>
            <w:tcW w:w="0" w:type="auto"/>
            <w:tcBorders>
              <w:top w:val="nil"/>
              <w:left w:val="nil"/>
              <w:bottom w:val="single" w:sz="4" w:space="0" w:color="auto"/>
              <w:right w:val="nil"/>
            </w:tcBorders>
            <w:shd w:val="clear" w:color="auto" w:fill="auto"/>
            <w:noWrap/>
            <w:vAlign w:val="bottom"/>
            <w:hideMark/>
          </w:tcPr>
          <w:p w14:paraId="3B217C24" w14:textId="77777777" w:rsidR="00584CAD" w:rsidRPr="00205C60" w:rsidRDefault="00584CAD" w:rsidP="00584CAD">
            <w:pPr>
              <w:rPr>
                <w:rFonts w:ascii="Verdana" w:hAnsi="Verdana" w:cs="Arial"/>
                <w:sz w:val="22"/>
                <w:szCs w:val="22"/>
                <w:lang w:val="es-US"/>
              </w:rPr>
            </w:pPr>
            <w:r w:rsidRPr="00205C60">
              <w:rPr>
                <w:rFonts w:ascii="Verdana" w:hAnsi="Verdana" w:cs="Arial"/>
                <w:sz w:val="22"/>
                <w:szCs w:val="22"/>
                <w:lang w:val="es-US"/>
              </w:rPr>
              <w:t> </w:t>
            </w:r>
          </w:p>
        </w:tc>
        <w:tc>
          <w:tcPr>
            <w:tcW w:w="0" w:type="auto"/>
            <w:tcBorders>
              <w:top w:val="nil"/>
              <w:left w:val="nil"/>
              <w:bottom w:val="single" w:sz="4" w:space="0" w:color="auto"/>
              <w:right w:val="nil"/>
            </w:tcBorders>
            <w:shd w:val="clear" w:color="auto" w:fill="auto"/>
            <w:vAlign w:val="center"/>
            <w:hideMark/>
          </w:tcPr>
          <w:p w14:paraId="0EA435A4" w14:textId="77777777" w:rsidR="00584CAD" w:rsidRPr="00205C60" w:rsidRDefault="00584CAD" w:rsidP="00584CAD">
            <w:pPr>
              <w:jc w:val="center"/>
              <w:rPr>
                <w:rFonts w:ascii="Verdana" w:hAnsi="Verdana"/>
                <w:color w:val="000000"/>
                <w:sz w:val="22"/>
                <w:szCs w:val="22"/>
                <w:lang w:val="es-419"/>
              </w:rPr>
            </w:pPr>
          </w:p>
          <w:p w14:paraId="4CAA8FC5" w14:textId="77777777" w:rsidR="00584CAD" w:rsidRPr="00205C60" w:rsidRDefault="00584CAD" w:rsidP="00584CAD">
            <w:pPr>
              <w:jc w:val="center"/>
              <w:rPr>
                <w:rFonts w:ascii="Verdana" w:hAnsi="Verdana"/>
                <w:color w:val="000000"/>
                <w:sz w:val="22"/>
                <w:szCs w:val="22"/>
                <w:lang w:val="es-419"/>
              </w:rPr>
            </w:pPr>
          </w:p>
          <w:p w14:paraId="465A6570" w14:textId="77777777" w:rsidR="00584CAD" w:rsidRPr="00205C60" w:rsidRDefault="00584CAD" w:rsidP="00584CAD">
            <w:pPr>
              <w:jc w:val="center"/>
              <w:rPr>
                <w:rFonts w:ascii="Verdana" w:hAnsi="Verdana"/>
                <w:color w:val="000000"/>
                <w:sz w:val="22"/>
                <w:szCs w:val="22"/>
                <w:lang w:val="en-US"/>
              </w:rPr>
            </w:pPr>
            <w:r w:rsidRPr="00205C60">
              <w:rPr>
                <w:rFonts w:ascii="Verdana" w:hAnsi="Verdana"/>
                <w:color w:val="000000"/>
                <w:sz w:val="22"/>
                <w:szCs w:val="22"/>
                <w:lang w:val="en-US"/>
              </w:rPr>
              <w:t>Importe en libros brutos</w:t>
            </w:r>
          </w:p>
        </w:tc>
        <w:tc>
          <w:tcPr>
            <w:tcW w:w="0" w:type="auto"/>
            <w:tcBorders>
              <w:top w:val="nil"/>
              <w:left w:val="nil"/>
              <w:bottom w:val="single" w:sz="4" w:space="0" w:color="auto"/>
              <w:right w:val="nil"/>
            </w:tcBorders>
            <w:shd w:val="clear" w:color="auto" w:fill="auto"/>
            <w:noWrap/>
            <w:vAlign w:val="bottom"/>
            <w:hideMark/>
          </w:tcPr>
          <w:p w14:paraId="14F2509B" w14:textId="77777777" w:rsidR="00584CAD" w:rsidRPr="00205C60" w:rsidRDefault="00584CAD" w:rsidP="00584CAD">
            <w:pPr>
              <w:rPr>
                <w:rFonts w:ascii="Verdana" w:hAnsi="Verdana" w:cs="Arial"/>
                <w:sz w:val="22"/>
                <w:szCs w:val="22"/>
                <w:lang w:val="en-US"/>
              </w:rPr>
            </w:pPr>
            <w:r w:rsidRPr="00205C60">
              <w:rPr>
                <w:rFonts w:ascii="Verdana" w:hAnsi="Verdana" w:cs="Arial"/>
                <w:sz w:val="22"/>
                <w:szCs w:val="22"/>
                <w:lang w:val="en-US"/>
              </w:rPr>
              <w:t> </w:t>
            </w:r>
          </w:p>
        </w:tc>
        <w:tc>
          <w:tcPr>
            <w:tcW w:w="0" w:type="auto"/>
            <w:tcBorders>
              <w:top w:val="nil"/>
              <w:left w:val="nil"/>
              <w:bottom w:val="single" w:sz="4" w:space="0" w:color="auto"/>
              <w:right w:val="nil"/>
            </w:tcBorders>
            <w:shd w:val="clear" w:color="auto" w:fill="auto"/>
            <w:vAlign w:val="center"/>
            <w:hideMark/>
          </w:tcPr>
          <w:p w14:paraId="2F0B18C3" w14:textId="77777777" w:rsidR="00584CAD" w:rsidRPr="00205C60" w:rsidRDefault="00584CAD" w:rsidP="00584CAD">
            <w:pPr>
              <w:jc w:val="center"/>
              <w:rPr>
                <w:rFonts w:ascii="Verdana" w:hAnsi="Verdana"/>
                <w:color w:val="000000"/>
                <w:sz w:val="22"/>
                <w:szCs w:val="22"/>
                <w:lang w:val="en-US"/>
              </w:rPr>
            </w:pPr>
          </w:p>
          <w:p w14:paraId="57C1AB22" w14:textId="77777777" w:rsidR="00584CAD" w:rsidRPr="00205C60" w:rsidRDefault="00584CAD" w:rsidP="00584CAD">
            <w:pPr>
              <w:jc w:val="center"/>
              <w:rPr>
                <w:rFonts w:ascii="Verdana" w:hAnsi="Verdana"/>
                <w:color w:val="000000"/>
                <w:sz w:val="22"/>
                <w:szCs w:val="22"/>
                <w:lang w:val="en-US"/>
              </w:rPr>
            </w:pPr>
          </w:p>
          <w:p w14:paraId="3BCF1D54" w14:textId="000250A6" w:rsidR="00584CAD" w:rsidRPr="00205C60" w:rsidRDefault="00741053" w:rsidP="00584CAD">
            <w:pPr>
              <w:jc w:val="center"/>
              <w:rPr>
                <w:rFonts w:ascii="Verdana" w:hAnsi="Verdana"/>
                <w:color w:val="000000"/>
                <w:sz w:val="22"/>
                <w:szCs w:val="22"/>
                <w:lang w:val="es-CR"/>
              </w:rPr>
            </w:pPr>
            <w:r w:rsidRPr="00205C60">
              <w:rPr>
                <w:rFonts w:ascii="Verdana" w:hAnsi="Verdana"/>
                <w:color w:val="000000"/>
                <w:sz w:val="22"/>
                <w:szCs w:val="22"/>
                <w:lang w:val="en-US"/>
              </w:rPr>
              <w:t>Estimación</w:t>
            </w:r>
            <w:r w:rsidR="00584CAD" w:rsidRPr="00205C60">
              <w:rPr>
                <w:rFonts w:ascii="Verdana" w:hAnsi="Verdana"/>
                <w:color w:val="000000"/>
                <w:sz w:val="22"/>
                <w:szCs w:val="22"/>
                <w:lang w:val="en-US"/>
              </w:rPr>
              <w:t xml:space="preserve"> para pérdida</w:t>
            </w:r>
          </w:p>
        </w:tc>
        <w:tc>
          <w:tcPr>
            <w:tcW w:w="0" w:type="auto"/>
            <w:tcBorders>
              <w:top w:val="nil"/>
              <w:left w:val="nil"/>
              <w:bottom w:val="single" w:sz="4" w:space="0" w:color="auto"/>
              <w:right w:val="nil"/>
            </w:tcBorders>
            <w:shd w:val="clear" w:color="auto" w:fill="auto"/>
            <w:vAlign w:val="center"/>
            <w:hideMark/>
          </w:tcPr>
          <w:p w14:paraId="13A50186" w14:textId="77777777" w:rsidR="00584CAD" w:rsidRPr="00205C60" w:rsidRDefault="00584CAD" w:rsidP="00584CAD">
            <w:pPr>
              <w:jc w:val="center"/>
              <w:rPr>
                <w:rFonts w:ascii="Verdana" w:hAnsi="Verdana"/>
                <w:color w:val="000000"/>
                <w:sz w:val="22"/>
                <w:szCs w:val="22"/>
                <w:lang w:val="en-US"/>
              </w:rPr>
            </w:pPr>
            <w:r w:rsidRPr="00205C60">
              <w:rPr>
                <w:rFonts w:ascii="Verdana" w:hAnsi="Verdana"/>
                <w:color w:val="000000"/>
                <w:sz w:val="22"/>
                <w:szCs w:val="22"/>
                <w:lang w:val="en-US"/>
              </w:rPr>
              <w:t> </w:t>
            </w:r>
          </w:p>
        </w:tc>
        <w:tc>
          <w:tcPr>
            <w:tcW w:w="1194" w:type="dxa"/>
            <w:tcBorders>
              <w:top w:val="nil"/>
              <w:left w:val="nil"/>
              <w:bottom w:val="single" w:sz="4" w:space="0" w:color="auto"/>
              <w:right w:val="nil"/>
            </w:tcBorders>
            <w:shd w:val="clear" w:color="auto" w:fill="auto"/>
            <w:vAlign w:val="center"/>
            <w:hideMark/>
          </w:tcPr>
          <w:p w14:paraId="3C383BA2" w14:textId="77777777" w:rsidR="00584CAD" w:rsidRPr="00205C60" w:rsidRDefault="00584CAD" w:rsidP="00584CAD">
            <w:pPr>
              <w:jc w:val="center"/>
              <w:rPr>
                <w:rFonts w:ascii="Verdana" w:hAnsi="Verdana"/>
                <w:color w:val="000000"/>
                <w:sz w:val="22"/>
                <w:szCs w:val="22"/>
                <w:lang w:val="en-US"/>
              </w:rPr>
            </w:pPr>
          </w:p>
          <w:p w14:paraId="54549A68" w14:textId="77777777" w:rsidR="00584CAD" w:rsidRPr="00205C60" w:rsidRDefault="00584CAD" w:rsidP="00584CAD">
            <w:pPr>
              <w:jc w:val="center"/>
              <w:rPr>
                <w:rFonts w:ascii="Verdana" w:hAnsi="Verdana"/>
                <w:color w:val="000000"/>
                <w:sz w:val="22"/>
                <w:szCs w:val="22"/>
                <w:lang w:val="en-US"/>
              </w:rPr>
            </w:pPr>
          </w:p>
          <w:p w14:paraId="4CB4587B" w14:textId="77777777" w:rsidR="00584CAD" w:rsidRPr="00205C60" w:rsidRDefault="00584CAD" w:rsidP="00584CAD">
            <w:pPr>
              <w:jc w:val="center"/>
              <w:rPr>
                <w:rFonts w:ascii="Verdana" w:hAnsi="Verdana"/>
                <w:color w:val="000000"/>
                <w:sz w:val="22"/>
                <w:szCs w:val="22"/>
                <w:lang w:val="en-US"/>
              </w:rPr>
            </w:pPr>
            <w:r w:rsidRPr="00205C60">
              <w:rPr>
                <w:rFonts w:ascii="Verdana" w:hAnsi="Verdana"/>
                <w:color w:val="000000"/>
                <w:sz w:val="22"/>
                <w:szCs w:val="22"/>
                <w:lang w:val="en-US"/>
              </w:rPr>
              <w:t>Con deterioro crediticio</w:t>
            </w:r>
          </w:p>
        </w:tc>
      </w:tr>
      <w:tr w:rsidR="001760CF" w:rsidRPr="00205C60" w14:paraId="3246EBD9" w14:textId="77777777" w:rsidTr="001760CF">
        <w:trPr>
          <w:trHeight w:val="10"/>
        </w:trPr>
        <w:tc>
          <w:tcPr>
            <w:tcW w:w="0" w:type="auto"/>
            <w:tcBorders>
              <w:top w:val="nil"/>
              <w:left w:val="nil"/>
              <w:bottom w:val="nil"/>
              <w:right w:val="nil"/>
            </w:tcBorders>
            <w:shd w:val="clear" w:color="auto" w:fill="auto"/>
            <w:noWrap/>
            <w:vAlign w:val="center"/>
            <w:hideMark/>
          </w:tcPr>
          <w:p w14:paraId="1E9A1F0E" w14:textId="77777777" w:rsidR="00584CAD" w:rsidRPr="00205C60" w:rsidRDefault="00584CAD" w:rsidP="00584CAD">
            <w:pPr>
              <w:rPr>
                <w:rFonts w:ascii="Verdana" w:hAnsi="Verdana"/>
                <w:color w:val="000000"/>
                <w:sz w:val="22"/>
                <w:szCs w:val="22"/>
              </w:rPr>
            </w:pPr>
            <w:r w:rsidRPr="00205C60">
              <w:rPr>
                <w:rFonts w:ascii="Verdana" w:hAnsi="Verdana"/>
                <w:color w:val="000000"/>
                <w:sz w:val="22"/>
                <w:szCs w:val="22"/>
              </w:rPr>
              <w:t>Cartera vigente a la fecha de corte</w:t>
            </w:r>
          </w:p>
        </w:tc>
        <w:tc>
          <w:tcPr>
            <w:tcW w:w="0" w:type="auto"/>
            <w:tcBorders>
              <w:top w:val="nil"/>
              <w:left w:val="nil"/>
              <w:bottom w:val="nil"/>
              <w:right w:val="nil"/>
            </w:tcBorders>
            <w:shd w:val="clear" w:color="auto" w:fill="auto"/>
            <w:noWrap/>
            <w:vAlign w:val="center"/>
          </w:tcPr>
          <w:p w14:paraId="19A622F9" w14:textId="77777777" w:rsidR="00584CAD" w:rsidRPr="00205C60" w:rsidRDefault="00584CAD" w:rsidP="00584CAD">
            <w:pPr>
              <w:jc w:val="center"/>
              <w:rPr>
                <w:rFonts w:ascii="Verdana" w:hAnsi="Verdana"/>
                <w:color w:val="000000"/>
                <w:sz w:val="22"/>
                <w:szCs w:val="22"/>
              </w:rPr>
            </w:pPr>
          </w:p>
        </w:tc>
        <w:tc>
          <w:tcPr>
            <w:tcW w:w="1232" w:type="dxa"/>
            <w:tcBorders>
              <w:top w:val="nil"/>
              <w:left w:val="nil"/>
              <w:bottom w:val="nil"/>
              <w:right w:val="nil"/>
            </w:tcBorders>
            <w:shd w:val="clear" w:color="auto" w:fill="auto"/>
            <w:noWrap/>
            <w:vAlign w:val="center"/>
          </w:tcPr>
          <w:p w14:paraId="1598577E" w14:textId="305B64D3" w:rsidR="00584CAD" w:rsidRPr="00205C60" w:rsidRDefault="00584CAD" w:rsidP="00584CAD">
            <w:pPr>
              <w:jc w:val="center"/>
              <w:rPr>
                <w:rFonts w:ascii="Verdana" w:hAnsi="Verdana"/>
                <w:color w:val="000000"/>
                <w:sz w:val="22"/>
                <w:szCs w:val="22"/>
                <w:lang w:val="en-US"/>
              </w:rPr>
            </w:pPr>
            <w:r w:rsidRPr="00205C60">
              <w:rPr>
                <w:rFonts w:ascii="Verdana" w:hAnsi="Verdana"/>
                <w:color w:val="000000"/>
                <w:sz w:val="22"/>
                <w:szCs w:val="22"/>
              </w:rPr>
              <w:t>6,45%</w:t>
            </w:r>
          </w:p>
        </w:tc>
        <w:tc>
          <w:tcPr>
            <w:tcW w:w="0" w:type="auto"/>
            <w:tcBorders>
              <w:top w:val="nil"/>
              <w:left w:val="nil"/>
              <w:bottom w:val="nil"/>
              <w:right w:val="nil"/>
            </w:tcBorders>
            <w:shd w:val="clear" w:color="auto" w:fill="auto"/>
            <w:noWrap/>
            <w:vAlign w:val="center"/>
          </w:tcPr>
          <w:p w14:paraId="1061369F" w14:textId="77777777" w:rsidR="00584CAD" w:rsidRPr="00205C60" w:rsidRDefault="00584CAD" w:rsidP="00584CAD">
            <w:pPr>
              <w:jc w:val="center"/>
              <w:rPr>
                <w:rFonts w:ascii="Verdana" w:hAnsi="Verdana"/>
                <w:color w:val="000000"/>
                <w:sz w:val="22"/>
                <w:szCs w:val="22"/>
                <w:lang w:val="en-US"/>
              </w:rPr>
            </w:pPr>
          </w:p>
        </w:tc>
        <w:tc>
          <w:tcPr>
            <w:tcW w:w="0" w:type="auto"/>
            <w:tcBorders>
              <w:top w:val="nil"/>
              <w:left w:val="nil"/>
              <w:bottom w:val="nil"/>
              <w:right w:val="nil"/>
            </w:tcBorders>
            <w:shd w:val="clear" w:color="auto" w:fill="auto"/>
            <w:noWrap/>
          </w:tcPr>
          <w:p w14:paraId="7C792DED" w14:textId="3E150FE4" w:rsidR="00584CAD" w:rsidRPr="00205C60" w:rsidRDefault="00584CAD" w:rsidP="00584CAD">
            <w:pPr>
              <w:jc w:val="right"/>
              <w:rPr>
                <w:rFonts w:ascii="Verdana" w:hAnsi="Verdana"/>
                <w:color w:val="000000"/>
                <w:sz w:val="22"/>
                <w:szCs w:val="22"/>
                <w:lang w:val="en-US"/>
              </w:rPr>
            </w:pPr>
            <w:r w:rsidRPr="00205C60">
              <w:rPr>
                <w:rFonts w:ascii="Verdana" w:hAnsi="Verdana"/>
                <w:color w:val="000000"/>
                <w:sz w:val="22"/>
                <w:szCs w:val="22"/>
                <w:lang w:val="en-US"/>
              </w:rPr>
              <w:t xml:space="preserve"> 1</w:t>
            </w:r>
            <w:r w:rsidR="00B95F61" w:rsidRPr="00205C60">
              <w:rPr>
                <w:rFonts w:ascii="Verdana" w:hAnsi="Verdana"/>
                <w:color w:val="000000"/>
                <w:sz w:val="22"/>
                <w:szCs w:val="22"/>
                <w:lang w:val="en-US"/>
              </w:rPr>
              <w:t>5</w:t>
            </w:r>
            <w:r w:rsidRPr="00205C60">
              <w:rPr>
                <w:rFonts w:ascii="Verdana" w:hAnsi="Verdana"/>
                <w:color w:val="000000"/>
                <w:sz w:val="22"/>
                <w:szCs w:val="22"/>
                <w:lang w:val="en-US"/>
              </w:rPr>
              <w:t>.</w:t>
            </w:r>
            <w:r w:rsidR="009C1B23" w:rsidRPr="00205C60">
              <w:rPr>
                <w:rFonts w:ascii="Verdana" w:hAnsi="Verdana"/>
                <w:color w:val="000000"/>
                <w:sz w:val="22"/>
                <w:szCs w:val="22"/>
                <w:lang w:val="en-US"/>
              </w:rPr>
              <w:t>785</w:t>
            </w:r>
            <w:r w:rsidRPr="00205C60">
              <w:rPr>
                <w:rFonts w:ascii="Verdana" w:hAnsi="Verdana"/>
                <w:color w:val="000000"/>
                <w:sz w:val="22"/>
                <w:szCs w:val="22"/>
                <w:lang w:val="en-US"/>
              </w:rPr>
              <w:t>.</w:t>
            </w:r>
            <w:r w:rsidR="009C1B23" w:rsidRPr="00205C60">
              <w:rPr>
                <w:rFonts w:ascii="Verdana" w:hAnsi="Verdana"/>
                <w:color w:val="000000"/>
                <w:sz w:val="22"/>
                <w:szCs w:val="22"/>
                <w:lang w:val="en-US"/>
              </w:rPr>
              <w:t>269</w:t>
            </w:r>
            <w:r w:rsidRPr="00205C60">
              <w:rPr>
                <w:rFonts w:ascii="Verdana" w:hAnsi="Verdana"/>
                <w:color w:val="000000"/>
                <w:sz w:val="22"/>
                <w:szCs w:val="22"/>
                <w:lang w:val="en-US"/>
              </w:rPr>
              <w:t xml:space="preserve"> </w:t>
            </w:r>
          </w:p>
        </w:tc>
        <w:tc>
          <w:tcPr>
            <w:tcW w:w="0" w:type="auto"/>
            <w:tcBorders>
              <w:top w:val="nil"/>
              <w:left w:val="nil"/>
              <w:bottom w:val="nil"/>
              <w:right w:val="nil"/>
            </w:tcBorders>
            <w:shd w:val="clear" w:color="auto" w:fill="auto"/>
            <w:noWrap/>
            <w:vAlign w:val="center"/>
          </w:tcPr>
          <w:p w14:paraId="4FE3D7D4" w14:textId="77777777" w:rsidR="00584CAD" w:rsidRPr="00205C60" w:rsidRDefault="00584CAD" w:rsidP="00584CAD">
            <w:pPr>
              <w:jc w:val="right"/>
              <w:rPr>
                <w:rFonts w:ascii="Verdana" w:hAnsi="Verdana"/>
                <w:color w:val="000000"/>
                <w:sz w:val="22"/>
                <w:szCs w:val="22"/>
                <w:lang w:val="en-US"/>
              </w:rPr>
            </w:pPr>
          </w:p>
        </w:tc>
        <w:tc>
          <w:tcPr>
            <w:tcW w:w="0" w:type="auto"/>
            <w:tcBorders>
              <w:top w:val="nil"/>
              <w:left w:val="nil"/>
              <w:bottom w:val="nil"/>
              <w:right w:val="nil"/>
            </w:tcBorders>
            <w:shd w:val="clear" w:color="auto" w:fill="auto"/>
            <w:noWrap/>
            <w:vAlign w:val="center"/>
          </w:tcPr>
          <w:p w14:paraId="72DBCE3B" w14:textId="6CB8C8F5" w:rsidR="00584CAD" w:rsidRPr="00205C60" w:rsidRDefault="00584CAD" w:rsidP="00584CAD">
            <w:pPr>
              <w:jc w:val="right"/>
              <w:rPr>
                <w:rFonts w:ascii="Verdana" w:hAnsi="Verdana"/>
                <w:color w:val="000000"/>
                <w:sz w:val="22"/>
                <w:szCs w:val="22"/>
                <w:lang w:val="en-US"/>
              </w:rPr>
            </w:pPr>
            <w:r w:rsidRPr="00205C60">
              <w:rPr>
                <w:rFonts w:ascii="Verdana" w:hAnsi="Verdana"/>
                <w:color w:val="000000"/>
                <w:sz w:val="22"/>
                <w:szCs w:val="22"/>
                <w:lang w:val="en-US"/>
              </w:rPr>
              <w:t>(</w:t>
            </w:r>
            <w:r w:rsidR="008E7D01" w:rsidRPr="00205C60">
              <w:rPr>
                <w:rFonts w:ascii="Verdana" w:hAnsi="Verdana"/>
                <w:color w:val="000000"/>
                <w:sz w:val="22"/>
                <w:szCs w:val="22"/>
                <w:lang w:val="en-US"/>
              </w:rPr>
              <w:t>460</w:t>
            </w:r>
            <w:r w:rsidRPr="00205C60">
              <w:rPr>
                <w:rFonts w:ascii="Verdana" w:hAnsi="Verdana"/>
                <w:color w:val="000000"/>
                <w:sz w:val="22"/>
                <w:szCs w:val="22"/>
                <w:lang w:val="en-US"/>
              </w:rPr>
              <w:t>.</w:t>
            </w:r>
            <w:r w:rsidR="008E7D01" w:rsidRPr="00205C60">
              <w:rPr>
                <w:rFonts w:ascii="Verdana" w:hAnsi="Verdana"/>
                <w:color w:val="000000"/>
                <w:sz w:val="22"/>
                <w:szCs w:val="22"/>
                <w:lang w:val="en-US"/>
              </w:rPr>
              <w:t>821</w:t>
            </w:r>
            <w:r w:rsidRPr="00205C60">
              <w:rPr>
                <w:rFonts w:ascii="Verdana" w:hAnsi="Verdana"/>
                <w:color w:val="000000"/>
                <w:sz w:val="22"/>
                <w:szCs w:val="22"/>
                <w:lang w:val="en-US"/>
              </w:rPr>
              <w:t>)</w:t>
            </w:r>
          </w:p>
        </w:tc>
        <w:tc>
          <w:tcPr>
            <w:tcW w:w="0" w:type="auto"/>
            <w:tcBorders>
              <w:top w:val="nil"/>
              <w:left w:val="nil"/>
              <w:bottom w:val="nil"/>
              <w:right w:val="nil"/>
            </w:tcBorders>
            <w:shd w:val="clear" w:color="auto" w:fill="auto"/>
            <w:noWrap/>
            <w:vAlign w:val="bottom"/>
          </w:tcPr>
          <w:p w14:paraId="7583B50D" w14:textId="77777777" w:rsidR="00584CAD" w:rsidRPr="00205C60" w:rsidRDefault="00584CAD" w:rsidP="00584CAD">
            <w:pPr>
              <w:jc w:val="right"/>
              <w:rPr>
                <w:rFonts w:ascii="Verdana" w:hAnsi="Verdana"/>
                <w:color w:val="000000"/>
                <w:sz w:val="22"/>
                <w:szCs w:val="22"/>
                <w:lang w:val="en-US"/>
              </w:rPr>
            </w:pPr>
          </w:p>
        </w:tc>
        <w:tc>
          <w:tcPr>
            <w:tcW w:w="1194" w:type="dxa"/>
            <w:tcBorders>
              <w:top w:val="nil"/>
              <w:left w:val="nil"/>
              <w:bottom w:val="nil"/>
              <w:right w:val="nil"/>
            </w:tcBorders>
            <w:shd w:val="clear" w:color="auto" w:fill="auto"/>
            <w:noWrap/>
            <w:vAlign w:val="center"/>
          </w:tcPr>
          <w:p w14:paraId="58C5AB3B" w14:textId="77777777" w:rsidR="00584CAD" w:rsidRPr="00205C60" w:rsidRDefault="00584CAD" w:rsidP="00584CAD">
            <w:pPr>
              <w:jc w:val="center"/>
              <w:rPr>
                <w:rFonts w:ascii="Verdana" w:hAnsi="Verdana"/>
                <w:color w:val="000000"/>
                <w:sz w:val="22"/>
                <w:szCs w:val="22"/>
                <w:lang w:val="en-US"/>
              </w:rPr>
            </w:pPr>
            <w:r w:rsidRPr="00205C60">
              <w:rPr>
                <w:rFonts w:ascii="Verdana" w:hAnsi="Verdana"/>
                <w:color w:val="000000"/>
                <w:sz w:val="22"/>
                <w:szCs w:val="22"/>
                <w:lang w:val="en-US"/>
              </w:rPr>
              <w:t>No</w:t>
            </w:r>
          </w:p>
        </w:tc>
      </w:tr>
      <w:tr w:rsidR="001760CF" w:rsidRPr="00205C60" w14:paraId="4E02CA8C" w14:textId="77777777" w:rsidTr="001760CF">
        <w:trPr>
          <w:trHeight w:val="10"/>
        </w:trPr>
        <w:tc>
          <w:tcPr>
            <w:tcW w:w="0" w:type="auto"/>
            <w:tcBorders>
              <w:top w:val="nil"/>
              <w:left w:val="nil"/>
              <w:bottom w:val="nil"/>
              <w:right w:val="nil"/>
            </w:tcBorders>
            <w:shd w:val="clear" w:color="auto" w:fill="auto"/>
            <w:noWrap/>
            <w:vAlign w:val="center"/>
            <w:hideMark/>
          </w:tcPr>
          <w:p w14:paraId="65D2AF82" w14:textId="77777777" w:rsidR="00584CAD" w:rsidRPr="00205C60" w:rsidRDefault="00584CAD" w:rsidP="00584CAD">
            <w:pPr>
              <w:rPr>
                <w:rFonts w:ascii="Verdana" w:hAnsi="Verdana"/>
                <w:color w:val="000000"/>
                <w:sz w:val="22"/>
                <w:szCs w:val="22"/>
                <w:lang w:val="en-US"/>
              </w:rPr>
            </w:pPr>
            <w:r w:rsidRPr="00205C60">
              <w:rPr>
                <w:rFonts w:ascii="Verdana" w:hAnsi="Verdana"/>
                <w:color w:val="000000"/>
                <w:sz w:val="22"/>
                <w:szCs w:val="22"/>
                <w:lang w:val="en-US"/>
              </w:rPr>
              <w:lastRenderedPageBreak/>
              <w:t>De 1 a 30 días</w:t>
            </w:r>
          </w:p>
        </w:tc>
        <w:tc>
          <w:tcPr>
            <w:tcW w:w="0" w:type="auto"/>
            <w:tcBorders>
              <w:top w:val="nil"/>
              <w:left w:val="nil"/>
              <w:bottom w:val="nil"/>
              <w:right w:val="nil"/>
            </w:tcBorders>
            <w:shd w:val="clear" w:color="auto" w:fill="auto"/>
            <w:noWrap/>
            <w:vAlign w:val="bottom"/>
          </w:tcPr>
          <w:p w14:paraId="5EA3F999" w14:textId="77777777" w:rsidR="00584CAD" w:rsidRPr="00205C60" w:rsidRDefault="00584CAD" w:rsidP="00584CAD">
            <w:pPr>
              <w:rPr>
                <w:rFonts w:ascii="Verdana" w:hAnsi="Verdana"/>
                <w:color w:val="000000"/>
                <w:sz w:val="22"/>
                <w:szCs w:val="22"/>
                <w:lang w:val="en-US"/>
              </w:rPr>
            </w:pPr>
          </w:p>
        </w:tc>
        <w:tc>
          <w:tcPr>
            <w:tcW w:w="1232" w:type="dxa"/>
            <w:tcBorders>
              <w:top w:val="nil"/>
              <w:left w:val="nil"/>
              <w:bottom w:val="nil"/>
              <w:right w:val="nil"/>
            </w:tcBorders>
            <w:shd w:val="clear" w:color="auto" w:fill="auto"/>
            <w:noWrap/>
            <w:vAlign w:val="center"/>
          </w:tcPr>
          <w:p w14:paraId="53AB4796" w14:textId="6FF0885D" w:rsidR="00584CAD" w:rsidRPr="00205C60" w:rsidRDefault="00584CAD" w:rsidP="00584CAD">
            <w:pPr>
              <w:jc w:val="center"/>
              <w:rPr>
                <w:rFonts w:ascii="Verdana" w:hAnsi="Verdana"/>
                <w:sz w:val="22"/>
                <w:szCs w:val="22"/>
              </w:rPr>
            </w:pPr>
            <w:r w:rsidRPr="00205C60">
              <w:rPr>
                <w:rFonts w:ascii="Verdana" w:hAnsi="Verdana"/>
                <w:color w:val="000000"/>
                <w:sz w:val="22"/>
                <w:szCs w:val="22"/>
              </w:rPr>
              <w:t>7,15%</w:t>
            </w:r>
          </w:p>
        </w:tc>
        <w:tc>
          <w:tcPr>
            <w:tcW w:w="0" w:type="auto"/>
            <w:tcBorders>
              <w:top w:val="nil"/>
              <w:left w:val="nil"/>
              <w:bottom w:val="nil"/>
              <w:right w:val="nil"/>
            </w:tcBorders>
            <w:shd w:val="clear" w:color="auto" w:fill="auto"/>
            <w:noWrap/>
            <w:vAlign w:val="bottom"/>
          </w:tcPr>
          <w:p w14:paraId="6CE619A2" w14:textId="77777777" w:rsidR="00584CAD" w:rsidRPr="00205C60" w:rsidRDefault="00584CAD" w:rsidP="00584CAD">
            <w:pPr>
              <w:rPr>
                <w:rFonts w:ascii="Verdana" w:hAnsi="Verdana"/>
                <w:color w:val="000000"/>
                <w:sz w:val="22"/>
                <w:szCs w:val="22"/>
                <w:lang w:val="en-US"/>
              </w:rPr>
            </w:pPr>
          </w:p>
        </w:tc>
        <w:tc>
          <w:tcPr>
            <w:tcW w:w="0" w:type="auto"/>
            <w:tcBorders>
              <w:top w:val="nil"/>
              <w:left w:val="nil"/>
              <w:bottom w:val="nil"/>
              <w:right w:val="nil"/>
            </w:tcBorders>
            <w:shd w:val="clear" w:color="auto" w:fill="auto"/>
            <w:noWrap/>
          </w:tcPr>
          <w:p w14:paraId="52725B61" w14:textId="3FF24D73" w:rsidR="00584CAD" w:rsidRPr="00205C60" w:rsidRDefault="00584CAD" w:rsidP="00584CAD">
            <w:pPr>
              <w:jc w:val="right"/>
              <w:rPr>
                <w:rFonts w:ascii="Verdana" w:hAnsi="Verdana"/>
                <w:color w:val="000000"/>
                <w:sz w:val="22"/>
                <w:szCs w:val="22"/>
                <w:lang w:val="en-US"/>
              </w:rPr>
            </w:pPr>
            <w:r w:rsidRPr="00205C60">
              <w:rPr>
                <w:rFonts w:ascii="Verdana" w:hAnsi="Verdana"/>
                <w:color w:val="000000"/>
                <w:sz w:val="22"/>
                <w:szCs w:val="22"/>
                <w:lang w:val="en-US"/>
              </w:rPr>
              <w:t xml:space="preserve"> </w:t>
            </w:r>
            <w:r w:rsidR="00B95F61" w:rsidRPr="00205C60">
              <w:rPr>
                <w:rFonts w:ascii="Verdana" w:hAnsi="Verdana"/>
                <w:color w:val="000000"/>
                <w:sz w:val="22"/>
                <w:szCs w:val="22"/>
                <w:lang w:val="en-US"/>
              </w:rPr>
              <w:t>2</w:t>
            </w:r>
            <w:r w:rsidRPr="00205C60">
              <w:rPr>
                <w:rFonts w:ascii="Verdana" w:hAnsi="Verdana"/>
                <w:color w:val="000000"/>
                <w:sz w:val="22"/>
                <w:szCs w:val="22"/>
                <w:lang w:val="en-US"/>
              </w:rPr>
              <w:t>.</w:t>
            </w:r>
            <w:r w:rsidR="009C1B23" w:rsidRPr="00205C60">
              <w:rPr>
                <w:rFonts w:ascii="Verdana" w:hAnsi="Verdana"/>
                <w:color w:val="000000"/>
                <w:sz w:val="22"/>
                <w:szCs w:val="22"/>
                <w:lang w:val="en-US"/>
              </w:rPr>
              <w:t>158</w:t>
            </w:r>
            <w:r w:rsidRPr="00205C60">
              <w:rPr>
                <w:rFonts w:ascii="Verdana" w:hAnsi="Verdana"/>
                <w:color w:val="000000"/>
                <w:sz w:val="22"/>
                <w:szCs w:val="22"/>
                <w:lang w:val="en-US"/>
              </w:rPr>
              <w:t>.</w:t>
            </w:r>
            <w:r w:rsidR="005572A5" w:rsidRPr="00205C60">
              <w:rPr>
                <w:rFonts w:ascii="Verdana" w:hAnsi="Verdana"/>
                <w:color w:val="000000"/>
                <w:sz w:val="22"/>
                <w:szCs w:val="22"/>
                <w:lang w:val="en-US"/>
              </w:rPr>
              <w:t>277</w:t>
            </w:r>
            <w:r w:rsidRPr="00205C60">
              <w:rPr>
                <w:rFonts w:ascii="Verdana" w:hAnsi="Verdana"/>
                <w:color w:val="000000"/>
                <w:sz w:val="22"/>
                <w:szCs w:val="22"/>
                <w:lang w:val="en-US"/>
              </w:rPr>
              <w:t xml:space="preserve"> </w:t>
            </w:r>
          </w:p>
        </w:tc>
        <w:tc>
          <w:tcPr>
            <w:tcW w:w="0" w:type="auto"/>
            <w:tcBorders>
              <w:top w:val="nil"/>
              <w:left w:val="nil"/>
              <w:bottom w:val="nil"/>
              <w:right w:val="nil"/>
            </w:tcBorders>
            <w:shd w:val="clear" w:color="auto" w:fill="auto"/>
            <w:noWrap/>
            <w:vAlign w:val="center"/>
          </w:tcPr>
          <w:p w14:paraId="08287813" w14:textId="77777777" w:rsidR="00584CAD" w:rsidRPr="00205C60" w:rsidRDefault="00584CAD" w:rsidP="00584CAD">
            <w:pPr>
              <w:jc w:val="right"/>
              <w:rPr>
                <w:rFonts w:ascii="Verdana" w:hAnsi="Verdana"/>
                <w:color w:val="000000"/>
                <w:sz w:val="22"/>
                <w:szCs w:val="22"/>
                <w:lang w:val="en-US"/>
              </w:rPr>
            </w:pPr>
          </w:p>
        </w:tc>
        <w:tc>
          <w:tcPr>
            <w:tcW w:w="0" w:type="auto"/>
            <w:tcBorders>
              <w:top w:val="nil"/>
              <w:left w:val="nil"/>
              <w:bottom w:val="nil"/>
              <w:right w:val="nil"/>
            </w:tcBorders>
            <w:shd w:val="clear" w:color="auto" w:fill="auto"/>
            <w:noWrap/>
            <w:vAlign w:val="center"/>
          </w:tcPr>
          <w:p w14:paraId="13933098" w14:textId="50B878E5" w:rsidR="00584CAD" w:rsidRPr="00205C60" w:rsidRDefault="00584CAD" w:rsidP="00584CAD">
            <w:pPr>
              <w:jc w:val="right"/>
              <w:rPr>
                <w:rFonts w:ascii="Verdana" w:hAnsi="Verdana"/>
                <w:color w:val="000000"/>
                <w:sz w:val="22"/>
                <w:szCs w:val="22"/>
                <w:lang w:val="en-US"/>
              </w:rPr>
            </w:pPr>
            <w:r w:rsidRPr="00205C60">
              <w:rPr>
                <w:rFonts w:ascii="Verdana" w:hAnsi="Verdana"/>
                <w:color w:val="000000"/>
                <w:sz w:val="22"/>
                <w:szCs w:val="22"/>
                <w:lang w:val="en-US"/>
              </w:rPr>
              <w:t>(</w:t>
            </w:r>
            <w:r w:rsidR="00F775BD" w:rsidRPr="00205C60">
              <w:rPr>
                <w:rFonts w:ascii="Verdana" w:hAnsi="Verdana"/>
                <w:color w:val="000000"/>
                <w:sz w:val="22"/>
                <w:szCs w:val="22"/>
                <w:lang w:val="en-US"/>
              </w:rPr>
              <w:t>51</w:t>
            </w:r>
            <w:r w:rsidRPr="00205C60">
              <w:rPr>
                <w:rFonts w:ascii="Verdana" w:hAnsi="Verdana"/>
                <w:color w:val="000000"/>
                <w:sz w:val="22"/>
                <w:szCs w:val="22"/>
                <w:lang w:val="en-US"/>
              </w:rPr>
              <w:t>.</w:t>
            </w:r>
            <w:r w:rsidR="00F775BD" w:rsidRPr="00205C60">
              <w:rPr>
                <w:rFonts w:ascii="Verdana" w:hAnsi="Verdana"/>
                <w:color w:val="000000"/>
                <w:sz w:val="22"/>
                <w:szCs w:val="22"/>
                <w:lang w:val="en-US"/>
              </w:rPr>
              <w:t>460</w:t>
            </w:r>
            <w:r w:rsidRPr="00205C60">
              <w:rPr>
                <w:rFonts w:ascii="Verdana" w:hAnsi="Verdana"/>
                <w:color w:val="000000"/>
                <w:sz w:val="22"/>
                <w:szCs w:val="22"/>
                <w:lang w:val="en-US"/>
              </w:rPr>
              <w:t>)</w:t>
            </w:r>
          </w:p>
        </w:tc>
        <w:tc>
          <w:tcPr>
            <w:tcW w:w="0" w:type="auto"/>
            <w:tcBorders>
              <w:top w:val="nil"/>
              <w:left w:val="nil"/>
              <w:bottom w:val="nil"/>
              <w:right w:val="nil"/>
            </w:tcBorders>
            <w:shd w:val="clear" w:color="auto" w:fill="auto"/>
            <w:noWrap/>
            <w:vAlign w:val="bottom"/>
          </w:tcPr>
          <w:p w14:paraId="10BBF9D5" w14:textId="77777777" w:rsidR="00584CAD" w:rsidRPr="00205C60" w:rsidRDefault="00584CAD" w:rsidP="00584CAD">
            <w:pPr>
              <w:jc w:val="right"/>
              <w:rPr>
                <w:rFonts w:ascii="Verdana" w:hAnsi="Verdana"/>
                <w:color w:val="000000"/>
                <w:sz w:val="22"/>
                <w:szCs w:val="22"/>
                <w:lang w:val="en-US"/>
              </w:rPr>
            </w:pPr>
          </w:p>
        </w:tc>
        <w:tc>
          <w:tcPr>
            <w:tcW w:w="1194" w:type="dxa"/>
            <w:tcBorders>
              <w:top w:val="nil"/>
              <w:left w:val="nil"/>
              <w:bottom w:val="nil"/>
              <w:right w:val="nil"/>
            </w:tcBorders>
            <w:shd w:val="clear" w:color="auto" w:fill="auto"/>
            <w:noWrap/>
            <w:vAlign w:val="center"/>
          </w:tcPr>
          <w:p w14:paraId="166C2637" w14:textId="77777777" w:rsidR="00584CAD" w:rsidRPr="00205C60" w:rsidRDefault="00584CAD" w:rsidP="00584CAD">
            <w:pPr>
              <w:jc w:val="center"/>
              <w:rPr>
                <w:rFonts w:ascii="Verdana" w:hAnsi="Verdana"/>
                <w:color w:val="000000"/>
                <w:sz w:val="22"/>
                <w:szCs w:val="22"/>
                <w:lang w:val="en-US"/>
              </w:rPr>
            </w:pPr>
            <w:r w:rsidRPr="00205C60">
              <w:rPr>
                <w:rFonts w:ascii="Verdana" w:hAnsi="Verdana"/>
                <w:color w:val="000000"/>
                <w:sz w:val="22"/>
                <w:szCs w:val="22"/>
                <w:lang w:val="en-US"/>
              </w:rPr>
              <w:t>No</w:t>
            </w:r>
          </w:p>
        </w:tc>
      </w:tr>
      <w:tr w:rsidR="001760CF" w:rsidRPr="00205C60" w14:paraId="71AA359A" w14:textId="77777777" w:rsidTr="001760CF">
        <w:trPr>
          <w:trHeight w:val="10"/>
        </w:trPr>
        <w:tc>
          <w:tcPr>
            <w:tcW w:w="0" w:type="auto"/>
            <w:tcBorders>
              <w:top w:val="nil"/>
              <w:left w:val="nil"/>
              <w:bottom w:val="nil"/>
              <w:right w:val="nil"/>
            </w:tcBorders>
            <w:shd w:val="clear" w:color="auto" w:fill="auto"/>
            <w:noWrap/>
            <w:vAlign w:val="center"/>
            <w:hideMark/>
          </w:tcPr>
          <w:p w14:paraId="5C212A09" w14:textId="77777777" w:rsidR="00584CAD" w:rsidRPr="00205C60" w:rsidRDefault="00584CAD" w:rsidP="00584CAD">
            <w:pPr>
              <w:rPr>
                <w:rFonts w:ascii="Verdana" w:hAnsi="Verdana"/>
                <w:color w:val="000000"/>
                <w:sz w:val="22"/>
                <w:szCs w:val="22"/>
                <w:lang w:val="en-US"/>
              </w:rPr>
            </w:pPr>
            <w:r w:rsidRPr="00205C60">
              <w:rPr>
                <w:rFonts w:ascii="Verdana" w:hAnsi="Verdana"/>
                <w:color w:val="000000"/>
                <w:sz w:val="22"/>
                <w:szCs w:val="22"/>
                <w:lang w:val="en-US"/>
              </w:rPr>
              <w:t>De 31 a 60 días</w:t>
            </w:r>
          </w:p>
        </w:tc>
        <w:tc>
          <w:tcPr>
            <w:tcW w:w="0" w:type="auto"/>
            <w:tcBorders>
              <w:top w:val="nil"/>
              <w:left w:val="nil"/>
              <w:bottom w:val="nil"/>
              <w:right w:val="nil"/>
            </w:tcBorders>
            <w:shd w:val="clear" w:color="auto" w:fill="auto"/>
            <w:noWrap/>
            <w:vAlign w:val="bottom"/>
          </w:tcPr>
          <w:p w14:paraId="7F56788D" w14:textId="77777777" w:rsidR="00584CAD" w:rsidRPr="00205C60" w:rsidRDefault="00584CAD" w:rsidP="00584CAD">
            <w:pPr>
              <w:rPr>
                <w:rFonts w:ascii="Verdana" w:hAnsi="Verdana"/>
                <w:color w:val="000000"/>
                <w:sz w:val="22"/>
                <w:szCs w:val="22"/>
                <w:lang w:val="en-US"/>
              </w:rPr>
            </w:pPr>
          </w:p>
        </w:tc>
        <w:tc>
          <w:tcPr>
            <w:tcW w:w="1232" w:type="dxa"/>
            <w:tcBorders>
              <w:top w:val="nil"/>
              <w:left w:val="nil"/>
              <w:bottom w:val="nil"/>
              <w:right w:val="nil"/>
            </w:tcBorders>
            <w:shd w:val="clear" w:color="auto" w:fill="auto"/>
            <w:noWrap/>
            <w:vAlign w:val="center"/>
          </w:tcPr>
          <w:p w14:paraId="335BBEE5" w14:textId="2D12A9B8" w:rsidR="00584CAD" w:rsidRPr="00205C60" w:rsidRDefault="00584CAD" w:rsidP="00584CAD">
            <w:pPr>
              <w:jc w:val="center"/>
              <w:rPr>
                <w:rFonts w:ascii="Verdana" w:hAnsi="Verdana"/>
                <w:sz w:val="22"/>
                <w:szCs w:val="22"/>
              </w:rPr>
            </w:pPr>
            <w:r w:rsidRPr="00205C60">
              <w:rPr>
                <w:rFonts w:ascii="Verdana" w:hAnsi="Verdana"/>
                <w:color w:val="000000"/>
                <w:sz w:val="22"/>
                <w:szCs w:val="22"/>
              </w:rPr>
              <w:t>7,85%</w:t>
            </w:r>
          </w:p>
        </w:tc>
        <w:tc>
          <w:tcPr>
            <w:tcW w:w="0" w:type="auto"/>
            <w:tcBorders>
              <w:top w:val="nil"/>
              <w:left w:val="nil"/>
              <w:bottom w:val="nil"/>
              <w:right w:val="nil"/>
            </w:tcBorders>
            <w:shd w:val="clear" w:color="auto" w:fill="auto"/>
            <w:noWrap/>
            <w:vAlign w:val="bottom"/>
          </w:tcPr>
          <w:p w14:paraId="61B732D4" w14:textId="77777777" w:rsidR="00584CAD" w:rsidRPr="00205C60" w:rsidRDefault="00584CAD" w:rsidP="00584CAD">
            <w:pPr>
              <w:rPr>
                <w:rFonts w:ascii="Verdana" w:hAnsi="Verdana"/>
                <w:color w:val="000000"/>
                <w:sz w:val="22"/>
                <w:szCs w:val="22"/>
                <w:lang w:val="en-US"/>
              </w:rPr>
            </w:pPr>
          </w:p>
        </w:tc>
        <w:tc>
          <w:tcPr>
            <w:tcW w:w="0" w:type="auto"/>
            <w:tcBorders>
              <w:top w:val="nil"/>
              <w:left w:val="nil"/>
              <w:bottom w:val="nil"/>
              <w:right w:val="nil"/>
            </w:tcBorders>
            <w:shd w:val="clear" w:color="auto" w:fill="auto"/>
            <w:noWrap/>
          </w:tcPr>
          <w:p w14:paraId="4C25CE79" w14:textId="18A7DB5C" w:rsidR="00584CAD" w:rsidRPr="00205C60" w:rsidRDefault="00584CAD" w:rsidP="00584CAD">
            <w:pPr>
              <w:jc w:val="right"/>
              <w:rPr>
                <w:rFonts w:ascii="Verdana" w:hAnsi="Verdana"/>
                <w:color w:val="000000"/>
                <w:sz w:val="22"/>
                <w:szCs w:val="22"/>
                <w:lang w:val="en-US"/>
              </w:rPr>
            </w:pPr>
            <w:r w:rsidRPr="00205C60">
              <w:rPr>
                <w:rFonts w:ascii="Verdana" w:hAnsi="Verdana"/>
                <w:color w:val="000000"/>
                <w:sz w:val="22"/>
                <w:szCs w:val="22"/>
                <w:lang w:val="en-US"/>
              </w:rPr>
              <w:t xml:space="preserve"> </w:t>
            </w:r>
            <w:r w:rsidR="00B95F61" w:rsidRPr="00205C60">
              <w:rPr>
                <w:rFonts w:ascii="Verdana" w:hAnsi="Verdana"/>
                <w:color w:val="000000"/>
                <w:sz w:val="22"/>
                <w:szCs w:val="22"/>
                <w:lang w:val="en-US"/>
              </w:rPr>
              <w:t>4</w:t>
            </w:r>
            <w:r w:rsidR="005572A5" w:rsidRPr="00205C60">
              <w:rPr>
                <w:rFonts w:ascii="Verdana" w:hAnsi="Verdana"/>
                <w:color w:val="000000"/>
                <w:sz w:val="22"/>
                <w:szCs w:val="22"/>
                <w:lang w:val="en-US"/>
              </w:rPr>
              <w:t>60</w:t>
            </w:r>
            <w:r w:rsidRPr="00205C60">
              <w:rPr>
                <w:rFonts w:ascii="Verdana" w:hAnsi="Verdana"/>
                <w:color w:val="000000"/>
                <w:sz w:val="22"/>
                <w:szCs w:val="22"/>
                <w:lang w:val="en-US"/>
              </w:rPr>
              <w:t>.</w:t>
            </w:r>
            <w:r w:rsidR="005572A5" w:rsidRPr="00205C60">
              <w:rPr>
                <w:rFonts w:ascii="Verdana" w:hAnsi="Verdana"/>
                <w:color w:val="000000"/>
                <w:sz w:val="22"/>
                <w:szCs w:val="22"/>
                <w:lang w:val="en-US"/>
              </w:rPr>
              <w:t>848</w:t>
            </w:r>
            <w:r w:rsidRPr="00205C60">
              <w:rPr>
                <w:rFonts w:ascii="Verdana" w:hAnsi="Verdana"/>
                <w:color w:val="000000"/>
                <w:sz w:val="22"/>
                <w:szCs w:val="22"/>
                <w:lang w:val="en-US"/>
              </w:rPr>
              <w:t xml:space="preserve"> </w:t>
            </w:r>
          </w:p>
        </w:tc>
        <w:tc>
          <w:tcPr>
            <w:tcW w:w="0" w:type="auto"/>
            <w:tcBorders>
              <w:top w:val="nil"/>
              <w:left w:val="nil"/>
              <w:bottom w:val="nil"/>
              <w:right w:val="nil"/>
            </w:tcBorders>
            <w:shd w:val="clear" w:color="auto" w:fill="auto"/>
            <w:noWrap/>
            <w:vAlign w:val="center"/>
          </w:tcPr>
          <w:p w14:paraId="616EE187" w14:textId="77777777" w:rsidR="00584CAD" w:rsidRPr="00205C60" w:rsidRDefault="00584CAD" w:rsidP="00584CAD">
            <w:pPr>
              <w:jc w:val="right"/>
              <w:rPr>
                <w:rFonts w:ascii="Verdana" w:hAnsi="Verdana"/>
                <w:color w:val="000000"/>
                <w:sz w:val="22"/>
                <w:szCs w:val="22"/>
                <w:lang w:val="en-US"/>
              </w:rPr>
            </w:pPr>
          </w:p>
        </w:tc>
        <w:tc>
          <w:tcPr>
            <w:tcW w:w="0" w:type="auto"/>
            <w:tcBorders>
              <w:top w:val="nil"/>
              <w:left w:val="nil"/>
              <w:bottom w:val="nil"/>
              <w:right w:val="nil"/>
            </w:tcBorders>
            <w:shd w:val="clear" w:color="auto" w:fill="auto"/>
            <w:noWrap/>
          </w:tcPr>
          <w:p w14:paraId="75CEF59F" w14:textId="0891DF35" w:rsidR="00584CAD" w:rsidRPr="00205C60" w:rsidRDefault="00584CAD" w:rsidP="00584CAD">
            <w:pPr>
              <w:jc w:val="right"/>
              <w:rPr>
                <w:rFonts w:ascii="Verdana" w:hAnsi="Verdana"/>
                <w:sz w:val="22"/>
                <w:szCs w:val="22"/>
              </w:rPr>
            </w:pPr>
            <w:r w:rsidRPr="00205C60">
              <w:rPr>
                <w:rFonts w:ascii="Verdana" w:hAnsi="Verdana"/>
                <w:sz w:val="22"/>
                <w:szCs w:val="22"/>
              </w:rPr>
              <w:t>(</w:t>
            </w:r>
            <w:r w:rsidR="00F775BD" w:rsidRPr="00205C60">
              <w:rPr>
                <w:rFonts w:ascii="Verdana" w:hAnsi="Verdana"/>
                <w:sz w:val="22"/>
                <w:szCs w:val="22"/>
              </w:rPr>
              <w:t>46</w:t>
            </w:r>
            <w:r w:rsidRPr="00205C60">
              <w:rPr>
                <w:rFonts w:ascii="Verdana" w:hAnsi="Verdana"/>
                <w:sz w:val="22"/>
                <w:szCs w:val="22"/>
              </w:rPr>
              <w:t>.</w:t>
            </w:r>
            <w:r w:rsidR="00F775BD" w:rsidRPr="00205C60">
              <w:rPr>
                <w:rFonts w:ascii="Verdana" w:hAnsi="Verdana"/>
                <w:sz w:val="22"/>
                <w:szCs w:val="22"/>
              </w:rPr>
              <w:t>680</w:t>
            </w:r>
            <w:r w:rsidRPr="00205C60">
              <w:rPr>
                <w:rFonts w:ascii="Verdana" w:hAnsi="Verdana"/>
                <w:sz w:val="22"/>
                <w:szCs w:val="22"/>
              </w:rPr>
              <w:t>)</w:t>
            </w:r>
          </w:p>
        </w:tc>
        <w:tc>
          <w:tcPr>
            <w:tcW w:w="0" w:type="auto"/>
            <w:tcBorders>
              <w:top w:val="nil"/>
              <w:left w:val="nil"/>
              <w:bottom w:val="nil"/>
              <w:right w:val="nil"/>
            </w:tcBorders>
            <w:shd w:val="clear" w:color="auto" w:fill="auto"/>
            <w:noWrap/>
            <w:vAlign w:val="bottom"/>
          </w:tcPr>
          <w:p w14:paraId="1FB1BF16" w14:textId="77777777" w:rsidR="00584CAD" w:rsidRPr="00205C60" w:rsidRDefault="00584CAD" w:rsidP="00584CAD">
            <w:pPr>
              <w:jc w:val="right"/>
              <w:rPr>
                <w:rFonts w:ascii="Verdana" w:hAnsi="Verdana"/>
                <w:color w:val="000000"/>
                <w:sz w:val="22"/>
                <w:szCs w:val="22"/>
                <w:lang w:val="en-US"/>
              </w:rPr>
            </w:pPr>
          </w:p>
        </w:tc>
        <w:tc>
          <w:tcPr>
            <w:tcW w:w="1194" w:type="dxa"/>
            <w:tcBorders>
              <w:top w:val="nil"/>
              <w:left w:val="nil"/>
              <w:bottom w:val="nil"/>
              <w:right w:val="nil"/>
            </w:tcBorders>
            <w:shd w:val="clear" w:color="auto" w:fill="auto"/>
            <w:noWrap/>
            <w:vAlign w:val="center"/>
          </w:tcPr>
          <w:p w14:paraId="00FC7F3F" w14:textId="3A380C7B" w:rsidR="00584CAD" w:rsidRPr="00205C60" w:rsidRDefault="00B5244B" w:rsidP="00584CAD">
            <w:pPr>
              <w:jc w:val="center"/>
              <w:rPr>
                <w:rFonts w:ascii="Verdana" w:hAnsi="Verdana"/>
                <w:color w:val="000000"/>
                <w:sz w:val="22"/>
                <w:szCs w:val="22"/>
                <w:lang w:val="en-US"/>
              </w:rPr>
            </w:pPr>
            <w:r w:rsidRPr="00205C60">
              <w:rPr>
                <w:rFonts w:ascii="Verdana" w:hAnsi="Verdana"/>
                <w:color w:val="000000"/>
                <w:sz w:val="22"/>
                <w:szCs w:val="22"/>
                <w:lang w:val="en-US"/>
              </w:rPr>
              <w:t>Si</w:t>
            </w:r>
          </w:p>
        </w:tc>
      </w:tr>
      <w:tr w:rsidR="001760CF" w:rsidRPr="00205C60" w14:paraId="6D259330" w14:textId="77777777" w:rsidTr="001760CF">
        <w:trPr>
          <w:trHeight w:val="10"/>
        </w:trPr>
        <w:tc>
          <w:tcPr>
            <w:tcW w:w="0" w:type="auto"/>
            <w:tcBorders>
              <w:top w:val="nil"/>
              <w:left w:val="nil"/>
              <w:bottom w:val="nil"/>
              <w:right w:val="nil"/>
            </w:tcBorders>
            <w:shd w:val="clear" w:color="auto" w:fill="auto"/>
            <w:noWrap/>
            <w:vAlign w:val="center"/>
            <w:hideMark/>
          </w:tcPr>
          <w:p w14:paraId="29D74B1C" w14:textId="77777777" w:rsidR="00584CAD" w:rsidRPr="00205C60" w:rsidRDefault="00584CAD" w:rsidP="00584CAD">
            <w:pPr>
              <w:rPr>
                <w:rFonts w:ascii="Verdana" w:hAnsi="Verdana"/>
                <w:color w:val="000000"/>
                <w:sz w:val="22"/>
                <w:szCs w:val="22"/>
                <w:lang w:val="en-US"/>
              </w:rPr>
            </w:pPr>
            <w:r w:rsidRPr="00205C60">
              <w:rPr>
                <w:rFonts w:ascii="Verdana" w:hAnsi="Verdana"/>
                <w:color w:val="000000"/>
                <w:sz w:val="22"/>
                <w:szCs w:val="22"/>
                <w:lang w:val="en-US"/>
              </w:rPr>
              <w:t>De 61 a 180 días</w:t>
            </w:r>
          </w:p>
        </w:tc>
        <w:tc>
          <w:tcPr>
            <w:tcW w:w="0" w:type="auto"/>
            <w:tcBorders>
              <w:top w:val="nil"/>
              <w:left w:val="nil"/>
              <w:bottom w:val="nil"/>
              <w:right w:val="nil"/>
            </w:tcBorders>
            <w:shd w:val="clear" w:color="auto" w:fill="auto"/>
            <w:noWrap/>
            <w:vAlign w:val="bottom"/>
          </w:tcPr>
          <w:p w14:paraId="4369416C" w14:textId="77777777" w:rsidR="00584CAD" w:rsidRPr="00205C60" w:rsidRDefault="00584CAD" w:rsidP="00584CAD">
            <w:pPr>
              <w:rPr>
                <w:rFonts w:ascii="Verdana" w:hAnsi="Verdana"/>
                <w:color w:val="000000"/>
                <w:sz w:val="22"/>
                <w:szCs w:val="22"/>
                <w:lang w:val="en-US"/>
              </w:rPr>
            </w:pPr>
          </w:p>
        </w:tc>
        <w:tc>
          <w:tcPr>
            <w:tcW w:w="1232" w:type="dxa"/>
            <w:tcBorders>
              <w:top w:val="nil"/>
              <w:left w:val="nil"/>
              <w:bottom w:val="nil"/>
              <w:right w:val="nil"/>
            </w:tcBorders>
            <w:shd w:val="clear" w:color="auto" w:fill="auto"/>
            <w:noWrap/>
            <w:vAlign w:val="center"/>
          </w:tcPr>
          <w:p w14:paraId="37FF9451" w14:textId="6DA67BC4" w:rsidR="00584CAD" w:rsidRPr="00205C60" w:rsidRDefault="00584CAD" w:rsidP="00584CAD">
            <w:pPr>
              <w:jc w:val="center"/>
              <w:rPr>
                <w:rFonts w:ascii="Verdana" w:hAnsi="Verdana"/>
                <w:sz w:val="22"/>
                <w:szCs w:val="22"/>
              </w:rPr>
            </w:pPr>
            <w:r w:rsidRPr="00205C60">
              <w:rPr>
                <w:rFonts w:ascii="Verdana" w:hAnsi="Verdana"/>
                <w:color w:val="000000"/>
                <w:sz w:val="22"/>
                <w:szCs w:val="22"/>
              </w:rPr>
              <w:t>9,16%</w:t>
            </w:r>
          </w:p>
        </w:tc>
        <w:tc>
          <w:tcPr>
            <w:tcW w:w="0" w:type="auto"/>
            <w:tcBorders>
              <w:top w:val="nil"/>
              <w:left w:val="nil"/>
              <w:bottom w:val="nil"/>
              <w:right w:val="nil"/>
            </w:tcBorders>
            <w:shd w:val="clear" w:color="auto" w:fill="auto"/>
            <w:noWrap/>
            <w:vAlign w:val="bottom"/>
          </w:tcPr>
          <w:p w14:paraId="62E9B739" w14:textId="77777777" w:rsidR="00584CAD" w:rsidRPr="00205C60" w:rsidRDefault="00584CAD" w:rsidP="00584CAD">
            <w:pPr>
              <w:rPr>
                <w:rFonts w:ascii="Verdana" w:hAnsi="Verdana"/>
                <w:color w:val="000000"/>
                <w:sz w:val="22"/>
                <w:szCs w:val="22"/>
                <w:lang w:val="en-US"/>
              </w:rPr>
            </w:pPr>
          </w:p>
        </w:tc>
        <w:tc>
          <w:tcPr>
            <w:tcW w:w="0" w:type="auto"/>
            <w:tcBorders>
              <w:top w:val="nil"/>
              <w:left w:val="nil"/>
              <w:bottom w:val="nil"/>
              <w:right w:val="nil"/>
            </w:tcBorders>
            <w:shd w:val="clear" w:color="auto" w:fill="auto"/>
            <w:noWrap/>
          </w:tcPr>
          <w:p w14:paraId="3B26F0B5" w14:textId="1CE067BF" w:rsidR="00584CAD" w:rsidRPr="00205C60" w:rsidRDefault="00584CAD" w:rsidP="00584CAD">
            <w:pPr>
              <w:jc w:val="right"/>
              <w:rPr>
                <w:rFonts w:ascii="Verdana" w:hAnsi="Verdana"/>
                <w:color w:val="000000"/>
                <w:sz w:val="22"/>
                <w:szCs w:val="22"/>
                <w:lang w:val="en-US"/>
              </w:rPr>
            </w:pPr>
            <w:r w:rsidRPr="00205C60">
              <w:rPr>
                <w:rFonts w:ascii="Verdana" w:hAnsi="Verdana"/>
                <w:color w:val="000000"/>
                <w:sz w:val="22"/>
                <w:szCs w:val="22"/>
                <w:lang w:val="en-US"/>
              </w:rPr>
              <w:t xml:space="preserve"> </w:t>
            </w:r>
            <w:r w:rsidR="005572A5" w:rsidRPr="00205C60">
              <w:rPr>
                <w:rFonts w:ascii="Verdana" w:hAnsi="Verdana"/>
                <w:color w:val="000000"/>
                <w:sz w:val="22"/>
                <w:szCs w:val="22"/>
                <w:lang w:val="en-US"/>
              </w:rPr>
              <w:t>310</w:t>
            </w:r>
            <w:r w:rsidRPr="00205C60">
              <w:rPr>
                <w:rFonts w:ascii="Verdana" w:hAnsi="Verdana"/>
                <w:color w:val="000000"/>
                <w:sz w:val="22"/>
                <w:szCs w:val="22"/>
                <w:lang w:val="en-US"/>
              </w:rPr>
              <w:t>.</w:t>
            </w:r>
            <w:r w:rsidR="00772B1C" w:rsidRPr="00205C60">
              <w:rPr>
                <w:rFonts w:ascii="Verdana" w:hAnsi="Verdana"/>
                <w:color w:val="000000"/>
                <w:sz w:val="22"/>
                <w:szCs w:val="22"/>
                <w:lang w:val="en-US"/>
              </w:rPr>
              <w:t>5</w:t>
            </w:r>
            <w:r w:rsidR="005572A5" w:rsidRPr="00205C60">
              <w:rPr>
                <w:rFonts w:ascii="Verdana" w:hAnsi="Verdana"/>
                <w:color w:val="000000"/>
                <w:sz w:val="22"/>
                <w:szCs w:val="22"/>
                <w:lang w:val="en-US"/>
              </w:rPr>
              <w:t>00</w:t>
            </w:r>
            <w:r w:rsidRPr="00205C60">
              <w:rPr>
                <w:rFonts w:ascii="Verdana" w:hAnsi="Verdana"/>
                <w:color w:val="000000"/>
                <w:sz w:val="22"/>
                <w:szCs w:val="22"/>
                <w:lang w:val="en-US"/>
              </w:rPr>
              <w:t xml:space="preserve"> </w:t>
            </w:r>
          </w:p>
        </w:tc>
        <w:tc>
          <w:tcPr>
            <w:tcW w:w="0" w:type="auto"/>
            <w:tcBorders>
              <w:top w:val="nil"/>
              <w:left w:val="nil"/>
              <w:bottom w:val="nil"/>
              <w:right w:val="nil"/>
            </w:tcBorders>
            <w:shd w:val="clear" w:color="auto" w:fill="auto"/>
            <w:noWrap/>
            <w:vAlign w:val="center"/>
          </w:tcPr>
          <w:p w14:paraId="5FED11EA" w14:textId="77777777" w:rsidR="00584CAD" w:rsidRPr="00205C60" w:rsidRDefault="00584CAD" w:rsidP="00584CAD">
            <w:pPr>
              <w:jc w:val="right"/>
              <w:rPr>
                <w:rFonts w:ascii="Verdana" w:hAnsi="Verdana"/>
                <w:color w:val="000000"/>
                <w:sz w:val="22"/>
                <w:szCs w:val="22"/>
                <w:lang w:val="en-US"/>
              </w:rPr>
            </w:pPr>
          </w:p>
        </w:tc>
        <w:tc>
          <w:tcPr>
            <w:tcW w:w="0" w:type="auto"/>
            <w:tcBorders>
              <w:top w:val="nil"/>
              <w:left w:val="nil"/>
              <w:bottom w:val="nil"/>
              <w:right w:val="nil"/>
            </w:tcBorders>
            <w:shd w:val="clear" w:color="auto" w:fill="auto"/>
            <w:noWrap/>
          </w:tcPr>
          <w:p w14:paraId="24D526C2" w14:textId="3990F6B5" w:rsidR="00584CAD" w:rsidRPr="00205C60" w:rsidRDefault="00584CAD" w:rsidP="00584CAD">
            <w:pPr>
              <w:jc w:val="right"/>
              <w:rPr>
                <w:rFonts w:ascii="Verdana" w:hAnsi="Verdana"/>
                <w:sz w:val="22"/>
                <w:szCs w:val="22"/>
              </w:rPr>
            </w:pPr>
            <w:r w:rsidRPr="00205C60">
              <w:rPr>
                <w:rFonts w:ascii="Verdana" w:hAnsi="Verdana"/>
                <w:sz w:val="22"/>
                <w:szCs w:val="22"/>
              </w:rPr>
              <w:t>(</w:t>
            </w:r>
            <w:r w:rsidR="00F775BD" w:rsidRPr="00205C60">
              <w:rPr>
                <w:rFonts w:ascii="Verdana" w:hAnsi="Verdana"/>
                <w:sz w:val="22"/>
                <w:szCs w:val="22"/>
              </w:rPr>
              <w:t>52</w:t>
            </w:r>
            <w:r w:rsidRPr="00205C60">
              <w:rPr>
                <w:rFonts w:ascii="Verdana" w:hAnsi="Verdana"/>
                <w:sz w:val="22"/>
                <w:szCs w:val="22"/>
              </w:rPr>
              <w:t>.</w:t>
            </w:r>
            <w:r w:rsidR="00F775BD" w:rsidRPr="00205C60">
              <w:rPr>
                <w:rFonts w:ascii="Verdana" w:hAnsi="Verdana"/>
                <w:sz w:val="22"/>
                <w:szCs w:val="22"/>
              </w:rPr>
              <w:t>593</w:t>
            </w:r>
            <w:r w:rsidRPr="00205C60">
              <w:rPr>
                <w:rFonts w:ascii="Verdana" w:hAnsi="Verdana"/>
                <w:sz w:val="22"/>
                <w:szCs w:val="22"/>
              </w:rPr>
              <w:t>)</w:t>
            </w:r>
          </w:p>
        </w:tc>
        <w:tc>
          <w:tcPr>
            <w:tcW w:w="0" w:type="auto"/>
            <w:tcBorders>
              <w:top w:val="nil"/>
              <w:left w:val="nil"/>
              <w:bottom w:val="nil"/>
              <w:right w:val="nil"/>
            </w:tcBorders>
            <w:shd w:val="clear" w:color="auto" w:fill="auto"/>
            <w:noWrap/>
            <w:vAlign w:val="bottom"/>
          </w:tcPr>
          <w:p w14:paraId="203CB7C5" w14:textId="77777777" w:rsidR="00584CAD" w:rsidRPr="00205C60" w:rsidRDefault="00584CAD" w:rsidP="00584CAD">
            <w:pPr>
              <w:jc w:val="right"/>
              <w:rPr>
                <w:rFonts w:ascii="Verdana" w:hAnsi="Verdana"/>
                <w:color w:val="000000"/>
                <w:sz w:val="22"/>
                <w:szCs w:val="22"/>
                <w:lang w:val="en-US"/>
              </w:rPr>
            </w:pPr>
          </w:p>
        </w:tc>
        <w:tc>
          <w:tcPr>
            <w:tcW w:w="1194" w:type="dxa"/>
            <w:tcBorders>
              <w:top w:val="nil"/>
              <w:left w:val="nil"/>
              <w:bottom w:val="nil"/>
              <w:right w:val="nil"/>
            </w:tcBorders>
            <w:shd w:val="clear" w:color="auto" w:fill="auto"/>
            <w:noWrap/>
            <w:vAlign w:val="center"/>
          </w:tcPr>
          <w:p w14:paraId="5462CB7E" w14:textId="7A0AF843" w:rsidR="00584CAD" w:rsidRPr="00205C60" w:rsidRDefault="00741053" w:rsidP="00584CAD">
            <w:pPr>
              <w:jc w:val="center"/>
              <w:rPr>
                <w:rFonts w:ascii="Verdana" w:hAnsi="Verdana"/>
                <w:color w:val="000000"/>
                <w:sz w:val="22"/>
                <w:szCs w:val="22"/>
                <w:lang w:val="en-US"/>
              </w:rPr>
            </w:pPr>
            <w:r w:rsidRPr="00205C60">
              <w:rPr>
                <w:rFonts w:ascii="Verdana" w:hAnsi="Verdana"/>
                <w:color w:val="000000"/>
                <w:sz w:val="22"/>
                <w:szCs w:val="22"/>
                <w:lang w:val="en-US"/>
              </w:rPr>
              <w:t>Si</w:t>
            </w:r>
          </w:p>
        </w:tc>
      </w:tr>
      <w:tr w:rsidR="001760CF" w:rsidRPr="00205C60" w14:paraId="2A6DC20C" w14:textId="77777777" w:rsidTr="001760CF">
        <w:trPr>
          <w:trHeight w:val="10"/>
        </w:trPr>
        <w:tc>
          <w:tcPr>
            <w:tcW w:w="0" w:type="auto"/>
            <w:tcBorders>
              <w:top w:val="nil"/>
              <w:left w:val="nil"/>
              <w:bottom w:val="nil"/>
              <w:right w:val="nil"/>
            </w:tcBorders>
            <w:shd w:val="clear" w:color="auto" w:fill="auto"/>
            <w:noWrap/>
            <w:vAlign w:val="center"/>
          </w:tcPr>
          <w:p w14:paraId="558C804A" w14:textId="77777777" w:rsidR="00584CAD" w:rsidRPr="00205C60" w:rsidRDefault="00584CAD" w:rsidP="00584CAD">
            <w:pPr>
              <w:rPr>
                <w:rFonts w:ascii="Verdana" w:hAnsi="Verdana"/>
                <w:color w:val="000000"/>
                <w:sz w:val="22"/>
                <w:szCs w:val="22"/>
                <w:lang w:val="en-US"/>
              </w:rPr>
            </w:pPr>
            <w:r w:rsidRPr="00205C60">
              <w:rPr>
                <w:rFonts w:ascii="Verdana" w:hAnsi="Verdana"/>
                <w:color w:val="000000"/>
                <w:sz w:val="22"/>
                <w:szCs w:val="22"/>
                <w:lang w:val="en-US"/>
              </w:rPr>
              <w:t>De 181 a 360 días</w:t>
            </w:r>
          </w:p>
        </w:tc>
        <w:tc>
          <w:tcPr>
            <w:tcW w:w="0" w:type="auto"/>
            <w:tcBorders>
              <w:top w:val="nil"/>
              <w:left w:val="nil"/>
              <w:bottom w:val="nil"/>
              <w:right w:val="nil"/>
            </w:tcBorders>
            <w:shd w:val="clear" w:color="auto" w:fill="auto"/>
            <w:noWrap/>
            <w:vAlign w:val="bottom"/>
          </w:tcPr>
          <w:p w14:paraId="0A22676F" w14:textId="77777777" w:rsidR="00584CAD" w:rsidRPr="00205C60" w:rsidRDefault="00584CAD" w:rsidP="00584CAD">
            <w:pPr>
              <w:rPr>
                <w:rFonts w:ascii="Verdana" w:hAnsi="Verdana"/>
                <w:color w:val="000000"/>
                <w:sz w:val="22"/>
                <w:szCs w:val="22"/>
                <w:lang w:val="en-US"/>
              </w:rPr>
            </w:pPr>
          </w:p>
        </w:tc>
        <w:tc>
          <w:tcPr>
            <w:tcW w:w="1232" w:type="dxa"/>
            <w:tcBorders>
              <w:top w:val="nil"/>
              <w:left w:val="nil"/>
              <w:bottom w:val="nil"/>
              <w:right w:val="nil"/>
            </w:tcBorders>
            <w:shd w:val="clear" w:color="auto" w:fill="auto"/>
            <w:noWrap/>
            <w:vAlign w:val="center"/>
          </w:tcPr>
          <w:p w14:paraId="64E6CAEA" w14:textId="628F6B23" w:rsidR="00584CAD" w:rsidRPr="00205C60" w:rsidRDefault="00BF3CB5" w:rsidP="00584CAD">
            <w:pPr>
              <w:jc w:val="center"/>
              <w:rPr>
                <w:rFonts w:ascii="Verdana" w:hAnsi="Verdana"/>
                <w:sz w:val="22"/>
                <w:szCs w:val="22"/>
              </w:rPr>
            </w:pPr>
            <w:r w:rsidRPr="00205C60">
              <w:rPr>
                <w:rFonts w:ascii="Verdana" w:hAnsi="Verdana"/>
                <w:color w:val="000000"/>
                <w:sz w:val="22"/>
                <w:szCs w:val="22"/>
              </w:rPr>
              <w:t>5</w:t>
            </w:r>
            <w:r w:rsidR="00584CAD" w:rsidRPr="00205C60">
              <w:rPr>
                <w:rFonts w:ascii="Verdana" w:hAnsi="Verdana"/>
                <w:color w:val="000000"/>
                <w:sz w:val="22"/>
                <w:szCs w:val="22"/>
              </w:rPr>
              <w:t>,</w:t>
            </w:r>
            <w:r w:rsidRPr="00205C60">
              <w:rPr>
                <w:rFonts w:ascii="Verdana" w:hAnsi="Verdana"/>
                <w:color w:val="000000"/>
                <w:sz w:val="22"/>
                <w:szCs w:val="22"/>
              </w:rPr>
              <w:t>81</w:t>
            </w:r>
            <w:r w:rsidR="00584CAD" w:rsidRPr="00205C60">
              <w:rPr>
                <w:rFonts w:ascii="Verdana" w:hAnsi="Verdana"/>
                <w:color w:val="000000"/>
                <w:sz w:val="22"/>
                <w:szCs w:val="22"/>
              </w:rPr>
              <w:t>%</w:t>
            </w:r>
          </w:p>
        </w:tc>
        <w:tc>
          <w:tcPr>
            <w:tcW w:w="0" w:type="auto"/>
            <w:tcBorders>
              <w:top w:val="nil"/>
              <w:left w:val="nil"/>
              <w:bottom w:val="nil"/>
              <w:right w:val="nil"/>
            </w:tcBorders>
            <w:shd w:val="clear" w:color="auto" w:fill="auto"/>
            <w:noWrap/>
            <w:vAlign w:val="bottom"/>
          </w:tcPr>
          <w:p w14:paraId="050358B0" w14:textId="77777777" w:rsidR="00584CAD" w:rsidRPr="00205C60" w:rsidRDefault="00584CAD" w:rsidP="00584CAD">
            <w:pPr>
              <w:rPr>
                <w:rFonts w:ascii="Verdana" w:hAnsi="Verdana"/>
                <w:color w:val="000000"/>
                <w:sz w:val="22"/>
                <w:szCs w:val="22"/>
                <w:lang w:val="en-US"/>
              </w:rPr>
            </w:pPr>
          </w:p>
        </w:tc>
        <w:tc>
          <w:tcPr>
            <w:tcW w:w="0" w:type="auto"/>
            <w:tcBorders>
              <w:top w:val="nil"/>
              <w:left w:val="nil"/>
              <w:bottom w:val="nil"/>
              <w:right w:val="nil"/>
            </w:tcBorders>
            <w:shd w:val="clear" w:color="auto" w:fill="auto"/>
            <w:noWrap/>
          </w:tcPr>
          <w:p w14:paraId="6C6E1E11" w14:textId="03F270F2" w:rsidR="00584CAD" w:rsidRPr="00205C60" w:rsidRDefault="00584CAD" w:rsidP="00584CAD">
            <w:pPr>
              <w:jc w:val="right"/>
              <w:rPr>
                <w:rFonts w:ascii="Verdana" w:hAnsi="Verdana"/>
                <w:color w:val="000000"/>
                <w:sz w:val="22"/>
                <w:szCs w:val="22"/>
                <w:lang w:val="en-US"/>
              </w:rPr>
            </w:pPr>
            <w:r w:rsidRPr="00205C60">
              <w:rPr>
                <w:rFonts w:ascii="Verdana" w:hAnsi="Verdana"/>
                <w:color w:val="000000"/>
                <w:sz w:val="22"/>
                <w:szCs w:val="22"/>
                <w:lang w:val="en-US"/>
              </w:rPr>
              <w:t xml:space="preserve"> </w:t>
            </w:r>
            <w:r w:rsidR="005572A5" w:rsidRPr="00205C60">
              <w:rPr>
                <w:rFonts w:ascii="Verdana" w:hAnsi="Verdana"/>
                <w:color w:val="000000"/>
                <w:sz w:val="22"/>
                <w:szCs w:val="22"/>
                <w:lang w:val="en-US"/>
              </w:rPr>
              <w:t>809</w:t>
            </w:r>
            <w:r w:rsidRPr="00205C60">
              <w:rPr>
                <w:rFonts w:ascii="Verdana" w:hAnsi="Verdana"/>
                <w:color w:val="000000"/>
                <w:sz w:val="22"/>
                <w:szCs w:val="22"/>
                <w:lang w:val="en-US"/>
              </w:rPr>
              <w:t>.</w:t>
            </w:r>
            <w:r w:rsidR="005572A5" w:rsidRPr="00205C60">
              <w:rPr>
                <w:rFonts w:ascii="Verdana" w:hAnsi="Verdana"/>
                <w:color w:val="000000"/>
                <w:sz w:val="22"/>
                <w:szCs w:val="22"/>
                <w:lang w:val="en-US"/>
              </w:rPr>
              <w:t>344</w:t>
            </w:r>
            <w:r w:rsidRPr="00205C60">
              <w:rPr>
                <w:rFonts w:ascii="Verdana" w:hAnsi="Verdana"/>
                <w:color w:val="000000"/>
                <w:sz w:val="22"/>
                <w:szCs w:val="22"/>
                <w:lang w:val="en-US"/>
              </w:rPr>
              <w:t xml:space="preserve"> </w:t>
            </w:r>
          </w:p>
        </w:tc>
        <w:tc>
          <w:tcPr>
            <w:tcW w:w="0" w:type="auto"/>
            <w:tcBorders>
              <w:top w:val="nil"/>
              <w:left w:val="nil"/>
              <w:bottom w:val="nil"/>
              <w:right w:val="nil"/>
            </w:tcBorders>
            <w:shd w:val="clear" w:color="auto" w:fill="auto"/>
            <w:noWrap/>
            <w:vAlign w:val="center"/>
          </w:tcPr>
          <w:p w14:paraId="578472FA" w14:textId="77777777" w:rsidR="00584CAD" w:rsidRPr="00205C60" w:rsidRDefault="00584CAD" w:rsidP="00584CAD">
            <w:pPr>
              <w:jc w:val="right"/>
              <w:rPr>
                <w:rFonts w:ascii="Verdana" w:hAnsi="Verdana"/>
                <w:color w:val="000000"/>
                <w:sz w:val="22"/>
                <w:szCs w:val="22"/>
                <w:lang w:val="en-US"/>
              </w:rPr>
            </w:pPr>
          </w:p>
        </w:tc>
        <w:tc>
          <w:tcPr>
            <w:tcW w:w="0" w:type="auto"/>
            <w:tcBorders>
              <w:top w:val="nil"/>
              <w:left w:val="nil"/>
              <w:bottom w:val="nil"/>
              <w:right w:val="nil"/>
            </w:tcBorders>
            <w:shd w:val="clear" w:color="auto" w:fill="auto"/>
            <w:noWrap/>
            <w:vAlign w:val="bottom"/>
          </w:tcPr>
          <w:p w14:paraId="0F3BC3F4" w14:textId="5CCC5FFC" w:rsidR="00584CAD" w:rsidRPr="00205C60" w:rsidRDefault="00584CAD" w:rsidP="00584CAD">
            <w:pPr>
              <w:jc w:val="right"/>
              <w:rPr>
                <w:rFonts w:ascii="Verdana" w:hAnsi="Verdana"/>
                <w:color w:val="000000"/>
                <w:sz w:val="22"/>
                <w:szCs w:val="22"/>
                <w:lang w:val="es-CR"/>
              </w:rPr>
            </w:pPr>
            <w:r w:rsidRPr="00205C60">
              <w:rPr>
                <w:rFonts w:ascii="Verdana" w:hAnsi="Verdana"/>
                <w:color w:val="000000"/>
                <w:sz w:val="22"/>
                <w:szCs w:val="22"/>
                <w:lang w:val="es-CR"/>
              </w:rPr>
              <w:t>(1</w:t>
            </w:r>
            <w:r w:rsidR="00F775BD" w:rsidRPr="00205C60">
              <w:rPr>
                <w:rFonts w:ascii="Verdana" w:hAnsi="Verdana"/>
                <w:color w:val="000000"/>
                <w:sz w:val="22"/>
                <w:szCs w:val="22"/>
                <w:lang w:val="es-CR"/>
              </w:rPr>
              <w:t>80</w:t>
            </w:r>
            <w:r w:rsidRPr="00205C60">
              <w:rPr>
                <w:rFonts w:ascii="Verdana" w:hAnsi="Verdana"/>
                <w:color w:val="000000"/>
                <w:sz w:val="22"/>
                <w:szCs w:val="22"/>
                <w:lang w:val="es-CR"/>
              </w:rPr>
              <w:t>.</w:t>
            </w:r>
            <w:r w:rsidR="00F775BD" w:rsidRPr="00205C60">
              <w:rPr>
                <w:rFonts w:ascii="Verdana" w:hAnsi="Verdana"/>
                <w:color w:val="000000"/>
                <w:sz w:val="22"/>
                <w:szCs w:val="22"/>
                <w:lang w:val="es-CR"/>
              </w:rPr>
              <w:t>715</w:t>
            </w:r>
            <w:r w:rsidRPr="00205C60">
              <w:rPr>
                <w:rFonts w:ascii="Verdana" w:hAnsi="Verdana"/>
                <w:color w:val="000000"/>
                <w:sz w:val="22"/>
                <w:szCs w:val="22"/>
                <w:lang w:val="es-CR"/>
              </w:rPr>
              <w:t>)</w:t>
            </w:r>
          </w:p>
        </w:tc>
        <w:tc>
          <w:tcPr>
            <w:tcW w:w="0" w:type="auto"/>
            <w:tcBorders>
              <w:top w:val="nil"/>
              <w:left w:val="nil"/>
              <w:bottom w:val="nil"/>
              <w:right w:val="nil"/>
            </w:tcBorders>
            <w:shd w:val="clear" w:color="auto" w:fill="auto"/>
            <w:noWrap/>
            <w:vAlign w:val="bottom"/>
          </w:tcPr>
          <w:p w14:paraId="02D92709" w14:textId="77777777" w:rsidR="00584CAD" w:rsidRPr="00205C60" w:rsidRDefault="00584CAD" w:rsidP="00584CAD">
            <w:pPr>
              <w:jc w:val="right"/>
              <w:rPr>
                <w:rFonts w:ascii="Verdana" w:hAnsi="Verdana"/>
                <w:color w:val="000000"/>
                <w:sz w:val="22"/>
                <w:szCs w:val="22"/>
                <w:lang w:val="en-US"/>
              </w:rPr>
            </w:pPr>
          </w:p>
        </w:tc>
        <w:tc>
          <w:tcPr>
            <w:tcW w:w="1194" w:type="dxa"/>
            <w:tcBorders>
              <w:top w:val="nil"/>
              <w:left w:val="nil"/>
              <w:bottom w:val="nil"/>
              <w:right w:val="nil"/>
            </w:tcBorders>
            <w:shd w:val="clear" w:color="auto" w:fill="auto"/>
            <w:noWrap/>
            <w:vAlign w:val="center"/>
          </w:tcPr>
          <w:p w14:paraId="5FBB2B01" w14:textId="50CE6C05" w:rsidR="00584CAD" w:rsidRPr="00205C60" w:rsidRDefault="00741053" w:rsidP="00584CAD">
            <w:pPr>
              <w:jc w:val="center"/>
              <w:rPr>
                <w:rFonts w:ascii="Verdana" w:hAnsi="Verdana"/>
                <w:color w:val="000000"/>
                <w:sz w:val="22"/>
                <w:szCs w:val="22"/>
                <w:lang w:val="en-US"/>
              </w:rPr>
            </w:pPr>
            <w:r w:rsidRPr="00205C60">
              <w:rPr>
                <w:rFonts w:ascii="Verdana" w:hAnsi="Verdana"/>
                <w:color w:val="000000"/>
                <w:sz w:val="22"/>
                <w:szCs w:val="22"/>
                <w:lang w:val="en-US"/>
              </w:rPr>
              <w:t>Si</w:t>
            </w:r>
          </w:p>
        </w:tc>
      </w:tr>
      <w:tr w:rsidR="001760CF" w:rsidRPr="00205C60" w14:paraId="3972D4F9" w14:textId="77777777" w:rsidTr="001760CF">
        <w:trPr>
          <w:trHeight w:val="10"/>
        </w:trPr>
        <w:tc>
          <w:tcPr>
            <w:tcW w:w="0" w:type="auto"/>
            <w:tcBorders>
              <w:top w:val="nil"/>
              <w:left w:val="nil"/>
              <w:bottom w:val="nil"/>
              <w:right w:val="nil"/>
            </w:tcBorders>
            <w:shd w:val="clear" w:color="auto" w:fill="auto"/>
            <w:noWrap/>
            <w:vAlign w:val="center"/>
          </w:tcPr>
          <w:p w14:paraId="4FBA1A6E" w14:textId="77777777" w:rsidR="00584CAD" w:rsidRPr="00205C60" w:rsidRDefault="00584CAD" w:rsidP="00584CAD">
            <w:pPr>
              <w:rPr>
                <w:rFonts w:ascii="Verdana" w:hAnsi="Verdana"/>
                <w:color w:val="000000"/>
                <w:sz w:val="22"/>
                <w:szCs w:val="22"/>
                <w:lang w:val="en-US"/>
              </w:rPr>
            </w:pPr>
            <w:r w:rsidRPr="00205C60">
              <w:rPr>
                <w:rFonts w:ascii="Verdana" w:hAnsi="Verdana"/>
                <w:color w:val="000000"/>
                <w:sz w:val="22"/>
                <w:szCs w:val="22"/>
                <w:lang w:val="en-US"/>
              </w:rPr>
              <w:t>De 361 a 720 días</w:t>
            </w:r>
          </w:p>
        </w:tc>
        <w:tc>
          <w:tcPr>
            <w:tcW w:w="0" w:type="auto"/>
            <w:tcBorders>
              <w:top w:val="nil"/>
              <w:left w:val="nil"/>
              <w:bottom w:val="nil"/>
              <w:right w:val="nil"/>
            </w:tcBorders>
            <w:shd w:val="clear" w:color="auto" w:fill="auto"/>
            <w:noWrap/>
            <w:vAlign w:val="bottom"/>
          </w:tcPr>
          <w:p w14:paraId="3194C029" w14:textId="77777777" w:rsidR="00584CAD" w:rsidRPr="00205C60" w:rsidRDefault="00584CAD" w:rsidP="00584CAD">
            <w:pPr>
              <w:rPr>
                <w:rFonts w:ascii="Verdana" w:hAnsi="Verdana"/>
                <w:color w:val="000000"/>
                <w:sz w:val="22"/>
                <w:szCs w:val="22"/>
                <w:lang w:val="en-US"/>
              </w:rPr>
            </w:pPr>
          </w:p>
        </w:tc>
        <w:tc>
          <w:tcPr>
            <w:tcW w:w="1232" w:type="dxa"/>
            <w:tcBorders>
              <w:top w:val="nil"/>
              <w:left w:val="nil"/>
              <w:bottom w:val="nil"/>
              <w:right w:val="nil"/>
            </w:tcBorders>
            <w:shd w:val="clear" w:color="auto" w:fill="auto"/>
            <w:noWrap/>
            <w:vAlign w:val="center"/>
          </w:tcPr>
          <w:p w14:paraId="329CA256" w14:textId="38D90DE0" w:rsidR="00584CAD" w:rsidRPr="00205C60" w:rsidRDefault="00BF3CB5" w:rsidP="00584CAD">
            <w:pPr>
              <w:jc w:val="center"/>
              <w:rPr>
                <w:rFonts w:ascii="Verdana" w:hAnsi="Verdana"/>
                <w:sz w:val="22"/>
                <w:szCs w:val="22"/>
              </w:rPr>
            </w:pPr>
            <w:r w:rsidRPr="00205C60">
              <w:rPr>
                <w:rFonts w:ascii="Verdana" w:hAnsi="Verdana"/>
                <w:color w:val="000000"/>
                <w:sz w:val="22"/>
                <w:szCs w:val="22"/>
              </w:rPr>
              <w:t>8</w:t>
            </w:r>
            <w:r w:rsidR="00584CAD" w:rsidRPr="00205C60">
              <w:rPr>
                <w:rFonts w:ascii="Verdana" w:hAnsi="Verdana"/>
                <w:color w:val="000000"/>
                <w:sz w:val="22"/>
                <w:szCs w:val="22"/>
              </w:rPr>
              <w:t>,</w:t>
            </w:r>
            <w:r w:rsidRPr="00205C60">
              <w:rPr>
                <w:rFonts w:ascii="Verdana" w:hAnsi="Verdana"/>
                <w:color w:val="000000"/>
                <w:sz w:val="22"/>
                <w:szCs w:val="22"/>
              </w:rPr>
              <w:t>25</w:t>
            </w:r>
            <w:r w:rsidR="00584CAD" w:rsidRPr="00205C60">
              <w:rPr>
                <w:rFonts w:ascii="Verdana" w:hAnsi="Verdana"/>
                <w:color w:val="000000"/>
                <w:sz w:val="22"/>
                <w:szCs w:val="22"/>
              </w:rPr>
              <w:t>%</w:t>
            </w:r>
          </w:p>
        </w:tc>
        <w:tc>
          <w:tcPr>
            <w:tcW w:w="0" w:type="auto"/>
            <w:tcBorders>
              <w:top w:val="nil"/>
              <w:left w:val="nil"/>
              <w:bottom w:val="nil"/>
              <w:right w:val="nil"/>
            </w:tcBorders>
            <w:shd w:val="clear" w:color="auto" w:fill="auto"/>
            <w:noWrap/>
            <w:vAlign w:val="bottom"/>
          </w:tcPr>
          <w:p w14:paraId="3E0C94FC" w14:textId="77777777" w:rsidR="00584CAD" w:rsidRPr="00205C60" w:rsidRDefault="00584CAD" w:rsidP="00584CAD">
            <w:pPr>
              <w:rPr>
                <w:rFonts w:ascii="Verdana" w:hAnsi="Verdana"/>
                <w:color w:val="000000"/>
                <w:sz w:val="22"/>
                <w:szCs w:val="22"/>
                <w:lang w:val="en-US"/>
              </w:rPr>
            </w:pPr>
          </w:p>
        </w:tc>
        <w:tc>
          <w:tcPr>
            <w:tcW w:w="0" w:type="auto"/>
            <w:tcBorders>
              <w:top w:val="nil"/>
              <w:left w:val="nil"/>
              <w:bottom w:val="nil"/>
              <w:right w:val="nil"/>
            </w:tcBorders>
            <w:shd w:val="clear" w:color="auto" w:fill="auto"/>
            <w:noWrap/>
          </w:tcPr>
          <w:p w14:paraId="03BC55ED" w14:textId="5A34E538" w:rsidR="00584CAD" w:rsidRPr="00205C60" w:rsidRDefault="00584CAD" w:rsidP="00584CAD">
            <w:pPr>
              <w:jc w:val="right"/>
              <w:rPr>
                <w:rFonts w:ascii="Verdana" w:hAnsi="Verdana"/>
                <w:color w:val="000000"/>
                <w:sz w:val="22"/>
                <w:szCs w:val="22"/>
                <w:lang w:val="en-US"/>
              </w:rPr>
            </w:pPr>
            <w:r w:rsidRPr="00205C60">
              <w:rPr>
                <w:rFonts w:ascii="Verdana" w:hAnsi="Verdana"/>
                <w:color w:val="000000"/>
                <w:sz w:val="22"/>
                <w:szCs w:val="22"/>
                <w:lang w:val="en-US"/>
              </w:rPr>
              <w:t xml:space="preserve"> </w:t>
            </w:r>
            <w:r w:rsidR="00772B1C" w:rsidRPr="00205C60">
              <w:rPr>
                <w:rFonts w:ascii="Verdana" w:hAnsi="Verdana"/>
                <w:color w:val="000000"/>
                <w:sz w:val="22"/>
                <w:szCs w:val="22"/>
                <w:lang w:val="en-US"/>
              </w:rPr>
              <w:t>82</w:t>
            </w:r>
            <w:r w:rsidR="005572A5" w:rsidRPr="00205C60">
              <w:rPr>
                <w:rFonts w:ascii="Verdana" w:hAnsi="Verdana"/>
                <w:color w:val="000000"/>
                <w:sz w:val="22"/>
                <w:szCs w:val="22"/>
                <w:lang w:val="en-US"/>
              </w:rPr>
              <w:t>4</w:t>
            </w:r>
            <w:r w:rsidRPr="00205C60">
              <w:rPr>
                <w:rFonts w:ascii="Verdana" w:hAnsi="Verdana"/>
                <w:color w:val="000000"/>
                <w:sz w:val="22"/>
                <w:szCs w:val="22"/>
                <w:lang w:val="en-US"/>
              </w:rPr>
              <w:t>.</w:t>
            </w:r>
            <w:r w:rsidR="005572A5" w:rsidRPr="00205C60">
              <w:rPr>
                <w:rFonts w:ascii="Verdana" w:hAnsi="Verdana"/>
                <w:color w:val="000000"/>
                <w:sz w:val="22"/>
                <w:szCs w:val="22"/>
                <w:lang w:val="en-US"/>
              </w:rPr>
              <w:t>386</w:t>
            </w:r>
            <w:r w:rsidRPr="00205C60">
              <w:rPr>
                <w:rFonts w:ascii="Verdana" w:hAnsi="Verdana"/>
                <w:color w:val="000000"/>
                <w:sz w:val="22"/>
                <w:szCs w:val="22"/>
                <w:lang w:val="en-US"/>
              </w:rPr>
              <w:t xml:space="preserve"> </w:t>
            </w:r>
          </w:p>
        </w:tc>
        <w:tc>
          <w:tcPr>
            <w:tcW w:w="0" w:type="auto"/>
            <w:tcBorders>
              <w:top w:val="nil"/>
              <w:left w:val="nil"/>
              <w:bottom w:val="nil"/>
              <w:right w:val="nil"/>
            </w:tcBorders>
            <w:shd w:val="clear" w:color="auto" w:fill="auto"/>
            <w:noWrap/>
            <w:vAlign w:val="center"/>
          </w:tcPr>
          <w:p w14:paraId="6B39186C" w14:textId="77777777" w:rsidR="00584CAD" w:rsidRPr="00205C60" w:rsidRDefault="00584CAD" w:rsidP="00584CAD">
            <w:pPr>
              <w:jc w:val="right"/>
              <w:rPr>
                <w:rFonts w:ascii="Verdana" w:hAnsi="Verdana"/>
                <w:color w:val="000000"/>
                <w:sz w:val="22"/>
                <w:szCs w:val="22"/>
                <w:lang w:val="en-US"/>
              </w:rPr>
            </w:pPr>
          </w:p>
        </w:tc>
        <w:tc>
          <w:tcPr>
            <w:tcW w:w="0" w:type="auto"/>
            <w:tcBorders>
              <w:top w:val="nil"/>
              <w:left w:val="nil"/>
              <w:bottom w:val="nil"/>
              <w:right w:val="nil"/>
            </w:tcBorders>
            <w:shd w:val="clear" w:color="auto" w:fill="auto"/>
            <w:noWrap/>
            <w:vAlign w:val="bottom"/>
          </w:tcPr>
          <w:p w14:paraId="086AD156" w14:textId="1118AB46" w:rsidR="00584CAD" w:rsidRPr="00205C60" w:rsidRDefault="00584CAD" w:rsidP="00584CAD">
            <w:pPr>
              <w:jc w:val="right"/>
              <w:rPr>
                <w:rFonts w:ascii="Verdana" w:hAnsi="Verdana"/>
                <w:color w:val="000000"/>
                <w:sz w:val="22"/>
                <w:szCs w:val="22"/>
                <w:lang w:val="es-CR"/>
              </w:rPr>
            </w:pPr>
            <w:r w:rsidRPr="00205C60">
              <w:rPr>
                <w:rFonts w:ascii="Verdana" w:hAnsi="Verdana"/>
                <w:color w:val="000000"/>
                <w:sz w:val="22"/>
                <w:szCs w:val="22"/>
                <w:lang w:val="es-CR"/>
              </w:rPr>
              <w:t>(</w:t>
            </w:r>
            <w:r w:rsidR="00F775BD" w:rsidRPr="00205C60">
              <w:rPr>
                <w:rFonts w:ascii="Verdana" w:hAnsi="Verdana"/>
                <w:color w:val="000000"/>
                <w:sz w:val="22"/>
                <w:szCs w:val="22"/>
                <w:lang w:val="es-CR"/>
              </w:rPr>
              <w:t>167</w:t>
            </w:r>
            <w:r w:rsidRPr="00205C60">
              <w:rPr>
                <w:rFonts w:ascii="Verdana" w:hAnsi="Verdana"/>
                <w:color w:val="000000"/>
                <w:sz w:val="22"/>
                <w:szCs w:val="22"/>
                <w:lang w:val="es-CR"/>
              </w:rPr>
              <w:t>.</w:t>
            </w:r>
            <w:r w:rsidR="00F775BD" w:rsidRPr="00205C60">
              <w:rPr>
                <w:rFonts w:ascii="Verdana" w:hAnsi="Verdana"/>
                <w:color w:val="000000"/>
                <w:sz w:val="22"/>
                <w:szCs w:val="22"/>
                <w:lang w:val="es-CR"/>
              </w:rPr>
              <w:t>248</w:t>
            </w:r>
            <w:r w:rsidRPr="00205C60">
              <w:rPr>
                <w:rFonts w:ascii="Verdana" w:hAnsi="Verdana"/>
                <w:color w:val="000000"/>
                <w:sz w:val="22"/>
                <w:szCs w:val="22"/>
                <w:lang w:val="es-CR"/>
              </w:rPr>
              <w:t>)</w:t>
            </w:r>
          </w:p>
        </w:tc>
        <w:tc>
          <w:tcPr>
            <w:tcW w:w="0" w:type="auto"/>
            <w:tcBorders>
              <w:top w:val="nil"/>
              <w:left w:val="nil"/>
              <w:bottom w:val="nil"/>
              <w:right w:val="nil"/>
            </w:tcBorders>
            <w:shd w:val="clear" w:color="auto" w:fill="auto"/>
            <w:noWrap/>
            <w:vAlign w:val="bottom"/>
          </w:tcPr>
          <w:p w14:paraId="04ED8B84" w14:textId="77777777" w:rsidR="00584CAD" w:rsidRPr="00205C60" w:rsidRDefault="00584CAD" w:rsidP="00584CAD">
            <w:pPr>
              <w:jc w:val="right"/>
              <w:rPr>
                <w:rFonts w:ascii="Verdana" w:hAnsi="Verdana"/>
                <w:color w:val="000000"/>
                <w:sz w:val="22"/>
                <w:szCs w:val="22"/>
                <w:lang w:val="en-US"/>
              </w:rPr>
            </w:pPr>
          </w:p>
        </w:tc>
        <w:tc>
          <w:tcPr>
            <w:tcW w:w="1194" w:type="dxa"/>
            <w:tcBorders>
              <w:top w:val="nil"/>
              <w:left w:val="nil"/>
              <w:bottom w:val="nil"/>
              <w:right w:val="nil"/>
            </w:tcBorders>
            <w:shd w:val="clear" w:color="auto" w:fill="auto"/>
            <w:noWrap/>
            <w:vAlign w:val="center"/>
          </w:tcPr>
          <w:p w14:paraId="280DEE11" w14:textId="79114EC6" w:rsidR="00584CAD" w:rsidRPr="00205C60" w:rsidRDefault="00741053" w:rsidP="00584CAD">
            <w:pPr>
              <w:jc w:val="center"/>
              <w:rPr>
                <w:rFonts w:ascii="Verdana" w:hAnsi="Verdana"/>
                <w:color w:val="000000"/>
                <w:sz w:val="22"/>
                <w:szCs w:val="22"/>
                <w:lang w:val="en-US"/>
              </w:rPr>
            </w:pPr>
            <w:r w:rsidRPr="00205C60">
              <w:rPr>
                <w:rFonts w:ascii="Verdana" w:hAnsi="Verdana"/>
                <w:color w:val="000000"/>
                <w:sz w:val="22"/>
                <w:szCs w:val="22"/>
                <w:lang w:val="en-US"/>
              </w:rPr>
              <w:t>Si</w:t>
            </w:r>
          </w:p>
        </w:tc>
      </w:tr>
      <w:tr w:rsidR="001760CF" w:rsidRPr="00205C60" w14:paraId="76286C7D" w14:textId="77777777" w:rsidTr="001760CF">
        <w:trPr>
          <w:trHeight w:val="10"/>
        </w:trPr>
        <w:tc>
          <w:tcPr>
            <w:tcW w:w="0" w:type="auto"/>
            <w:tcBorders>
              <w:top w:val="nil"/>
              <w:left w:val="nil"/>
              <w:bottom w:val="nil"/>
              <w:right w:val="nil"/>
            </w:tcBorders>
            <w:shd w:val="clear" w:color="auto" w:fill="auto"/>
            <w:noWrap/>
            <w:vAlign w:val="center"/>
            <w:hideMark/>
          </w:tcPr>
          <w:p w14:paraId="05612349" w14:textId="77777777" w:rsidR="00584CAD" w:rsidRPr="00205C60" w:rsidRDefault="00584CAD" w:rsidP="00584CAD">
            <w:pPr>
              <w:rPr>
                <w:rFonts w:ascii="Verdana" w:hAnsi="Verdana"/>
                <w:color w:val="000000"/>
                <w:sz w:val="22"/>
                <w:szCs w:val="22"/>
                <w:lang w:val="en-US"/>
              </w:rPr>
            </w:pPr>
            <w:r w:rsidRPr="00205C60">
              <w:rPr>
                <w:rFonts w:ascii="Verdana" w:hAnsi="Verdana"/>
                <w:color w:val="000000"/>
                <w:sz w:val="22"/>
                <w:szCs w:val="22"/>
                <w:lang w:val="en-US"/>
              </w:rPr>
              <w:t>De 721 días y más</w:t>
            </w:r>
          </w:p>
        </w:tc>
        <w:tc>
          <w:tcPr>
            <w:tcW w:w="0" w:type="auto"/>
            <w:tcBorders>
              <w:top w:val="nil"/>
              <w:left w:val="nil"/>
              <w:bottom w:val="nil"/>
              <w:right w:val="nil"/>
            </w:tcBorders>
            <w:shd w:val="clear" w:color="auto" w:fill="auto"/>
            <w:noWrap/>
            <w:vAlign w:val="bottom"/>
          </w:tcPr>
          <w:p w14:paraId="7A935E4A" w14:textId="77777777" w:rsidR="00584CAD" w:rsidRPr="00205C60" w:rsidRDefault="00584CAD" w:rsidP="00584CAD">
            <w:pPr>
              <w:rPr>
                <w:rFonts w:ascii="Verdana" w:hAnsi="Verdana"/>
                <w:color w:val="000000"/>
                <w:sz w:val="22"/>
                <w:szCs w:val="22"/>
                <w:lang w:val="en-US"/>
              </w:rPr>
            </w:pPr>
          </w:p>
        </w:tc>
        <w:tc>
          <w:tcPr>
            <w:tcW w:w="1232" w:type="dxa"/>
            <w:tcBorders>
              <w:top w:val="nil"/>
              <w:left w:val="nil"/>
              <w:bottom w:val="nil"/>
              <w:right w:val="nil"/>
            </w:tcBorders>
            <w:shd w:val="clear" w:color="auto" w:fill="auto"/>
            <w:noWrap/>
            <w:vAlign w:val="center"/>
          </w:tcPr>
          <w:p w14:paraId="0295349F" w14:textId="2F75F201" w:rsidR="00584CAD" w:rsidRPr="00205C60" w:rsidRDefault="00BF3CB5" w:rsidP="00584CAD">
            <w:pPr>
              <w:jc w:val="center"/>
              <w:rPr>
                <w:rFonts w:ascii="Verdana" w:hAnsi="Verdana"/>
                <w:sz w:val="22"/>
                <w:szCs w:val="22"/>
              </w:rPr>
            </w:pPr>
            <w:r w:rsidRPr="00205C60">
              <w:rPr>
                <w:rFonts w:ascii="Verdana" w:hAnsi="Verdana"/>
                <w:color w:val="000000"/>
                <w:sz w:val="22"/>
                <w:szCs w:val="22"/>
              </w:rPr>
              <w:t>10</w:t>
            </w:r>
            <w:r w:rsidR="00584CAD" w:rsidRPr="00205C60">
              <w:rPr>
                <w:rFonts w:ascii="Verdana" w:hAnsi="Verdana"/>
                <w:color w:val="000000"/>
                <w:sz w:val="22"/>
                <w:szCs w:val="22"/>
              </w:rPr>
              <w:t>,</w:t>
            </w:r>
            <w:r w:rsidRPr="00205C60">
              <w:rPr>
                <w:rFonts w:ascii="Verdana" w:hAnsi="Verdana"/>
                <w:color w:val="000000"/>
                <w:sz w:val="22"/>
                <w:szCs w:val="22"/>
              </w:rPr>
              <w:t>14</w:t>
            </w:r>
            <w:r w:rsidR="00584CAD" w:rsidRPr="00205C60">
              <w:rPr>
                <w:rFonts w:ascii="Verdana" w:hAnsi="Verdana"/>
                <w:color w:val="000000"/>
                <w:sz w:val="22"/>
                <w:szCs w:val="22"/>
              </w:rPr>
              <w:t>%</w:t>
            </w:r>
          </w:p>
        </w:tc>
        <w:tc>
          <w:tcPr>
            <w:tcW w:w="0" w:type="auto"/>
            <w:tcBorders>
              <w:top w:val="nil"/>
              <w:left w:val="nil"/>
              <w:bottom w:val="nil"/>
              <w:right w:val="nil"/>
            </w:tcBorders>
            <w:shd w:val="clear" w:color="auto" w:fill="auto"/>
            <w:noWrap/>
            <w:vAlign w:val="bottom"/>
          </w:tcPr>
          <w:p w14:paraId="3110756E" w14:textId="77777777" w:rsidR="00584CAD" w:rsidRPr="00205C60" w:rsidRDefault="00584CAD" w:rsidP="00584CAD">
            <w:pPr>
              <w:rPr>
                <w:rFonts w:ascii="Verdana" w:hAnsi="Verdana"/>
                <w:color w:val="000000"/>
                <w:sz w:val="22"/>
                <w:szCs w:val="22"/>
                <w:lang w:val="en-US"/>
              </w:rPr>
            </w:pPr>
          </w:p>
        </w:tc>
        <w:tc>
          <w:tcPr>
            <w:tcW w:w="0" w:type="auto"/>
            <w:tcBorders>
              <w:top w:val="nil"/>
              <w:left w:val="nil"/>
              <w:bottom w:val="nil"/>
              <w:right w:val="nil"/>
            </w:tcBorders>
            <w:shd w:val="clear" w:color="auto" w:fill="auto"/>
            <w:noWrap/>
          </w:tcPr>
          <w:p w14:paraId="5F75C33F" w14:textId="35993FF7" w:rsidR="00584CAD" w:rsidRPr="00205C60" w:rsidRDefault="00584CAD" w:rsidP="00584CAD">
            <w:pPr>
              <w:jc w:val="right"/>
              <w:rPr>
                <w:rFonts w:ascii="Verdana" w:hAnsi="Verdana"/>
                <w:color w:val="000000"/>
                <w:sz w:val="22"/>
                <w:szCs w:val="22"/>
                <w:lang w:val="en-US"/>
              </w:rPr>
            </w:pPr>
            <w:r w:rsidRPr="00205C60">
              <w:rPr>
                <w:rFonts w:ascii="Verdana" w:hAnsi="Verdana"/>
                <w:color w:val="000000"/>
                <w:sz w:val="22"/>
                <w:szCs w:val="22"/>
                <w:lang w:val="en-US"/>
              </w:rPr>
              <w:t xml:space="preserve"> </w:t>
            </w:r>
            <w:r w:rsidR="005572A5" w:rsidRPr="00205C60">
              <w:rPr>
                <w:rFonts w:ascii="Verdana" w:hAnsi="Verdana"/>
                <w:color w:val="000000"/>
                <w:sz w:val="22"/>
                <w:szCs w:val="22"/>
                <w:lang w:val="en-US"/>
              </w:rPr>
              <w:t>1</w:t>
            </w:r>
            <w:r w:rsidRPr="00205C60">
              <w:rPr>
                <w:rFonts w:ascii="Verdana" w:hAnsi="Verdana"/>
                <w:color w:val="000000"/>
                <w:sz w:val="22"/>
                <w:szCs w:val="22"/>
                <w:lang w:val="en-US"/>
              </w:rPr>
              <w:t>.</w:t>
            </w:r>
            <w:r w:rsidR="005572A5" w:rsidRPr="00205C60">
              <w:rPr>
                <w:rFonts w:ascii="Verdana" w:hAnsi="Verdana"/>
                <w:color w:val="000000"/>
                <w:sz w:val="22"/>
                <w:szCs w:val="22"/>
                <w:lang w:val="en-US"/>
              </w:rPr>
              <w:t>895</w:t>
            </w:r>
            <w:r w:rsidRPr="00205C60">
              <w:rPr>
                <w:rFonts w:ascii="Verdana" w:hAnsi="Verdana"/>
                <w:color w:val="000000"/>
                <w:sz w:val="22"/>
                <w:szCs w:val="22"/>
                <w:lang w:val="en-US"/>
              </w:rPr>
              <w:t>.</w:t>
            </w:r>
            <w:r w:rsidR="005572A5" w:rsidRPr="00205C60">
              <w:rPr>
                <w:rFonts w:ascii="Verdana" w:hAnsi="Verdana"/>
                <w:color w:val="000000"/>
                <w:sz w:val="22"/>
                <w:szCs w:val="22"/>
                <w:lang w:val="en-US"/>
              </w:rPr>
              <w:t>466</w:t>
            </w:r>
            <w:r w:rsidRPr="00205C60">
              <w:rPr>
                <w:rFonts w:ascii="Verdana" w:hAnsi="Verdana"/>
                <w:color w:val="000000"/>
                <w:sz w:val="22"/>
                <w:szCs w:val="22"/>
                <w:lang w:val="en-US"/>
              </w:rPr>
              <w:t xml:space="preserve"> </w:t>
            </w:r>
          </w:p>
        </w:tc>
        <w:tc>
          <w:tcPr>
            <w:tcW w:w="0" w:type="auto"/>
            <w:tcBorders>
              <w:top w:val="nil"/>
              <w:left w:val="nil"/>
              <w:bottom w:val="nil"/>
              <w:right w:val="nil"/>
            </w:tcBorders>
            <w:shd w:val="clear" w:color="auto" w:fill="auto"/>
            <w:noWrap/>
            <w:vAlign w:val="center"/>
          </w:tcPr>
          <w:p w14:paraId="43D020E7" w14:textId="77777777" w:rsidR="00584CAD" w:rsidRPr="00205C60" w:rsidRDefault="00584CAD" w:rsidP="00584CAD">
            <w:pPr>
              <w:jc w:val="right"/>
              <w:rPr>
                <w:rFonts w:ascii="Verdana" w:hAnsi="Verdana"/>
                <w:color w:val="000000"/>
                <w:sz w:val="22"/>
                <w:szCs w:val="22"/>
                <w:lang w:val="en-US"/>
              </w:rPr>
            </w:pPr>
          </w:p>
        </w:tc>
        <w:tc>
          <w:tcPr>
            <w:tcW w:w="0" w:type="auto"/>
            <w:tcBorders>
              <w:top w:val="nil"/>
              <w:left w:val="nil"/>
              <w:bottom w:val="nil"/>
              <w:right w:val="nil"/>
            </w:tcBorders>
            <w:shd w:val="clear" w:color="auto" w:fill="auto"/>
            <w:noWrap/>
            <w:vAlign w:val="bottom"/>
          </w:tcPr>
          <w:p w14:paraId="228B0FAB" w14:textId="2527A5DF" w:rsidR="00584CAD" w:rsidRPr="00205C60" w:rsidRDefault="00584CAD" w:rsidP="00584CAD">
            <w:pPr>
              <w:jc w:val="right"/>
              <w:rPr>
                <w:rFonts w:ascii="Verdana" w:hAnsi="Verdana"/>
                <w:color w:val="000000"/>
                <w:sz w:val="22"/>
                <w:szCs w:val="22"/>
                <w:lang w:val="es-CR"/>
              </w:rPr>
            </w:pPr>
            <w:r w:rsidRPr="00205C60">
              <w:rPr>
                <w:rFonts w:ascii="Verdana" w:hAnsi="Verdana"/>
                <w:color w:val="000000"/>
                <w:sz w:val="22"/>
                <w:szCs w:val="22"/>
                <w:lang w:val="es-CR"/>
              </w:rPr>
              <w:t>(</w:t>
            </w:r>
            <w:r w:rsidR="00F775BD" w:rsidRPr="00205C60">
              <w:rPr>
                <w:rFonts w:ascii="Verdana" w:hAnsi="Verdana"/>
                <w:color w:val="000000"/>
                <w:sz w:val="22"/>
                <w:szCs w:val="22"/>
                <w:lang w:val="es-CR"/>
              </w:rPr>
              <w:t>415</w:t>
            </w:r>
            <w:r w:rsidRPr="00205C60">
              <w:rPr>
                <w:rFonts w:ascii="Verdana" w:hAnsi="Verdana"/>
                <w:color w:val="000000"/>
                <w:sz w:val="22"/>
                <w:szCs w:val="22"/>
                <w:lang w:val="es-CR"/>
              </w:rPr>
              <w:t>.</w:t>
            </w:r>
            <w:r w:rsidR="00F775BD" w:rsidRPr="00205C60">
              <w:rPr>
                <w:rFonts w:ascii="Verdana" w:hAnsi="Verdana"/>
                <w:color w:val="000000"/>
                <w:sz w:val="22"/>
                <w:szCs w:val="22"/>
                <w:lang w:val="es-CR"/>
              </w:rPr>
              <w:t>413</w:t>
            </w:r>
            <w:r w:rsidRPr="00205C60">
              <w:rPr>
                <w:rFonts w:ascii="Verdana" w:hAnsi="Verdana"/>
                <w:color w:val="000000"/>
                <w:sz w:val="22"/>
                <w:szCs w:val="22"/>
                <w:lang w:val="es-CR"/>
              </w:rPr>
              <w:t>)</w:t>
            </w:r>
          </w:p>
        </w:tc>
        <w:tc>
          <w:tcPr>
            <w:tcW w:w="0" w:type="auto"/>
            <w:tcBorders>
              <w:top w:val="nil"/>
              <w:left w:val="nil"/>
              <w:bottom w:val="nil"/>
              <w:right w:val="nil"/>
            </w:tcBorders>
            <w:shd w:val="clear" w:color="auto" w:fill="auto"/>
            <w:noWrap/>
            <w:vAlign w:val="bottom"/>
          </w:tcPr>
          <w:p w14:paraId="4BE4CD1D" w14:textId="77777777" w:rsidR="00584CAD" w:rsidRPr="00205C60" w:rsidRDefault="00584CAD" w:rsidP="00584CAD">
            <w:pPr>
              <w:jc w:val="right"/>
              <w:rPr>
                <w:rFonts w:ascii="Verdana" w:hAnsi="Verdana"/>
                <w:color w:val="000000"/>
                <w:sz w:val="22"/>
                <w:szCs w:val="22"/>
                <w:lang w:val="en-US"/>
              </w:rPr>
            </w:pPr>
          </w:p>
        </w:tc>
        <w:tc>
          <w:tcPr>
            <w:tcW w:w="1194" w:type="dxa"/>
            <w:tcBorders>
              <w:top w:val="nil"/>
              <w:left w:val="nil"/>
              <w:bottom w:val="nil"/>
              <w:right w:val="nil"/>
            </w:tcBorders>
            <w:shd w:val="clear" w:color="auto" w:fill="auto"/>
            <w:noWrap/>
            <w:vAlign w:val="center"/>
          </w:tcPr>
          <w:p w14:paraId="239DC201" w14:textId="77777777" w:rsidR="00584CAD" w:rsidRPr="00205C60" w:rsidRDefault="00584CAD" w:rsidP="00584CAD">
            <w:pPr>
              <w:jc w:val="center"/>
              <w:rPr>
                <w:rFonts w:ascii="Verdana" w:hAnsi="Verdana"/>
                <w:color w:val="000000"/>
                <w:sz w:val="22"/>
                <w:szCs w:val="22"/>
                <w:lang w:val="en-US"/>
              </w:rPr>
            </w:pPr>
            <w:r w:rsidRPr="00205C60">
              <w:rPr>
                <w:rFonts w:ascii="Verdana" w:hAnsi="Verdana"/>
                <w:color w:val="000000"/>
                <w:sz w:val="22"/>
                <w:szCs w:val="22"/>
                <w:lang w:val="en-US"/>
              </w:rPr>
              <w:t>Si</w:t>
            </w:r>
          </w:p>
        </w:tc>
      </w:tr>
      <w:tr w:rsidR="001760CF" w:rsidRPr="00205C60" w14:paraId="2602DC65" w14:textId="77777777" w:rsidTr="001760CF">
        <w:trPr>
          <w:trHeight w:val="10"/>
        </w:trPr>
        <w:tc>
          <w:tcPr>
            <w:tcW w:w="0" w:type="auto"/>
            <w:tcBorders>
              <w:top w:val="nil"/>
              <w:left w:val="nil"/>
              <w:bottom w:val="nil"/>
              <w:right w:val="nil"/>
            </w:tcBorders>
            <w:shd w:val="clear" w:color="auto" w:fill="auto"/>
            <w:noWrap/>
            <w:vAlign w:val="center"/>
            <w:hideMark/>
          </w:tcPr>
          <w:p w14:paraId="07D6E63C" w14:textId="77777777" w:rsidR="00584CAD" w:rsidRPr="00205C60" w:rsidRDefault="00584CAD" w:rsidP="00584CAD">
            <w:pPr>
              <w:jc w:val="center"/>
              <w:rPr>
                <w:rFonts w:ascii="Verdana" w:hAnsi="Verdana"/>
                <w:color w:val="000000"/>
                <w:sz w:val="22"/>
                <w:szCs w:val="22"/>
              </w:rPr>
            </w:pPr>
            <w:r w:rsidRPr="00205C60">
              <w:rPr>
                <w:rFonts w:ascii="Verdana" w:hAnsi="Verdana"/>
                <w:color w:val="000000"/>
                <w:sz w:val="22"/>
                <w:szCs w:val="22"/>
              </w:rPr>
              <w:t>Cartera vigente a la fecha de corte</w:t>
            </w:r>
          </w:p>
        </w:tc>
        <w:tc>
          <w:tcPr>
            <w:tcW w:w="0" w:type="auto"/>
            <w:tcBorders>
              <w:top w:val="nil"/>
              <w:left w:val="nil"/>
              <w:bottom w:val="nil"/>
              <w:right w:val="nil"/>
            </w:tcBorders>
            <w:shd w:val="clear" w:color="auto" w:fill="auto"/>
            <w:noWrap/>
            <w:vAlign w:val="bottom"/>
          </w:tcPr>
          <w:p w14:paraId="5A4B31C9" w14:textId="77777777" w:rsidR="00584CAD" w:rsidRPr="00205C60" w:rsidRDefault="00584CAD" w:rsidP="00584CAD">
            <w:pPr>
              <w:rPr>
                <w:rFonts w:ascii="Verdana" w:hAnsi="Verdana"/>
                <w:sz w:val="22"/>
                <w:szCs w:val="22"/>
              </w:rPr>
            </w:pPr>
          </w:p>
        </w:tc>
        <w:tc>
          <w:tcPr>
            <w:tcW w:w="1232" w:type="dxa"/>
            <w:tcBorders>
              <w:top w:val="nil"/>
              <w:left w:val="nil"/>
              <w:bottom w:val="nil"/>
              <w:right w:val="nil"/>
            </w:tcBorders>
            <w:shd w:val="clear" w:color="auto" w:fill="auto"/>
            <w:noWrap/>
            <w:vAlign w:val="center"/>
          </w:tcPr>
          <w:p w14:paraId="11C1C962" w14:textId="77777777" w:rsidR="00584CAD" w:rsidRPr="00205C60" w:rsidRDefault="00584CAD" w:rsidP="00584CAD">
            <w:pPr>
              <w:rPr>
                <w:rFonts w:ascii="Verdana" w:hAnsi="Verdana"/>
                <w:sz w:val="22"/>
                <w:szCs w:val="22"/>
              </w:rPr>
            </w:pPr>
          </w:p>
        </w:tc>
        <w:tc>
          <w:tcPr>
            <w:tcW w:w="0" w:type="auto"/>
            <w:tcBorders>
              <w:top w:val="nil"/>
              <w:left w:val="nil"/>
              <w:bottom w:val="nil"/>
              <w:right w:val="nil"/>
            </w:tcBorders>
            <w:shd w:val="clear" w:color="auto" w:fill="auto"/>
            <w:noWrap/>
            <w:vAlign w:val="center"/>
          </w:tcPr>
          <w:p w14:paraId="52577484" w14:textId="77777777" w:rsidR="00584CAD" w:rsidRPr="00205C60" w:rsidRDefault="00584CAD" w:rsidP="00584CAD">
            <w:pPr>
              <w:jc w:val="center"/>
              <w:rPr>
                <w:rFonts w:ascii="Verdana" w:hAnsi="Verdana"/>
                <w:color w:val="000000"/>
                <w:sz w:val="22"/>
                <w:szCs w:val="22"/>
              </w:rPr>
            </w:pPr>
          </w:p>
        </w:tc>
        <w:tc>
          <w:tcPr>
            <w:tcW w:w="0" w:type="auto"/>
            <w:tcBorders>
              <w:top w:val="single" w:sz="4" w:space="0" w:color="auto"/>
              <w:left w:val="nil"/>
              <w:bottom w:val="double" w:sz="6" w:space="0" w:color="auto"/>
              <w:right w:val="nil"/>
            </w:tcBorders>
            <w:shd w:val="clear" w:color="auto" w:fill="auto"/>
            <w:noWrap/>
          </w:tcPr>
          <w:p w14:paraId="001DC379" w14:textId="7398673D" w:rsidR="00584CAD" w:rsidRPr="00205C60" w:rsidRDefault="00584CAD" w:rsidP="00584CAD">
            <w:pPr>
              <w:jc w:val="right"/>
              <w:rPr>
                <w:rFonts w:ascii="Verdana" w:hAnsi="Verdana"/>
                <w:color w:val="000000"/>
                <w:sz w:val="22"/>
                <w:szCs w:val="22"/>
                <w:lang w:val="en-US"/>
              </w:rPr>
            </w:pPr>
            <w:r w:rsidRPr="00205C60">
              <w:rPr>
                <w:rFonts w:ascii="Verdana" w:hAnsi="Verdana"/>
                <w:color w:val="000000"/>
                <w:sz w:val="22"/>
                <w:szCs w:val="22"/>
                <w:lang w:val="es-US"/>
              </w:rPr>
              <w:t xml:space="preserve"> </w:t>
            </w:r>
            <w:r w:rsidRPr="00205C60">
              <w:rPr>
                <w:rFonts w:ascii="Verdana" w:hAnsi="Verdana"/>
                <w:color w:val="000000"/>
                <w:sz w:val="22"/>
                <w:szCs w:val="22"/>
                <w:lang w:val="en-US"/>
              </w:rPr>
              <w:t>2</w:t>
            </w:r>
            <w:r w:rsidR="00772B1C" w:rsidRPr="00205C60">
              <w:rPr>
                <w:rFonts w:ascii="Verdana" w:hAnsi="Verdana"/>
                <w:color w:val="000000"/>
                <w:sz w:val="22"/>
                <w:szCs w:val="22"/>
                <w:lang w:val="en-US"/>
              </w:rPr>
              <w:t>2</w:t>
            </w:r>
            <w:r w:rsidRPr="00205C60">
              <w:rPr>
                <w:rFonts w:ascii="Verdana" w:hAnsi="Verdana"/>
                <w:color w:val="000000"/>
                <w:sz w:val="22"/>
                <w:szCs w:val="22"/>
                <w:lang w:val="en-US"/>
              </w:rPr>
              <w:t>.</w:t>
            </w:r>
            <w:r w:rsidR="00772B1C" w:rsidRPr="00205C60">
              <w:rPr>
                <w:rFonts w:ascii="Verdana" w:hAnsi="Verdana"/>
                <w:color w:val="000000"/>
                <w:sz w:val="22"/>
                <w:szCs w:val="22"/>
                <w:lang w:val="en-US"/>
              </w:rPr>
              <w:t>244</w:t>
            </w:r>
            <w:r w:rsidRPr="00205C60">
              <w:rPr>
                <w:rFonts w:ascii="Verdana" w:hAnsi="Verdana"/>
                <w:color w:val="000000"/>
                <w:sz w:val="22"/>
                <w:szCs w:val="22"/>
                <w:lang w:val="en-US"/>
              </w:rPr>
              <w:t>.</w:t>
            </w:r>
            <w:r w:rsidR="00772B1C" w:rsidRPr="00205C60">
              <w:rPr>
                <w:rFonts w:ascii="Verdana" w:hAnsi="Verdana"/>
                <w:color w:val="000000"/>
                <w:sz w:val="22"/>
                <w:szCs w:val="22"/>
                <w:lang w:val="en-US"/>
              </w:rPr>
              <w:t>090</w:t>
            </w:r>
            <w:r w:rsidRPr="00205C60">
              <w:rPr>
                <w:rFonts w:ascii="Verdana" w:hAnsi="Verdana"/>
                <w:color w:val="000000"/>
                <w:sz w:val="22"/>
                <w:szCs w:val="22"/>
                <w:lang w:val="en-US"/>
              </w:rPr>
              <w:t xml:space="preserve"> </w:t>
            </w:r>
          </w:p>
        </w:tc>
        <w:tc>
          <w:tcPr>
            <w:tcW w:w="0" w:type="auto"/>
            <w:tcBorders>
              <w:top w:val="nil"/>
              <w:left w:val="nil"/>
              <w:bottom w:val="nil"/>
              <w:right w:val="nil"/>
            </w:tcBorders>
            <w:shd w:val="clear" w:color="auto" w:fill="auto"/>
            <w:noWrap/>
            <w:vAlign w:val="center"/>
          </w:tcPr>
          <w:p w14:paraId="10E0B26E" w14:textId="77777777" w:rsidR="00584CAD" w:rsidRPr="00205C60" w:rsidRDefault="00584CAD" w:rsidP="00584CAD">
            <w:pPr>
              <w:jc w:val="right"/>
              <w:rPr>
                <w:rFonts w:ascii="Verdana" w:hAnsi="Verdana"/>
                <w:color w:val="000000"/>
                <w:sz w:val="22"/>
                <w:szCs w:val="22"/>
                <w:lang w:val="en-US"/>
              </w:rPr>
            </w:pPr>
          </w:p>
        </w:tc>
        <w:tc>
          <w:tcPr>
            <w:tcW w:w="0" w:type="auto"/>
            <w:tcBorders>
              <w:top w:val="single" w:sz="4" w:space="0" w:color="auto"/>
              <w:left w:val="nil"/>
              <w:bottom w:val="double" w:sz="6" w:space="0" w:color="auto"/>
              <w:right w:val="nil"/>
            </w:tcBorders>
            <w:shd w:val="clear" w:color="auto" w:fill="auto"/>
            <w:noWrap/>
            <w:vAlign w:val="bottom"/>
          </w:tcPr>
          <w:p w14:paraId="1729E5A7" w14:textId="527376F7" w:rsidR="00584CAD" w:rsidRPr="00205C60" w:rsidRDefault="00584CAD" w:rsidP="00584CAD">
            <w:pPr>
              <w:jc w:val="right"/>
              <w:rPr>
                <w:rFonts w:ascii="Verdana" w:hAnsi="Verdana"/>
                <w:color w:val="000000"/>
                <w:sz w:val="22"/>
                <w:szCs w:val="22"/>
                <w:lang w:val="es-CR"/>
              </w:rPr>
            </w:pPr>
            <w:r w:rsidRPr="00205C60">
              <w:rPr>
                <w:rFonts w:ascii="Verdana" w:hAnsi="Verdana"/>
                <w:color w:val="000000"/>
                <w:sz w:val="22"/>
                <w:szCs w:val="22"/>
                <w:lang w:val="es-CR"/>
              </w:rPr>
              <w:t>(1.</w:t>
            </w:r>
            <w:r w:rsidR="00F775BD" w:rsidRPr="00205C60">
              <w:rPr>
                <w:rFonts w:ascii="Verdana" w:hAnsi="Verdana"/>
                <w:color w:val="000000"/>
                <w:sz w:val="22"/>
                <w:szCs w:val="22"/>
                <w:lang w:val="es-CR"/>
              </w:rPr>
              <w:t>374</w:t>
            </w:r>
            <w:r w:rsidRPr="00205C60">
              <w:rPr>
                <w:rFonts w:ascii="Verdana" w:hAnsi="Verdana"/>
                <w:color w:val="000000"/>
                <w:sz w:val="22"/>
                <w:szCs w:val="22"/>
                <w:lang w:val="es-CR"/>
              </w:rPr>
              <w:t>.</w:t>
            </w:r>
            <w:r w:rsidR="001760CF" w:rsidRPr="00205C60">
              <w:rPr>
                <w:rFonts w:ascii="Verdana" w:hAnsi="Verdana"/>
                <w:color w:val="000000"/>
                <w:sz w:val="22"/>
                <w:szCs w:val="22"/>
                <w:lang w:val="es-CR"/>
              </w:rPr>
              <w:t>930</w:t>
            </w:r>
            <w:r w:rsidRPr="00205C60">
              <w:rPr>
                <w:rFonts w:ascii="Verdana" w:hAnsi="Verdana"/>
                <w:color w:val="000000"/>
                <w:sz w:val="22"/>
                <w:szCs w:val="22"/>
                <w:lang w:val="es-CR"/>
              </w:rPr>
              <w:t>)</w:t>
            </w:r>
          </w:p>
        </w:tc>
        <w:tc>
          <w:tcPr>
            <w:tcW w:w="0" w:type="auto"/>
            <w:tcBorders>
              <w:top w:val="nil"/>
              <w:left w:val="nil"/>
              <w:bottom w:val="nil"/>
              <w:right w:val="nil"/>
            </w:tcBorders>
            <w:shd w:val="clear" w:color="auto" w:fill="auto"/>
            <w:noWrap/>
            <w:vAlign w:val="bottom"/>
          </w:tcPr>
          <w:p w14:paraId="3D5C08A6" w14:textId="77777777" w:rsidR="00584CAD" w:rsidRPr="00205C60" w:rsidRDefault="00584CAD" w:rsidP="00584CAD">
            <w:pPr>
              <w:jc w:val="right"/>
              <w:rPr>
                <w:rFonts w:ascii="Verdana" w:hAnsi="Verdana"/>
                <w:color w:val="000000"/>
                <w:sz w:val="22"/>
                <w:szCs w:val="22"/>
                <w:lang w:val="en-US"/>
              </w:rPr>
            </w:pPr>
          </w:p>
        </w:tc>
        <w:tc>
          <w:tcPr>
            <w:tcW w:w="1194" w:type="dxa"/>
            <w:tcBorders>
              <w:top w:val="nil"/>
              <w:left w:val="nil"/>
              <w:bottom w:val="nil"/>
              <w:right w:val="nil"/>
            </w:tcBorders>
            <w:shd w:val="clear" w:color="auto" w:fill="auto"/>
            <w:noWrap/>
            <w:vAlign w:val="bottom"/>
          </w:tcPr>
          <w:p w14:paraId="0EC49132" w14:textId="77777777" w:rsidR="00584CAD" w:rsidRPr="00205C60" w:rsidRDefault="00584CAD" w:rsidP="00584CAD">
            <w:pPr>
              <w:rPr>
                <w:rFonts w:ascii="Verdana" w:hAnsi="Verdana"/>
                <w:sz w:val="22"/>
                <w:szCs w:val="22"/>
                <w:lang w:val="en-US"/>
              </w:rPr>
            </w:pPr>
          </w:p>
        </w:tc>
      </w:tr>
    </w:tbl>
    <w:p w14:paraId="2624C509" w14:textId="77777777" w:rsidR="000E71CC" w:rsidRPr="00205C60" w:rsidRDefault="000E71CC" w:rsidP="00531011">
      <w:pPr>
        <w:jc w:val="both"/>
        <w:rPr>
          <w:rFonts w:ascii="Verdana" w:hAnsi="Verdana" w:cs="Arial"/>
          <w:color w:val="C00000"/>
          <w:sz w:val="22"/>
          <w:szCs w:val="22"/>
        </w:rPr>
      </w:pPr>
    </w:p>
    <w:p w14:paraId="3CA7EB4E" w14:textId="77777777" w:rsidR="00C20030" w:rsidRPr="00205C60" w:rsidRDefault="00C20030" w:rsidP="00882F32">
      <w:pPr>
        <w:pStyle w:val="Prrafodelista"/>
        <w:numPr>
          <w:ilvl w:val="0"/>
          <w:numId w:val="27"/>
        </w:numPr>
        <w:rPr>
          <w:rFonts w:ascii="Verdana" w:hAnsi="Verdana" w:cs="Arial"/>
          <w:b/>
          <w:sz w:val="22"/>
          <w:szCs w:val="22"/>
        </w:rPr>
      </w:pPr>
      <w:r w:rsidRPr="00205C60">
        <w:rPr>
          <w:rFonts w:ascii="Verdana" w:hAnsi="Verdana" w:cs="Arial"/>
          <w:b/>
          <w:sz w:val="22"/>
          <w:szCs w:val="22"/>
        </w:rPr>
        <w:t>Exposición al riesgo de tipo de cambio</w:t>
      </w:r>
      <w:r w:rsidR="00DB0882" w:rsidRPr="00205C60">
        <w:rPr>
          <w:rFonts w:ascii="Verdana" w:hAnsi="Verdana" w:cs="Arial"/>
          <w:b/>
          <w:sz w:val="22"/>
          <w:szCs w:val="22"/>
        </w:rPr>
        <w:t xml:space="preserve">   </w:t>
      </w:r>
    </w:p>
    <w:p w14:paraId="3CA7EB4F" w14:textId="77777777" w:rsidR="00C20030" w:rsidRPr="00205C60" w:rsidRDefault="00C20030" w:rsidP="00C20030">
      <w:pPr>
        <w:rPr>
          <w:rFonts w:ascii="Verdana" w:hAnsi="Verdana" w:cs="Arial"/>
          <w:b/>
          <w:sz w:val="22"/>
          <w:szCs w:val="22"/>
        </w:rPr>
      </w:pPr>
    </w:p>
    <w:p w14:paraId="3CA7EB50" w14:textId="77777777" w:rsidR="006B3E99" w:rsidRPr="00205C60" w:rsidRDefault="006B3E99" w:rsidP="006B3E99">
      <w:pPr>
        <w:tabs>
          <w:tab w:val="left" w:pos="1440"/>
          <w:tab w:val="left" w:pos="1800"/>
          <w:tab w:val="right" w:pos="6660"/>
          <w:tab w:val="right" w:pos="8460"/>
        </w:tabs>
        <w:autoSpaceDE w:val="0"/>
        <w:autoSpaceDN w:val="0"/>
        <w:adjustRightInd w:val="0"/>
        <w:ind w:left="1530" w:hanging="810"/>
        <w:rPr>
          <w:rFonts w:ascii="Verdana" w:hAnsi="Verdana" w:cs="Arial"/>
          <w:b/>
          <w:sz w:val="22"/>
          <w:szCs w:val="22"/>
          <w:lang w:val="es-CR"/>
        </w:rPr>
      </w:pPr>
      <w:r w:rsidRPr="00205C60">
        <w:rPr>
          <w:rFonts w:ascii="Verdana" w:hAnsi="Verdana" w:cs="Arial"/>
          <w:b/>
          <w:sz w:val="22"/>
          <w:szCs w:val="22"/>
          <w:u w:val="single"/>
          <w:lang w:val="es-CR"/>
        </w:rPr>
        <w:t>Riesgo de moneda</w:t>
      </w:r>
    </w:p>
    <w:p w14:paraId="3CA7EB51" w14:textId="77777777" w:rsidR="006B3E99" w:rsidRPr="00205C60" w:rsidRDefault="006B3E99" w:rsidP="006B3E99">
      <w:pPr>
        <w:tabs>
          <w:tab w:val="left" w:pos="1440"/>
          <w:tab w:val="left" w:pos="1800"/>
          <w:tab w:val="right" w:pos="6660"/>
          <w:tab w:val="right" w:pos="8460"/>
        </w:tabs>
        <w:autoSpaceDE w:val="0"/>
        <w:autoSpaceDN w:val="0"/>
        <w:adjustRightInd w:val="0"/>
        <w:rPr>
          <w:rFonts w:ascii="Verdana" w:hAnsi="Verdana"/>
          <w:sz w:val="22"/>
          <w:szCs w:val="22"/>
          <w:lang w:val="es-CR"/>
        </w:rPr>
      </w:pPr>
    </w:p>
    <w:p w14:paraId="3CA7EB52" w14:textId="5BBACD0D" w:rsidR="0098425F" w:rsidRPr="00205C60" w:rsidRDefault="0098425F" w:rsidP="0098425F">
      <w:pPr>
        <w:widowControl w:val="0"/>
        <w:tabs>
          <w:tab w:val="right" w:pos="8760"/>
        </w:tabs>
        <w:jc w:val="both"/>
        <w:rPr>
          <w:rFonts w:ascii="Verdana" w:hAnsi="Verdana" w:cs="Arial"/>
          <w:sz w:val="22"/>
          <w:szCs w:val="22"/>
          <w:lang w:val="es-CR"/>
        </w:rPr>
      </w:pPr>
      <w:r w:rsidRPr="00205C60">
        <w:rPr>
          <w:rFonts w:ascii="Verdana" w:hAnsi="Verdana" w:cs="Arial"/>
          <w:sz w:val="22"/>
          <w:szCs w:val="22"/>
          <w:lang w:val="es-CR"/>
        </w:rPr>
        <w:t xml:space="preserve">El riesgo de moneda es el riesgo de que el valor razonable </w:t>
      </w:r>
      <w:r w:rsidR="003F6A27" w:rsidRPr="00205C60">
        <w:rPr>
          <w:rFonts w:ascii="Verdana" w:hAnsi="Verdana" w:cs="Arial"/>
          <w:sz w:val="22"/>
          <w:szCs w:val="22"/>
          <w:lang w:val="es-CR"/>
        </w:rPr>
        <w:t>o</w:t>
      </w:r>
      <w:r w:rsidRPr="00205C60">
        <w:rPr>
          <w:rFonts w:ascii="Verdana" w:hAnsi="Verdana" w:cs="Arial"/>
          <w:sz w:val="22"/>
          <w:szCs w:val="22"/>
          <w:lang w:val="es-CR"/>
        </w:rPr>
        <w:t xml:space="preserve"> los flujos de efectivo futuros de un instrumento financiero, puedan fluctuar como consecuencia de variaciones en las tasas de cambio de una moneda extranjera. </w:t>
      </w:r>
    </w:p>
    <w:p w14:paraId="28596303" w14:textId="0838242A" w:rsidR="00AA4A23" w:rsidRPr="00205C60" w:rsidRDefault="00AA4A23" w:rsidP="0098425F">
      <w:pPr>
        <w:widowControl w:val="0"/>
        <w:tabs>
          <w:tab w:val="right" w:pos="8760"/>
        </w:tabs>
        <w:jc w:val="both"/>
        <w:rPr>
          <w:rFonts w:ascii="Verdana" w:hAnsi="Verdana" w:cs="Arial"/>
          <w:sz w:val="22"/>
          <w:szCs w:val="22"/>
          <w:lang w:val="es-CR"/>
        </w:rPr>
      </w:pPr>
    </w:p>
    <w:p w14:paraId="231DA95A" w14:textId="417DF5C0" w:rsidR="00AA4A23" w:rsidRPr="00205C60" w:rsidRDefault="00AA4A23" w:rsidP="00AA4A23">
      <w:pPr>
        <w:autoSpaceDE w:val="0"/>
        <w:autoSpaceDN w:val="0"/>
        <w:adjustRightInd w:val="0"/>
        <w:jc w:val="both"/>
        <w:rPr>
          <w:rFonts w:ascii="Verdana" w:hAnsi="Verdana" w:cs="Arial"/>
          <w:sz w:val="22"/>
          <w:szCs w:val="22"/>
          <w:lang w:val="es-CR"/>
        </w:rPr>
      </w:pPr>
      <w:r w:rsidRPr="00205C60">
        <w:rPr>
          <w:rFonts w:ascii="Verdana" w:hAnsi="Verdana" w:cs="Arial"/>
          <w:sz w:val="22"/>
          <w:szCs w:val="22"/>
          <w:lang w:val="es-CR"/>
        </w:rPr>
        <w:t xml:space="preserve">La Compañía en monedas extranjeras está expuesta al riesgo por tipo de cambio por mantener activos y pasivos denominados en US dólares y por lo tanto, su evaluación periódica depende del tipo de cambio del US dólar vigente en el mercado financiero. La Compañía no tiene una política de cobertura para este tipo de riesgo, por lo que vela por mantener una exposición neta </w:t>
      </w:r>
      <w:r w:rsidR="00E97690" w:rsidRPr="00205C60">
        <w:rPr>
          <w:rFonts w:ascii="Verdana" w:hAnsi="Verdana" w:cs="Arial"/>
          <w:sz w:val="22"/>
          <w:szCs w:val="22"/>
          <w:lang w:val="es-CR"/>
        </w:rPr>
        <w:t>a</w:t>
      </w:r>
      <w:r w:rsidR="008750C3" w:rsidRPr="00205C60">
        <w:rPr>
          <w:rFonts w:ascii="Verdana" w:hAnsi="Verdana" w:cs="Arial"/>
          <w:sz w:val="22"/>
          <w:szCs w:val="22"/>
          <w:lang w:val="es-CR"/>
        </w:rPr>
        <w:t>ceptable</w:t>
      </w:r>
      <w:r w:rsidRPr="00205C60">
        <w:rPr>
          <w:rFonts w:ascii="Verdana" w:hAnsi="Verdana" w:cs="Arial"/>
          <w:sz w:val="22"/>
          <w:szCs w:val="22"/>
          <w:lang w:val="es-CR"/>
        </w:rPr>
        <w:t xml:space="preserve">, acelerando la atención oportuna de sus obligaciones en moneda local y una recuperación eficiente de sus activos en moneda local para así disminuir un impacto continuo, y evitar impactar el manejo de flujo de efectivo. </w:t>
      </w:r>
    </w:p>
    <w:p w14:paraId="19CC308E" w14:textId="77777777" w:rsidR="00AA4A23" w:rsidRPr="00205C60" w:rsidRDefault="00AA4A23" w:rsidP="00AA4A23">
      <w:pPr>
        <w:autoSpaceDE w:val="0"/>
        <w:autoSpaceDN w:val="0"/>
        <w:adjustRightInd w:val="0"/>
        <w:jc w:val="both"/>
        <w:rPr>
          <w:rFonts w:ascii="Verdana" w:hAnsi="Verdana" w:cs="Arial"/>
          <w:sz w:val="22"/>
          <w:szCs w:val="22"/>
          <w:lang w:val="es-CR"/>
        </w:rPr>
      </w:pPr>
    </w:p>
    <w:p w14:paraId="11A5ECE4" w14:textId="75A32FDE" w:rsidR="001D061B" w:rsidRPr="00205C60" w:rsidRDefault="00FD37D5" w:rsidP="00A007BC">
      <w:pPr>
        <w:widowControl w:val="0"/>
        <w:tabs>
          <w:tab w:val="right" w:pos="8760"/>
        </w:tabs>
        <w:jc w:val="both"/>
        <w:rPr>
          <w:rFonts w:ascii="Verdana" w:hAnsi="Verdana" w:cs="Arial"/>
          <w:sz w:val="22"/>
          <w:szCs w:val="22"/>
          <w:lang w:val="es-CR"/>
        </w:rPr>
      </w:pPr>
      <w:r w:rsidRPr="00205C60">
        <w:rPr>
          <w:rFonts w:ascii="Verdana" w:hAnsi="Verdana" w:cs="Arial"/>
          <w:sz w:val="22"/>
          <w:szCs w:val="22"/>
          <w:lang w:val="es-CR"/>
        </w:rPr>
        <w:t xml:space="preserve">El Banco Central de Costa Rica </w:t>
      </w:r>
      <w:r w:rsidR="00A007BC" w:rsidRPr="00205C60">
        <w:rPr>
          <w:rFonts w:ascii="Verdana" w:hAnsi="Verdana" w:cs="Arial"/>
          <w:sz w:val="22"/>
          <w:szCs w:val="22"/>
          <w:lang w:val="es-CR"/>
        </w:rPr>
        <w:t>es la entidad encargada de la administración del Sistema Bancario Nacional y de regular la paridad del colón costarricense respeto al valor de otras monedas. El Banco Central de Costa Rica adoptó un sistema de bandas cambiarias, que permite que el tipo de cambio sea determinado libremente</w:t>
      </w:r>
      <w:r w:rsidR="00A023D1" w:rsidRPr="00205C60">
        <w:rPr>
          <w:rFonts w:ascii="Verdana" w:hAnsi="Verdana" w:cs="Arial"/>
          <w:sz w:val="22"/>
          <w:szCs w:val="22"/>
          <w:lang w:val="es-CR"/>
        </w:rPr>
        <w:t xml:space="preserve"> </w:t>
      </w:r>
      <w:r w:rsidR="00A007BC" w:rsidRPr="00205C60">
        <w:rPr>
          <w:rFonts w:ascii="Verdana" w:hAnsi="Verdana" w:cs="Arial"/>
          <w:sz w:val="22"/>
          <w:szCs w:val="22"/>
          <w:lang w:val="es-CR"/>
        </w:rPr>
        <w:t>por el mercado, pero el Banco Central se reserva la</w:t>
      </w:r>
      <w:r w:rsidR="00A023D1" w:rsidRPr="00205C60">
        <w:rPr>
          <w:rFonts w:ascii="Verdana" w:hAnsi="Verdana" w:cs="Arial"/>
          <w:sz w:val="22"/>
          <w:szCs w:val="22"/>
          <w:lang w:val="es-CR"/>
        </w:rPr>
        <w:t xml:space="preserve"> </w:t>
      </w:r>
      <w:r w:rsidR="00A007BC" w:rsidRPr="00205C60">
        <w:rPr>
          <w:rFonts w:ascii="Verdana" w:hAnsi="Verdana" w:cs="Arial"/>
          <w:sz w:val="22"/>
          <w:szCs w:val="22"/>
          <w:lang w:val="es-CR"/>
        </w:rPr>
        <w:t>posibilidad de realizar operaciones de intervención en el mercado de divisas para moderar fluctuaciones importantes en el tipo de cambio y prevenir desvíos de éste con respecto al que</w:t>
      </w:r>
      <w:r w:rsidR="00A023D1" w:rsidRPr="00205C60">
        <w:rPr>
          <w:rFonts w:ascii="Verdana" w:hAnsi="Verdana" w:cs="Arial"/>
          <w:sz w:val="22"/>
          <w:szCs w:val="22"/>
          <w:lang w:val="es-CR"/>
        </w:rPr>
        <w:t xml:space="preserve"> </w:t>
      </w:r>
      <w:r w:rsidR="00A007BC" w:rsidRPr="00205C60">
        <w:rPr>
          <w:rFonts w:ascii="Verdana" w:hAnsi="Verdana" w:cs="Arial"/>
          <w:sz w:val="22"/>
          <w:szCs w:val="22"/>
          <w:lang w:val="es-CR"/>
        </w:rPr>
        <w:t>será congruente con el comportamiento de las variables que explican su tendencia a mediano y largo plazo</w:t>
      </w:r>
    </w:p>
    <w:p w14:paraId="08F3D406" w14:textId="77777777" w:rsidR="00552BAD" w:rsidRPr="00205C60" w:rsidRDefault="00552BAD" w:rsidP="00CA4AA4">
      <w:pPr>
        <w:widowControl w:val="0"/>
        <w:tabs>
          <w:tab w:val="right" w:pos="8760"/>
        </w:tabs>
        <w:jc w:val="both"/>
        <w:rPr>
          <w:rFonts w:ascii="Verdana" w:hAnsi="Verdana" w:cs="Arial"/>
          <w:sz w:val="22"/>
          <w:szCs w:val="22"/>
          <w:lang w:val="es-CR"/>
        </w:rPr>
      </w:pPr>
    </w:p>
    <w:p w14:paraId="3CA7EB58" w14:textId="77777777" w:rsidR="0098425F" w:rsidRPr="00205C60" w:rsidRDefault="0098425F" w:rsidP="0098425F">
      <w:pPr>
        <w:ind w:left="1080" w:hanging="360"/>
        <w:rPr>
          <w:rFonts w:ascii="Verdana" w:hAnsi="Verdana" w:cs="Arial"/>
          <w:b/>
          <w:i/>
          <w:sz w:val="22"/>
          <w:szCs w:val="22"/>
          <w:u w:val="single"/>
          <w:lang w:val="es-CR"/>
        </w:rPr>
      </w:pPr>
      <w:r w:rsidRPr="00205C60">
        <w:rPr>
          <w:rFonts w:ascii="Verdana" w:hAnsi="Verdana" w:cs="Arial"/>
          <w:b/>
          <w:i/>
          <w:sz w:val="22"/>
          <w:szCs w:val="22"/>
          <w:u w:val="single"/>
          <w:lang w:val="es-CR"/>
        </w:rPr>
        <w:t>Exposición al riesgo de moneda</w:t>
      </w:r>
    </w:p>
    <w:p w14:paraId="3CA7EB59" w14:textId="77777777" w:rsidR="0098425F" w:rsidRPr="00205C60" w:rsidRDefault="0098425F" w:rsidP="0098425F">
      <w:pPr>
        <w:tabs>
          <w:tab w:val="left" w:pos="1440"/>
          <w:tab w:val="left" w:pos="5060"/>
        </w:tabs>
        <w:rPr>
          <w:rFonts w:ascii="Verdana" w:hAnsi="Verdana"/>
          <w:sz w:val="22"/>
          <w:szCs w:val="22"/>
          <w:lang w:val="es-CR"/>
        </w:rPr>
      </w:pPr>
    </w:p>
    <w:p w14:paraId="3CA7EB5A" w14:textId="5FF5AA15" w:rsidR="0098425F" w:rsidRDefault="0098425F" w:rsidP="0098425F">
      <w:pPr>
        <w:tabs>
          <w:tab w:val="left" w:pos="1440"/>
          <w:tab w:val="left" w:pos="5060"/>
        </w:tabs>
        <w:jc w:val="both"/>
        <w:rPr>
          <w:rFonts w:ascii="Verdana" w:hAnsi="Verdana" w:cs="Arial"/>
          <w:sz w:val="22"/>
          <w:szCs w:val="22"/>
          <w:lang w:val="es-CR"/>
        </w:rPr>
      </w:pPr>
      <w:r w:rsidRPr="00205C60">
        <w:rPr>
          <w:rFonts w:ascii="Verdana" w:hAnsi="Verdana" w:cs="Arial"/>
          <w:sz w:val="22"/>
          <w:szCs w:val="22"/>
          <w:lang w:val="es-CR"/>
        </w:rPr>
        <w:t>La exposición al riesgo de tipo de cambio basado en la moneda en que están denominados sus activos y pasivos, se detallan a continuación:</w:t>
      </w:r>
    </w:p>
    <w:p w14:paraId="31B1618F" w14:textId="77777777" w:rsidR="008F21D4" w:rsidRDefault="008F21D4" w:rsidP="0098425F">
      <w:pPr>
        <w:tabs>
          <w:tab w:val="left" w:pos="1440"/>
          <w:tab w:val="left" w:pos="5060"/>
        </w:tabs>
        <w:jc w:val="both"/>
        <w:rPr>
          <w:rFonts w:ascii="Verdana" w:hAnsi="Verdana" w:cs="Arial"/>
          <w:sz w:val="22"/>
          <w:szCs w:val="22"/>
          <w:lang w:val="es-CR"/>
        </w:rPr>
      </w:pPr>
    </w:p>
    <w:p w14:paraId="06EA0884" w14:textId="77777777" w:rsidR="008F21D4" w:rsidRDefault="008F21D4" w:rsidP="0098425F">
      <w:pPr>
        <w:tabs>
          <w:tab w:val="left" w:pos="1440"/>
          <w:tab w:val="left" w:pos="5060"/>
        </w:tabs>
        <w:jc w:val="both"/>
        <w:rPr>
          <w:rFonts w:ascii="Verdana" w:hAnsi="Verdana" w:cs="Arial"/>
          <w:sz w:val="22"/>
          <w:szCs w:val="22"/>
          <w:lang w:val="es-CR"/>
        </w:rPr>
      </w:pPr>
    </w:p>
    <w:p w14:paraId="7370002D" w14:textId="77777777" w:rsidR="008F21D4" w:rsidRPr="00205C60" w:rsidRDefault="008F21D4" w:rsidP="0098425F">
      <w:pPr>
        <w:tabs>
          <w:tab w:val="left" w:pos="1440"/>
          <w:tab w:val="left" w:pos="5060"/>
        </w:tabs>
        <w:jc w:val="both"/>
        <w:rPr>
          <w:rFonts w:ascii="Verdana" w:hAnsi="Verdana" w:cs="Arial"/>
          <w:sz w:val="22"/>
          <w:szCs w:val="22"/>
          <w:lang w:val="es-CR"/>
        </w:rPr>
      </w:pPr>
    </w:p>
    <w:p w14:paraId="66B33E5F" w14:textId="77777777" w:rsidR="00B825C2" w:rsidRPr="00205C60" w:rsidRDefault="00B825C2" w:rsidP="0098425F">
      <w:pPr>
        <w:tabs>
          <w:tab w:val="left" w:pos="1440"/>
          <w:tab w:val="left" w:pos="5060"/>
        </w:tabs>
        <w:jc w:val="both"/>
        <w:rPr>
          <w:rFonts w:ascii="Verdana" w:hAnsi="Verdana" w:cs="Arial"/>
          <w:sz w:val="22"/>
          <w:szCs w:val="22"/>
          <w:lang w:val="es-CR"/>
        </w:rPr>
      </w:pPr>
    </w:p>
    <w:p w14:paraId="6E8ADBEA" w14:textId="60239C9D" w:rsidR="007956EB" w:rsidRPr="00205C60" w:rsidRDefault="007956EB" w:rsidP="0098425F">
      <w:pPr>
        <w:tabs>
          <w:tab w:val="left" w:pos="1440"/>
          <w:tab w:val="left" w:pos="5060"/>
        </w:tabs>
        <w:jc w:val="both"/>
        <w:rPr>
          <w:rFonts w:ascii="Verdana" w:hAnsi="Verdana" w:cs="Arial"/>
          <w:sz w:val="22"/>
          <w:szCs w:val="22"/>
          <w:lang w:val="es-CR"/>
        </w:rPr>
      </w:pPr>
    </w:p>
    <w:tbl>
      <w:tblPr>
        <w:tblW w:w="9897" w:type="dxa"/>
        <w:tblLook w:val="04A0" w:firstRow="1" w:lastRow="0" w:firstColumn="1" w:lastColumn="0" w:noHBand="0" w:noVBand="1"/>
      </w:tblPr>
      <w:tblGrid>
        <w:gridCol w:w="3690"/>
        <w:gridCol w:w="370"/>
        <w:gridCol w:w="2115"/>
        <w:gridCol w:w="222"/>
        <w:gridCol w:w="1569"/>
        <w:gridCol w:w="222"/>
        <w:gridCol w:w="1709"/>
      </w:tblGrid>
      <w:tr w:rsidR="004333FA" w:rsidRPr="00205C60" w14:paraId="0F76F416" w14:textId="77777777" w:rsidTr="009C13A3">
        <w:trPr>
          <w:trHeight w:val="287"/>
        </w:trPr>
        <w:tc>
          <w:tcPr>
            <w:tcW w:w="3690" w:type="dxa"/>
            <w:tcBorders>
              <w:top w:val="nil"/>
              <w:left w:val="nil"/>
              <w:bottom w:val="nil"/>
              <w:right w:val="nil"/>
            </w:tcBorders>
            <w:shd w:val="clear" w:color="auto" w:fill="auto"/>
            <w:vAlign w:val="bottom"/>
            <w:hideMark/>
          </w:tcPr>
          <w:p w14:paraId="2A386B50" w14:textId="11714BFD" w:rsidR="004333FA" w:rsidRPr="00205C60" w:rsidRDefault="004333FA" w:rsidP="00984E25">
            <w:pPr>
              <w:ind w:left="72"/>
              <w:rPr>
                <w:rFonts w:ascii="Verdana" w:hAnsi="Verdana"/>
                <w:sz w:val="22"/>
                <w:szCs w:val="22"/>
                <w:u w:val="single"/>
                <w:lang w:val="es-CR"/>
              </w:rPr>
            </w:pPr>
            <w:r w:rsidRPr="00205C60">
              <w:rPr>
                <w:rFonts w:ascii="Verdana" w:hAnsi="Verdana"/>
                <w:sz w:val="22"/>
                <w:szCs w:val="22"/>
                <w:u w:val="single"/>
                <w:lang w:val="es-CR"/>
              </w:rPr>
              <w:t>31 de diciembre del 202</w:t>
            </w:r>
            <w:r w:rsidR="0072627E" w:rsidRPr="00205C60">
              <w:rPr>
                <w:rFonts w:ascii="Verdana" w:hAnsi="Verdana"/>
                <w:sz w:val="22"/>
                <w:szCs w:val="22"/>
                <w:u w:val="single"/>
                <w:lang w:val="es-CR"/>
              </w:rPr>
              <w:t>2</w:t>
            </w:r>
          </w:p>
        </w:tc>
        <w:tc>
          <w:tcPr>
            <w:tcW w:w="370" w:type="dxa"/>
            <w:tcBorders>
              <w:top w:val="nil"/>
              <w:left w:val="nil"/>
              <w:bottom w:val="nil"/>
              <w:right w:val="nil"/>
            </w:tcBorders>
            <w:shd w:val="clear" w:color="auto" w:fill="auto"/>
            <w:vAlign w:val="bottom"/>
            <w:hideMark/>
          </w:tcPr>
          <w:p w14:paraId="5179B228" w14:textId="77777777" w:rsidR="004333FA" w:rsidRPr="00205C60" w:rsidRDefault="004333FA" w:rsidP="00984E25">
            <w:pPr>
              <w:rPr>
                <w:rFonts w:ascii="Verdana" w:hAnsi="Verdana"/>
                <w:sz w:val="22"/>
                <w:szCs w:val="22"/>
                <w:lang w:val="es-CR"/>
              </w:rPr>
            </w:pPr>
          </w:p>
        </w:tc>
        <w:tc>
          <w:tcPr>
            <w:tcW w:w="2115" w:type="dxa"/>
            <w:tcBorders>
              <w:top w:val="nil"/>
              <w:left w:val="nil"/>
              <w:bottom w:val="nil"/>
              <w:right w:val="nil"/>
            </w:tcBorders>
            <w:shd w:val="clear" w:color="auto" w:fill="auto"/>
            <w:vAlign w:val="bottom"/>
            <w:hideMark/>
          </w:tcPr>
          <w:p w14:paraId="44B4770E" w14:textId="77777777" w:rsidR="004333FA" w:rsidRPr="00205C60" w:rsidRDefault="004333FA" w:rsidP="00984E25">
            <w:pPr>
              <w:jc w:val="center"/>
              <w:rPr>
                <w:rFonts w:ascii="Verdana" w:hAnsi="Verdana"/>
                <w:sz w:val="22"/>
                <w:szCs w:val="22"/>
                <w:u w:val="single"/>
                <w:lang w:val="es-CR"/>
              </w:rPr>
            </w:pPr>
            <w:r w:rsidRPr="00205C60">
              <w:rPr>
                <w:rFonts w:ascii="Verdana" w:hAnsi="Verdana"/>
                <w:sz w:val="22"/>
                <w:szCs w:val="22"/>
                <w:u w:val="single"/>
                <w:lang w:val="es-CR"/>
              </w:rPr>
              <w:t>Colones</w:t>
            </w:r>
          </w:p>
        </w:tc>
        <w:tc>
          <w:tcPr>
            <w:tcW w:w="222" w:type="dxa"/>
            <w:tcBorders>
              <w:top w:val="nil"/>
              <w:left w:val="nil"/>
              <w:bottom w:val="nil"/>
              <w:right w:val="nil"/>
            </w:tcBorders>
            <w:shd w:val="clear" w:color="auto" w:fill="auto"/>
            <w:hideMark/>
          </w:tcPr>
          <w:p w14:paraId="5A483BB6" w14:textId="77777777" w:rsidR="004333FA" w:rsidRPr="00205C60" w:rsidRDefault="004333FA" w:rsidP="00984E25">
            <w:pPr>
              <w:jc w:val="center"/>
              <w:rPr>
                <w:rFonts w:ascii="Verdana" w:hAnsi="Verdana"/>
                <w:sz w:val="22"/>
                <w:szCs w:val="22"/>
                <w:lang w:val="es-CR"/>
              </w:rPr>
            </w:pPr>
          </w:p>
        </w:tc>
        <w:tc>
          <w:tcPr>
            <w:tcW w:w="1569" w:type="dxa"/>
            <w:tcBorders>
              <w:top w:val="nil"/>
              <w:left w:val="nil"/>
              <w:bottom w:val="nil"/>
              <w:right w:val="nil"/>
            </w:tcBorders>
            <w:shd w:val="clear" w:color="auto" w:fill="auto"/>
            <w:vAlign w:val="bottom"/>
            <w:hideMark/>
          </w:tcPr>
          <w:p w14:paraId="202796FA" w14:textId="77777777" w:rsidR="004333FA" w:rsidRPr="00205C60" w:rsidRDefault="004333FA" w:rsidP="00984E25">
            <w:pPr>
              <w:jc w:val="center"/>
              <w:rPr>
                <w:rFonts w:ascii="Verdana" w:hAnsi="Verdana"/>
                <w:sz w:val="22"/>
                <w:szCs w:val="22"/>
                <w:u w:val="single"/>
                <w:lang w:val="es-CR"/>
              </w:rPr>
            </w:pPr>
            <w:r w:rsidRPr="00205C60">
              <w:rPr>
                <w:rFonts w:ascii="Verdana" w:hAnsi="Verdana"/>
                <w:sz w:val="22"/>
                <w:szCs w:val="22"/>
                <w:u w:val="single"/>
                <w:lang w:val="es-CR"/>
              </w:rPr>
              <w:t>US dólar</w:t>
            </w:r>
          </w:p>
        </w:tc>
        <w:tc>
          <w:tcPr>
            <w:tcW w:w="222" w:type="dxa"/>
            <w:tcBorders>
              <w:top w:val="nil"/>
              <w:left w:val="nil"/>
              <w:bottom w:val="nil"/>
              <w:right w:val="nil"/>
            </w:tcBorders>
            <w:shd w:val="clear" w:color="auto" w:fill="auto"/>
            <w:hideMark/>
          </w:tcPr>
          <w:p w14:paraId="29D7B0D7" w14:textId="77777777" w:rsidR="004333FA" w:rsidRPr="00205C60" w:rsidRDefault="004333FA" w:rsidP="00984E25">
            <w:pPr>
              <w:jc w:val="center"/>
              <w:rPr>
                <w:rFonts w:ascii="Verdana" w:hAnsi="Verdana"/>
                <w:sz w:val="22"/>
                <w:szCs w:val="22"/>
                <w:lang w:val="es-CR"/>
              </w:rPr>
            </w:pPr>
          </w:p>
        </w:tc>
        <w:tc>
          <w:tcPr>
            <w:tcW w:w="1709" w:type="dxa"/>
            <w:tcBorders>
              <w:top w:val="nil"/>
              <w:left w:val="nil"/>
              <w:bottom w:val="nil"/>
              <w:right w:val="nil"/>
            </w:tcBorders>
            <w:shd w:val="clear" w:color="auto" w:fill="auto"/>
            <w:noWrap/>
            <w:vAlign w:val="bottom"/>
            <w:hideMark/>
          </w:tcPr>
          <w:p w14:paraId="52A7EE8A" w14:textId="77777777" w:rsidR="004333FA" w:rsidRPr="00205C60" w:rsidRDefault="004333FA" w:rsidP="00984E25">
            <w:pPr>
              <w:jc w:val="center"/>
              <w:rPr>
                <w:rFonts w:ascii="Verdana" w:hAnsi="Verdana"/>
                <w:sz w:val="22"/>
                <w:szCs w:val="22"/>
                <w:u w:val="single"/>
                <w:lang w:val="es-CR"/>
              </w:rPr>
            </w:pPr>
            <w:r w:rsidRPr="00205C60">
              <w:rPr>
                <w:rFonts w:ascii="Verdana" w:hAnsi="Verdana"/>
                <w:sz w:val="22"/>
                <w:szCs w:val="22"/>
                <w:u w:val="single"/>
                <w:lang w:val="es-CR"/>
              </w:rPr>
              <w:t xml:space="preserve">Total </w:t>
            </w:r>
          </w:p>
        </w:tc>
      </w:tr>
      <w:tr w:rsidR="004333FA" w:rsidRPr="00205C60" w14:paraId="70D518B5" w14:textId="77777777" w:rsidTr="009C13A3">
        <w:trPr>
          <w:trHeight w:val="78"/>
        </w:trPr>
        <w:tc>
          <w:tcPr>
            <w:tcW w:w="3690" w:type="dxa"/>
            <w:tcBorders>
              <w:top w:val="nil"/>
              <w:left w:val="nil"/>
              <w:bottom w:val="nil"/>
              <w:right w:val="nil"/>
            </w:tcBorders>
            <w:shd w:val="clear" w:color="auto" w:fill="auto"/>
            <w:noWrap/>
            <w:vAlign w:val="bottom"/>
            <w:hideMark/>
          </w:tcPr>
          <w:p w14:paraId="617E9C33" w14:textId="77777777" w:rsidR="004333FA" w:rsidRPr="00205C60" w:rsidRDefault="004333FA" w:rsidP="00984E25">
            <w:pPr>
              <w:ind w:left="612" w:right="-156" w:hanging="540"/>
              <w:rPr>
                <w:rFonts w:ascii="Verdana" w:hAnsi="Verdana"/>
                <w:sz w:val="22"/>
                <w:szCs w:val="22"/>
                <w:lang w:val="es-CR"/>
              </w:rPr>
            </w:pPr>
            <w:r w:rsidRPr="00205C60">
              <w:rPr>
                <w:rFonts w:ascii="Verdana" w:hAnsi="Verdana"/>
                <w:sz w:val="22"/>
                <w:szCs w:val="22"/>
                <w:lang w:val="es-CR"/>
              </w:rPr>
              <w:t xml:space="preserve">Efectivo </w:t>
            </w:r>
          </w:p>
        </w:tc>
        <w:tc>
          <w:tcPr>
            <w:tcW w:w="370" w:type="dxa"/>
            <w:tcBorders>
              <w:top w:val="nil"/>
              <w:left w:val="nil"/>
              <w:bottom w:val="nil"/>
              <w:right w:val="nil"/>
            </w:tcBorders>
            <w:shd w:val="clear" w:color="auto" w:fill="auto"/>
            <w:noWrap/>
            <w:vAlign w:val="bottom"/>
            <w:hideMark/>
          </w:tcPr>
          <w:p w14:paraId="513B30CF" w14:textId="77777777" w:rsidR="004333FA" w:rsidRPr="00205C60" w:rsidRDefault="004333FA" w:rsidP="00984E25">
            <w:pPr>
              <w:jc w:val="center"/>
              <w:rPr>
                <w:rFonts w:ascii="Verdana" w:hAnsi="Verdana"/>
                <w:sz w:val="22"/>
                <w:szCs w:val="22"/>
                <w:lang w:val="es-CR"/>
              </w:rPr>
            </w:pPr>
            <w:r w:rsidRPr="00205C60">
              <w:rPr>
                <w:rFonts w:ascii="Verdana" w:hAnsi="Verdana"/>
                <w:sz w:val="22"/>
                <w:szCs w:val="22"/>
                <w:lang w:val="es-CR"/>
              </w:rPr>
              <w:t>¢</w:t>
            </w:r>
          </w:p>
        </w:tc>
        <w:tc>
          <w:tcPr>
            <w:tcW w:w="2115" w:type="dxa"/>
            <w:tcBorders>
              <w:top w:val="nil"/>
              <w:left w:val="nil"/>
              <w:bottom w:val="nil"/>
              <w:right w:val="nil"/>
            </w:tcBorders>
            <w:shd w:val="clear" w:color="auto" w:fill="auto"/>
            <w:noWrap/>
            <w:vAlign w:val="bottom"/>
          </w:tcPr>
          <w:p w14:paraId="66CC5EB2" w14:textId="0BC1F2AA" w:rsidR="004333FA" w:rsidRPr="00205C60" w:rsidRDefault="00BD1FFB" w:rsidP="00984E25">
            <w:pPr>
              <w:ind w:left="-126"/>
              <w:jc w:val="right"/>
              <w:rPr>
                <w:rFonts w:ascii="Verdana" w:hAnsi="Verdana"/>
                <w:sz w:val="22"/>
                <w:szCs w:val="22"/>
                <w:lang w:val="es-CR"/>
              </w:rPr>
            </w:pPr>
            <w:r w:rsidRPr="00205C60">
              <w:rPr>
                <w:rFonts w:ascii="Verdana" w:hAnsi="Verdana"/>
                <w:sz w:val="22"/>
                <w:szCs w:val="22"/>
                <w:lang w:val="es-CR"/>
              </w:rPr>
              <w:t>22</w:t>
            </w:r>
            <w:r w:rsidR="004333FA" w:rsidRPr="00205C60">
              <w:rPr>
                <w:rFonts w:ascii="Verdana" w:hAnsi="Verdana"/>
                <w:sz w:val="22"/>
                <w:szCs w:val="22"/>
                <w:lang w:val="es-CR"/>
              </w:rPr>
              <w:t>.</w:t>
            </w:r>
            <w:r w:rsidRPr="00205C60">
              <w:rPr>
                <w:rFonts w:ascii="Verdana" w:hAnsi="Verdana"/>
                <w:sz w:val="22"/>
                <w:szCs w:val="22"/>
                <w:lang w:val="es-CR"/>
              </w:rPr>
              <w:t>845</w:t>
            </w:r>
            <w:r w:rsidR="004333FA" w:rsidRPr="00205C60">
              <w:rPr>
                <w:rFonts w:ascii="Verdana" w:hAnsi="Verdana"/>
                <w:sz w:val="22"/>
                <w:szCs w:val="22"/>
                <w:lang w:val="es-CR"/>
              </w:rPr>
              <w:t>.</w:t>
            </w:r>
            <w:r w:rsidRPr="00205C60">
              <w:rPr>
                <w:rFonts w:ascii="Verdana" w:hAnsi="Verdana"/>
                <w:sz w:val="22"/>
                <w:szCs w:val="22"/>
                <w:lang w:val="es-CR"/>
              </w:rPr>
              <w:t>860</w:t>
            </w:r>
          </w:p>
        </w:tc>
        <w:tc>
          <w:tcPr>
            <w:tcW w:w="222" w:type="dxa"/>
            <w:tcBorders>
              <w:top w:val="nil"/>
              <w:left w:val="nil"/>
              <w:bottom w:val="nil"/>
              <w:right w:val="nil"/>
            </w:tcBorders>
            <w:shd w:val="clear" w:color="auto" w:fill="auto"/>
            <w:vAlign w:val="bottom"/>
          </w:tcPr>
          <w:p w14:paraId="4959C946" w14:textId="77777777" w:rsidR="004333FA" w:rsidRPr="00205C60" w:rsidRDefault="004333FA" w:rsidP="00984E25">
            <w:pPr>
              <w:ind w:left="-126"/>
              <w:jc w:val="right"/>
              <w:rPr>
                <w:rFonts w:ascii="Verdana" w:hAnsi="Verdana"/>
                <w:sz w:val="22"/>
                <w:szCs w:val="22"/>
                <w:lang w:val="es-CR"/>
              </w:rPr>
            </w:pPr>
          </w:p>
        </w:tc>
        <w:tc>
          <w:tcPr>
            <w:tcW w:w="1569" w:type="dxa"/>
            <w:tcBorders>
              <w:top w:val="nil"/>
              <w:left w:val="nil"/>
              <w:bottom w:val="nil"/>
              <w:right w:val="nil"/>
            </w:tcBorders>
            <w:shd w:val="clear" w:color="auto" w:fill="auto"/>
            <w:noWrap/>
            <w:vAlign w:val="bottom"/>
          </w:tcPr>
          <w:p w14:paraId="148B70E1" w14:textId="38DED0C8" w:rsidR="004333FA" w:rsidRPr="00205C60" w:rsidRDefault="00B266A8" w:rsidP="00984E25">
            <w:pPr>
              <w:ind w:left="-126"/>
              <w:jc w:val="right"/>
              <w:rPr>
                <w:rFonts w:ascii="Verdana" w:hAnsi="Verdana"/>
                <w:sz w:val="22"/>
                <w:szCs w:val="22"/>
                <w:lang w:val="es-CR"/>
              </w:rPr>
            </w:pPr>
            <w:r w:rsidRPr="00205C60">
              <w:rPr>
                <w:rFonts w:ascii="Verdana" w:hAnsi="Verdana"/>
                <w:sz w:val="22"/>
                <w:szCs w:val="22"/>
              </w:rPr>
              <w:t>268</w:t>
            </w:r>
            <w:r w:rsidR="004333FA" w:rsidRPr="00205C60">
              <w:rPr>
                <w:rFonts w:ascii="Verdana" w:hAnsi="Verdana"/>
                <w:sz w:val="22"/>
                <w:szCs w:val="22"/>
              </w:rPr>
              <w:t>.</w:t>
            </w:r>
            <w:r w:rsidRPr="00205C60">
              <w:rPr>
                <w:rFonts w:ascii="Verdana" w:hAnsi="Verdana"/>
                <w:sz w:val="22"/>
                <w:szCs w:val="22"/>
              </w:rPr>
              <w:t>938</w:t>
            </w:r>
          </w:p>
        </w:tc>
        <w:tc>
          <w:tcPr>
            <w:tcW w:w="222" w:type="dxa"/>
            <w:tcBorders>
              <w:top w:val="nil"/>
              <w:left w:val="nil"/>
              <w:bottom w:val="nil"/>
              <w:right w:val="nil"/>
            </w:tcBorders>
            <w:shd w:val="clear" w:color="auto" w:fill="auto"/>
            <w:vAlign w:val="bottom"/>
          </w:tcPr>
          <w:p w14:paraId="4476112C" w14:textId="77777777" w:rsidR="004333FA" w:rsidRPr="00205C60" w:rsidRDefault="004333FA" w:rsidP="00984E25">
            <w:pPr>
              <w:ind w:left="-126"/>
              <w:jc w:val="right"/>
              <w:rPr>
                <w:rFonts w:ascii="Verdana" w:hAnsi="Verdana"/>
                <w:sz w:val="22"/>
                <w:szCs w:val="22"/>
                <w:lang w:val="es-CR"/>
              </w:rPr>
            </w:pPr>
          </w:p>
        </w:tc>
        <w:tc>
          <w:tcPr>
            <w:tcW w:w="1709" w:type="dxa"/>
            <w:tcBorders>
              <w:top w:val="nil"/>
              <w:left w:val="nil"/>
              <w:bottom w:val="nil"/>
              <w:right w:val="nil"/>
            </w:tcBorders>
            <w:shd w:val="clear" w:color="auto" w:fill="auto"/>
            <w:noWrap/>
            <w:vAlign w:val="bottom"/>
          </w:tcPr>
          <w:p w14:paraId="007DAFFC" w14:textId="39087DEC" w:rsidR="004333FA" w:rsidRPr="00205C60" w:rsidRDefault="000B11AA" w:rsidP="00984E25">
            <w:pPr>
              <w:ind w:left="-126"/>
              <w:jc w:val="right"/>
              <w:rPr>
                <w:rFonts w:ascii="Verdana" w:hAnsi="Verdana"/>
                <w:sz w:val="22"/>
                <w:szCs w:val="22"/>
                <w:lang w:val="es-CR"/>
              </w:rPr>
            </w:pPr>
            <w:r w:rsidRPr="00205C60">
              <w:rPr>
                <w:rFonts w:ascii="Verdana" w:hAnsi="Verdana"/>
                <w:sz w:val="22"/>
                <w:szCs w:val="22"/>
              </w:rPr>
              <w:t>23</w:t>
            </w:r>
            <w:r w:rsidR="004333FA" w:rsidRPr="00205C60">
              <w:rPr>
                <w:rFonts w:ascii="Verdana" w:hAnsi="Verdana"/>
                <w:sz w:val="22"/>
                <w:szCs w:val="22"/>
              </w:rPr>
              <w:t>.</w:t>
            </w:r>
            <w:r w:rsidRPr="00205C60">
              <w:rPr>
                <w:rFonts w:ascii="Verdana" w:hAnsi="Verdana"/>
                <w:sz w:val="22"/>
                <w:szCs w:val="22"/>
              </w:rPr>
              <w:t>114</w:t>
            </w:r>
            <w:r w:rsidR="004333FA" w:rsidRPr="00205C60">
              <w:rPr>
                <w:rFonts w:ascii="Verdana" w:hAnsi="Verdana"/>
                <w:sz w:val="22"/>
                <w:szCs w:val="22"/>
              </w:rPr>
              <w:t>.</w:t>
            </w:r>
            <w:r w:rsidRPr="00205C60">
              <w:rPr>
                <w:rFonts w:ascii="Verdana" w:hAnsi="Verdana"/>
                <w:sz w:val="22"/>
                <w:szCs w:val="22"/>
              </w:rPr>
              <w:t>798</w:t>
            </w:r>
          </w:p>
        </w:tc>
      </w:tr>
      <w:tr w:rsidR="004333FA" w:rsidRPr="00205C60" w14:paraId="0C2CAA83" w14:textId="77777777" w:rsidTr="009C13A3">
        <w:trPr>
          <w:trHeight w:val="78"/>
        </w:trPr>
        <w:tc>
          <w:tcPr>
            <w:tcW w:w="3690" w:type="dxa"/>
            <w:tcBorders>
              <w:top w:val="nil"/>
              <w:left w:val="nil"/>
              <w:bottom w:val="nil"/>
              <w:right w:val="nil"/>
            </w:tcBorders>
            <w:shd w:val="clear" w:color="auto" w:fill="auto"/>
            <w:noWrap/>
            <w:vAlign w:val="bottom"/>
          </w:tcPr>
          <w:p w14:paraId="3A21C081" w14:textId="77777777" w:rsidR="004333FA" w:rsidRPr="00205C60" w:rsidRDefault="004333FA" w:rsidP="00984E25">
            <w:pPr>
              <w:ind w:left="612" w:right="-156" w:hanging="540"/>
              <w:rPr>
                <w:rFonts w:ascii="Verdana" w:hAnsi="Verdana"/>
                <w:sz w:val="22"/>
                <w:szCs w:val="22"/>
                <w:lang w:val="es-CR"/>
              </w:rPr>
            </w:pPr>
            <w:r w:rsidRPr="00205C60">
              <w:rPr>
                <w:rFonts w:ascii="Verdana" w:hAnsi="Verdana"/>
                <w:sz w:val="22"/>
                <w:szCs w:val="22"/>
                <w:lang w:val="es-CR"/>
              </w:rPr>
              <w:t>Efectos por cobrar</w:t>
            </w:r>
          </w:p>
        </w:tc>
        <w:tc>
          <w:tcPr>
            <w:tcW w:w="370" w:type="dxa"/>
            <w:tcBorders>
              <w:top w:val="nil"/>
              <w:left w:val="nil"/>
              <w:bottom w:val="nil"/>
              <w:right w:val="nil"/>
            </w:tcBorders>
            <w:shd w:val="clear" w:color="auto" w:fill="auto"/>
            <w:noWrap/>
            <w:vAlign w:val="bottom"/>
          </w:tcPr>
          <w:p w14:paraId="3BE2F7B2" w14:textId="77777777" w:rsidR="004333FA" w:rsidRPr="00205C60" w:rsidRDefault="004333FA" w:rsidP="00984E25">
            <w:pPr>
              <w:rPr>
                <w:rFonts w:ascii="Verdana" w:hAnsi="Verdana"/>
                <w:sz w:val="22"/>
                <w:szCs w:val="22"/>
                <w:lang w:val="es-CR"/>
              </w:rPr>
            </w:pPr>
          </w:p>
        </w:tc>
        <w:tc>
          <w:tcPr>
            <w:tcW w:w="2115" w:type="dxa"/>
            <w:tcBorders>
              <w:top w:val="nil"/>
              <w:left w:val="nil"/>
              <w:bottom w:val="nil"/>
              <w:right w:val="nil"/>
            </w:tcBorders>
            <w:shd w:val="clear" w:color="auto" w:fill="auto"/>
            <w:noWrap/>
            <w:vAlign w:val="bottom"/>
          </w:tcPr>
          <w:p w14:paraId="0D45318C" w14:textId="2D3C2AA2" w:rsidR="004333FA" w:rsidRPr="00205C60" w:rsidRDefault="00BD1FFB" w:rsidP="00984E25">
            <w:pPr>
              <w:ind w:left="-126"/>
              <w:jc w:val="right"/>
              <w:rPr>
                <w:rFonts w:ascii="Verdana" w:hAnsi="Verdana"/>
                <w:sz w:val="22"/>
                <w:szCs w:val="22"/>
                <w:lang w:val="es-CR"/>
              </w:rPr>
            </w:pPr>
            <w:r w:rsidRPr="00205C60">
              <w:rPr>
                <w:rFonts w:ascii="Verdana" w:hAnsi="Verdana"/>
                <w:sz w:val="22"/>
                <w:szCs w:val="22"/>
              </w:rPr>
              <w:t>1.</w:t>
            </w:r>
            <w:r w:rsidR="00DF5A87" w:rsidRPr="00205C60">
              <w:rPr>
                <w:rFonts w:ascii="Verdana" w:hAnsi="Verdana"/>
                <w:sz w:val="22"/>
                <w:szCs w:val="22"/>
              </w:rPr>
              <w:t>119</w:t>
            </w:r>
            <w:r w:rsidR="004333FA" w:rsidRPr="00205C60">
              <w:rPr>
                <w:rFonts w:ascii="Verdana" w:hAnsi="Verdana"/>
                <w:sz w:val="22"/>
                <w:szCs w:val="22"/>
              </w:rPr>
              <w:t>.</w:t>
            </w:r>
            <w:r w:rsidR="00DF5A87" w:rsidRPr="00205C60">
              <w:rPr>
                <w:rFonts w:ascii="Verdana" w:hAnsi="Verdana"/>
                <w:sz w:val="22"/>
                <w:szCs w:val="22"/>
              </w:rPr>
              <w:t>077</w:t>
            </w:r>
          </w:p>
        </w:tc>
        <w:tc>
          <w:tcPr>
            <w:tcW w:w="222" w:type="dxa"/>
            <w:tcBorders>
              <w:top w:val="nil"/>
              <w:left w:val="nil"/>
              <w:bottom w:val="nil"/>
              <w:right w:val="nil"/>
            </w:tcBorders>
            <w:shd w:val="clear" w:color="auto" w:fill="auto"/>
            <w:vAlign w:val="bottom"/>
          </w:tcPr>
          <w:p w14:paraId="328A7F15" w14:textId="77777777" w:rsidR="004333FA" w:rsidRPr="00205C60" w:rsidRDefault="004333FA" w:rsidP="00984E25">
            <w:pPr>
              <w:ind w:left="-126"/>
              <w:jc w:val="right"/>
              <w:rPr>
                <w:rFonts w:ascii="Verdana" w:hAnsi="Verdana"/>
                <w:sz w:val="22"/>
                <w:szCs w:val="22"/>
                <w:lang w:val="es-CR"/>
              </w:rPr>
            </w:pPr>
          </w:p>
        </w:tc>
        <w:tc>
          <w:tcPr>
            <w:tcW w:w="1569" w:type="dxa"/>
            <w:tcBorders>
              <w:top w:val="nil"/>
              <w:left w:val="nil"/>
              <w:bottom w:val="nil"/>
              <w:right w:val="nil"/>
            </w:tcBorders>
            <w:shd w:val="clear" w:color="auto" w:fill="auto"/>
            <w:noWrap/>
            <w:vAlign w:val="bottom"/>
          </w:tcPr>
          <w:p w14:paraId="063A1D74" w14:textId="77F1C997" w:rsidR="004333FA" w:rsidRPr="00205C60" w:rsidRDefault="00B266A8" w:rsidP="00984E25">
            <w:pPr>
              <w:ind w:left="-126"/>
              <w:jc w:val="right"/>
              <w:rPr>
                <w:rFonts w:ascii="Verdana" w:hAnsi="Verdana"/>
                <w:sz w:val="22"/>
                <w:szCs w:val="22"/>
                <w:lang w:val="es-CR"/>
              </w:rPr>
            </w:pPr>
            <w:r w:rsidRPr="00205C60">
              <w:rPr>
                <w:rFonts w:ascii="Verdana" w:hAnsi="Verdana"/>
                <w:sz w:val="22"/>
                <w:szCs w:val="22"/>
              </w:rPr>
              <w:t>194</w:t>
            </w:r>
            <w:r w:rsidR="004333FA" w:rsidRPr="00205C60">
              <w:rPr>
                <w:rFonts w:ascii="Verdana" w:hAnsi="Verdana"/>
                <w:sz w:val="22"/>
                <w:szCs w:val="22"/>
              </w:rPr>
              <w:t>.</w:t>
            </w:r>
            <w:r w:rsidRPr="00205C60">
              <w:rPr>
                <w:rFonts w:ascii="Verdana" w:hAnsi="Verdana"/>
                <w:sz w:val="22"/>
                <w:szCs w:val="22"/>
              </w:rPr>
              <w:t>831</w:t>
            </w:r>
          </w:p>
        </w:tc>
        <w:tc>
          <w:tcPr>
            <w:tcW w:w="222" w:type="dxa"/>
            <w:tcBorders>
              <w:top w:val="nil"/>
              <w:left w:val="nil"/>
              <w:bottom w:val="nil"/>
              <w:right w:val="nil"/>
            </w:tcBorders>
            <w:shd w:val="clear" w:color="auto" w:fill="auto"/>
            <w:vAlign w:val="bottom"/>
          </w:tcPr>
          <w:p w14:paraId="7E888FED" w14:textId="77777777" w:rsidR="004333FA" w:rsidRPr="00205C60" w:rsidRDefault="004333FA" w:rsidP="00984E25">
            <w:pPr>
              <w:ind w:left="-126"/>
              <w:jc w:val="right"/>
              <w:rPr>
                <w:rFonts w:ascii="Verdana" w:hAnsi="Verdana"/>
                <w:sz w:val="22"/>
                <w:szCs w:val="22"/>
                <w:lang w:val="es-CR"/>
              </w:rPr>
            </w:pPr>
          </w:p>
        </w:tc>
        <w:tc>
          <w:tcPr>
            <w:tcW w:w="1709" w:type="dxa"/>
            <w:tcBorders>
              <w:top w:val="nil"/>
              <w:left w:val="nil"/>
              <w:bottom w:val="nil"/>
              <w:right w:val="nil"/>
            </w:tcBorders>
            <w:shd w:val="clear" w:color="auto" w:fill="auto"/>
            <w:noWrap/>
            <w:vAlign w:val="bottom"/>
          </w:tcPr>
          <w:p w14:paraId="58067E6B" w14:textId="2F7849D2" w:rsidR="004333FA" w:rsidRPr="00205C60" w:rsidRDefault="000B11AA" w:rsidP="00984E25">
            <w:pPr>
              <w:ind w:left="-126"/>
              <w:jc w:val="right"/>
              <w:rPr>
                <w:rFonts w:ascii="Verdana" w:hAnsi="Verdana"/>
                <w:sz w:val="22"/>
                <w:szCs w:val="22"/>
                <w:lang w:val="es-CR"/>
              </w:rPr>
            </w:pPr>
            <w:r w:rsidRPr="00205C60">
              <w:rPr>
                <w:rFonts w:ascii="Verdana" w:hAnsi="Verdana"/>
                <w:sz w:val="22"/>
                <w:szCs w:val="22"/>
                <w:lang w:val="es-CR"/>
              </w:rPr>
              <w:t>1.</w:t>
            </w:r>
            <w:r w:rsidR="00DA74EA" w:rsidRPr="00205C60">
              <w:rPr>
                <w:rFonts w:ascii="Verdana" w:hAnsi="Verdana"/>
                <w:sz w:val="22"/>
                <w:szCs w:val="22"/>
                <w:lang w:val="es-CR"/>
              </w:rPr>
              <w:t>313</w:t>
            </w:r>
            <w:r w:rsidR="004333FA" w:rsidRPr="00205C60">
              <w:rPr>
                <w:rFonts w:ascii="Verdana" w:hAnsi="Verdana"/>
                <w:sz w:val="22"/>
                <w:szCs w:val="22"/>
                <w:lang w:val="es-CR"/>
              </w:rPr>
              <w:t>.</w:t>
            </w:r>
            <w:r w:rsidR="00DA74EA" w:rsidRPr="00205C60">
              <w:rPr>
                <w:rFonts w:ascii="Verdana" w:hAnsi="Verdana"/>
                <w:sz w:val="22"/>
                <w:szCs w:val="22"/>
                <w:lang w:val="es-CR"/>
              </w:rPr>
              <w:t>908</w:t>
            </w:r>
          </w:p>
        </w:tc>
      </w:tr>
      <w:tr w:rsidR="004333FA" w:rsidRPr="00205C60" w14:paraId="3E75FA09" w14:textId="77777777" w:rsidTr="009C13A3">
        <w:trPr>
          <w:trHeight w:val="78"/>
        </w:trPr>
        <w:tc>
          <w:tcPr>
            <w:tcW w:w="3690" w:type="dxa"/>
            <w:tcBorders>
              <w:top w:val="nil"/>
              <w:left w:val="nil"/>
              <w:bottom w:val="nil"/>
              <w:right w:val="nil"/>
            </w:tcBorders>
            <w:shd w:val="clear" w:color="auto" w:fill="auto"/>
            <w:noWrap/>
            <w:vAlign w:val="bottom"/>
            <w:hideMark/>
          </w:tcPr>
          <w:p w14:paraId="28961CB0" w14:textId="77777777" w:rsidR="004333FA" w:rsidRPr="00205C60" w:rsidRDefault="004333FA" w:rsidP="00984E25">
            <w:pPr>
              <w:ind w:left="612" w:right="-156" w:hanging="540"/>
              <w:rPr>
                <w:rFonts w:ascii="Verdana" w:hAnsi="Verdana"/>
                <w:sz w:val="22"/>
                <w:szCs w:val="22"/>
                <w:lang w:val="es-CR"/>
              </w:rPr>
            </w:pPr>
            <w:r w:rsidRPr="00205C60">
              <w:rPr>
                <w:rFonts w:ascii="Verdana" w:hAnsi="Verdana"/>
                <w:sz w:val="22"/>
                <w:szCs w:val="22"/>
                <w:lang w:val="es-CR"/>
              </w:rPr>
              <w:t>Cuentas por cobrar</w:t>
            </w:r>
          </w:p>
        </w:tc>
        <w:tc>
          <w:tcPr>
            <w:tcW w:w="370" w:type="dxa"/>
            <w:tcBorders>
              <w:top w:val="nil"/>
              <w:left w:val="nil"/>
              <w:bottom w:val="nil"/>
              <w:right w:val="nil"/>
            </w:tcBorders>
            <w:shd w:val="clear" w:color="auto" w:fill="auto"/>
            <w:noWrap/>
            <w:vAlign w:val="bottom"/>
            <w:hideMark/>
          </w:tcPr>
          <w:p w14:paraId="21D74F26" w14:textId="77777777" w:rsidR="004333FA" w:rsidRPr="00205C60" w:rsidRDefault="004333FA" w:rsidP="00984E25">
            <w:pPr>
              <w:rPr>
                <w:rFonts w:ascii="Verdana" w:hAnsi="Verdana"/>
                <w:sz w:val="22"/>
                <w:szCs w:val="22"/>
                <w:lang w:val="es-CR"/>
              </w:rPr>
            </w:pPr>
          </w:p>
        </w:tc>
        <w:tc>
          <w:tcPr>
            <w:tcW w:w="2115" w:type="dxa"/>
            <w:tcBorders>
              <w:top w:val="nil"/>
              <w:left w:val="nil"/>
              <w:bottom w:val="nil"/>
              <w:right w:val="nil"/>
            </w:tcBorders>
            <w:shd w:val="clear" w:color="auto" w:fill="auto"/>
            <w:noWrap/>
            <w:vAlign w:val="bottom"/>
          </w:tcPr>
          <w:p w14:paraId="5C043C05" w14:textId="51DBF65A" w:rsidR="004333FA" w:rsidRPr="00205C60" w:rsidRDefault="00DF5A87" w:rsidP="00984E25">
            <w:pPr>
              <w:ind w:left="-126"/>
              <w:jc w:val="right"/>
              <w:rPr>
                <w:rFonts w:ascii="Verdana" w:hAnsi="Verdana"/>
                <w:sz w:val="22"/>
                <w:szCs w:val="22"/>
                <w:lang w:val="es-CR"/>
              </w:rPr>
            </w:pPr>
            <w:r w:rsidRPr="00205C60">
              <w:rPr>
                <w:rFonts w:ascii="Verdana" w:hAnsi="Verdana"/>
                <w:sz w:val="22"/>
                <w:szCs w:val="22"/>
              </w:rPr>
              <w:t>22</w:t>
            </w:r>
            <w:r w:rsidR="004333FA" w:rsidRPr="00205C60">
              <w:rPr>
                <w:rFonts w:ascii="Verdana" w:hAnsi="Verdana"/>
                <w:sz w:val="22"/>
                <w:szCs w:val="22"/>
              </w:rPr>
              <w:t>.</w:t>
            </w:r>
            <w:r w:rsidRPr="00205C60">
              <w:rPr>
                <w:rFonts w:ascii="Verdana" w:hAnsi="Verdana"/>
                <w:sz w:val="22"/>
                <w:szCs w:val="22"/>
              </w:rPr>
              <w:t>434</w:t>
            </w:r>
            <w:r w:rsidR="004333FA" w:rsidRPr="00205C60">
              <w:rPr>
                <w:rFonts w:ascii="Verdana" w:hAnsi="Verdana"/>
                <w:sz w:val="22"/>
                <w:szCs w:val="22"/>
              </w:rPr>
              <w:t>.</w:t>
            </w:r>
            <w:r w:rsidRPr="00205C60">
              <w:rPr>
                <w:rFonts w:ascii="Verdana" w:hAnsi="Verdana"/>
                <w:sz w:val="22"/>
                <w:szCs w:val="22"/>
              </w:rPr>
              <w:t>081</w:t>
            </w:r>
          </w:p>
        </w:tc>
        <w:tc>
          <w:tcPr>
            <w:tcW w:w="222" w:type="dxa"/>
            <w:tcBorders>
              <w:top w:val="nil"/>
              <w:left w:val="nil"/>
              <w:bottom w:val="nil"/>
              <w:right w:val="nil"/>
            </w:tcBorders>
            <w:shd w:val="clear" w:color="auto" w:fill="auto"/>
          </w:tcPr>
          <w:p w14:paraId="297F7624" w14:textId="77777777" w:rsidR="004333FA" w:rsidRPr="00205C60" w:rsidRDefault="004333FA" w:rsidP="00984E25">
            <w:pPr>
              <w:ind w:left="-126"/>
              <w:jc w:val="right"/>
              <w:rPr>
                <w:rFonts w:ascii="Verdana" w:hAnsi="Verdana"/>
                <w:sz w:val="22"/>
                <w:szCs w:val="22"/>
                <w:lang w:val="es-CR"/>
              </w:rPr>
            </w:pPr>
          </w:p>
        </w:tc>
        <w:tc>
          <w:tcPr>
            <w:tcW w:w="1569" w:type="dxa"/>
            <w:tcBorders>
              <w:top w:val="nil"/>
              <w:left w:val="nil"/>
              <w:bottom w:val="nil"/>
              <w:right w:val="nil"/>
            </w:tcBorders>
            <w:shd w:val="clear" w:color="auto" w:fill="auto"/>
            <w:noWrap/>
            <w:vAlign w:val="bottom"/>
          </w:tcPr>
          <w:p w14:paraId="19E41341" w14:textId="3BF3B920" w:rsidR="004333FA" w:rsidRPr="00205C60" w:rsidRDefault="004333FA" w:rsidP="00984E25">
            <w:pPr>
              <w:ind w:left="-126"/>
              <w:jc w:val="center"/>
              <w:rPr>
                <w:rFonts w:ascii="Verdana" w:hAnsi="Verdana"/>
                <w:sz w:val="22"/>
                <w:szCs w:val="22"/>
                <w:lang w:val="es-CR"/>
              </w:rPr>
            </w:pPr>
            <w:r w:rsidRPr="00205C60">
              <w:rPr>
                <w:rFonts w:ascii="Verdana" w:hAnsi="Verdana"/>
                <w:sz w:val="22"/>
                <w:szCs w:val="22"/>
              </w:rPr>
              <w:t xml:space="preserve">             </w:t>
            </w:r>
            <w:r w:rsidR="00F31185" w:rsidRPr="00205C60">
              <w:rPr>
                <w:rFonts w:ascii="Verdana" w:hAnsi="Verdana"/>
                <w:sz w:val="22"/>
                <w:szCs w:val="22"/>
              </w:rPr>
              <w:t xml:space="preserve">    -</w:t>
            </w:r>
          </w:p>
        </w:tc>
        <w:tc>
          <w:tcPr>
            <w:tcW w:w="222" w:type="dxa"/>
            <w:tcBorders>
              <w:top w:val="nil"/>
              <w:left w:val="nil"/>
              <w:bottom w:val="nil"/>
              <w:right w:val="nil"/>
            </w:tcBorders>
            <w:shd w:val="clear" w:color="auto" w:fill="auto"/>
          </w:tcPr>
          <w:p w14:paraId="5DC365B9" w14:textId="77777777" w:rsidR="004333FA" w:rsidRPr="00205C60" w:rsidRDefault="004333FA" w:rsidP="00984E25">
            <w:pPr>
              <w:ind w:left="-126"/>
              <w:jc w:val="right"/>
              <w:rPr>
                <w:rFonts w:ascii="Verdana" w:hAnsi="Verdana"/>
                <w:sz w:val="22"/>
                <w:szCs w:val="22"/>
                <w:lang w:val="es-CR"/>
              </w:rPr>
            </w:pPr>
          </w:p>
        </w:tc>
        <w:tc>
          <w:tcPr>
            <w:tcW w:w="1709" w:type="dxa"/>
            <w:tcBorders>
              <w:top w:val="nil"/>
              <w:left w:val="nil"/>
              <w:bottom w:val="nil"/>
              <w:right w:val="nil"/>
            </w:tcBorders>
            <w:shd w:val="clear" w:color="auto" w:fill="auto"/>
            <w:noWrap/>
            <w:vAlign w:val="bottom"/>
          </w:tcPr>
          <w:p w14:paraId="2C22647E" w14:textId="7C283D04" w:rsidR="004333FA" w:rsidRPr="00205C60" w:rsidRDefault="00DA74EA" w:rsidP="00984E25">
            <w:pPr>
              <w:ind w:left="-126"/>
              <w:jc w:val="right"/>
              <w:rPr>
                <w:rFonts w:ascii="Verdana" w:hAnsi="Verdana"/>
                <w:sz w:val="22"/>
                <w:szCs w:val="22"/>
                <w:lang w:val="es-CR"/>
              </w:rPr>
            </w:pPr>
            <w:r w:rsidRPr="00205C60">
              <w:rPr>
                <w:rFonts w:ascii="Verdana" w:hAnsi="Verdana"/>
                <w:sz w:val="22"/>
                <w:szCs w:val="22"/>
              </w:rPr>
              <w:t>22</w:t>
            </w:r>
            <w:r w:rsidR="004333FA" w:rsidRPr="00205C60">
              <w:rPr>
                <w:rFonts w:ascii="Verdana" w:hAnsi="Verdana"/>
                <w:sz w:val="22"/>
                <w:szCs w:val="22"/>
              </w:rPr>
              <w:t>.</w:t>
            </w:r>
            <w:r w:rsidRPr="00205C60">
              <w:rPr>
                <w:rFonts w:ascii="Verdana" w:hAnsi="Verdana"/>
                <w:sz w:val="22"/>
                <w:szCs w:val="22"/>
              </w:rPr>
              <w:t>434</w:t>
            </w:r>
            <w:r w:rsidR="004333FA" w:rsidRPr="00205C60">
              <w:rPr>
                <w:rFonts w:ascii="Verdana" w:hAnsi="Verdana"/>
                <w:sz w:val="22"/>
                <w:szCs w:val="22"/>
              </w:rPr>
              <w:t>.</w:t>
            </w:r>
            <w:r w:rsidRPr="00205C60">
              <w:rPr>
                <w:rFonts w:ascii="Verdana" w:hAnsi="Verdana"/>
                <w:sz w:val="22"/>
                <w:szCs w:val="22"/>
              </w:rPr>
              <w:t>081</w:t>
            </w:r>
          </w:p>
        </w:tc>
      </w:tr>
      <w:tr w:rsidR="004333FA" w:rsidRPr="00205C60" w14:paraId="5B8C6855" w14:textId="77777777" w:rsidTr="009C13A3">
        <w:trPr>
          <w:trHeight w:val="78"/>
        </w:trPr>
        <w:tc>
          <w:tcPr>
            <w:tcW w:w="3690" w:type="dxa"/>
            <w:tcBorders>
              <w:top w:val="nil"/>
              <w:left w:val="nil"/>
              <w:bottom w:val="nil"/>
              <w:right w:val="nil"/>
            </w:tcBorders>
            <w:shd w:val="clear" w:color="auto" w:fill="auto"/>
            <w:noWrap/>
            <w:vAlign w:val="bottom"/>
          </w:tcPr>
          <w:p w14:paraId="4F05F0F4" w14:textId="77777777" w:rsidR="004333FA" w:rsidRPr="00205C60" w:rsidRDefault="004333FA" w:rsidP="00984E25">
            <w:pPr>
              <w:ind w:left="612" w:right="-156" w:hanging="540"/>
              <w:rPr>
                <w:rFonts w:ascii="Verdana" w:hAnsi="Verdana"/>
                <w:sz w:val="22"/>
                <w:szCs w:val="22"/>
                <w:lang w:val="es-CR"/>
              </w:rPr>
            </w:pPr>
            <w:r w:rsidRPr="00205C60">
              <w:rPr>
                <w:rFonts w:ascii="Verdana" w:hAnsi="Verdana"/>
                <w:sz w:val="22"/>
                <w:szCs w:val="22"/>
                <w:lang w:val="es-CR"/>
              </w:rPr>
              <w:t xml:space="preserve">Deuda </w:t>
            </w:r>
          </w:p>
        </w:tc>
        <w:tc>
          <w:tcPr>
            <w:tcW w:w="370" w:type="dxa"/>
            <w:tcBorders>
              <w:top w:val="nil"/>
              <w:left w:val="nil"/>
              <w:bottom w:val="nil"/>
              <w:right w:val="nil"/>
            </w:tcBorders>
            <w:shd w:val="clear" w:color="auto" w:fill="auto"/>
            <w:noWrap/>
            <w:vAlign w:val="bottom"/>
          </w:tcPr>
          <w:p w14:paraId="31F997A2" w14:textId="77777777" w:rsidR="004333FA" w:rsidRPr="00205C60" w:rsidRDefault="004333FA" w:rsidP="00984E25">
            <w:pPr>
              <w:rPr>
                <w:rFonts w:ascii="Verdana" w:hAnsi="Verdana"/>
                <w:sz w:val="22"/>
                <w:szCs w:val="22"/>
                <w:lang w:val="es-CR"/>
              </w:rPr>
            </w:pPr>
          </w:p>
        </w:tc>
        <w:tc>
          <w:tcPr>
            <w:tcW w:w="2115" w:type="dxa"/>
            <w:tcBorders>
              <w:top w:val="nil"/>
              <w:left w:val="nil"/>
              <w:bottom w:val="nil"/>
              <w:right w:val="nil"/>
            </w:tcBorders>
            <w:shd w:val="clear" w:color="auto" w:fill="auto"/>
            <w:noWrap/>
            <w:vAlign w:val="bottom"/>
          </w:tcPr>
          <w:p w14:paraId="4F3AF745" w14:textId="2FB711EB" w:rsidR="004333FA" w:rsidRPr="00205C60" w:rsidRDefault="004333FA" w:rsidP="00984E25">
            <w:pPr>
              <w:ind w:left="-126" w:right="-72"/>
              <w:jc w:val="right"/>
              <w:rPr>
                <w:rFonts w:ascii="Verdana" w:hAnsi="Verdana"/>
                <w:sz w:val="22"/>
                <w:szCs w:val="22"/>
                <w:lang w:val="es-CR"/>
              </w:rPr>
            </w:pPr>
            <w:r w:rsidRPr="00205C60">
              <w:rPr>
                <w:rFonts w:ascii="Verdana" w:hAnsi="Verdana"/>
                <w:sz w:val="22"/>
                <w:szCs w:val="22"/>
              </w:rPr>
              <w:t>(1</w:t>
            </w:r>
            <w:r w:rsidR="00DF5A87" w:rsidRPr="00205C60">
              <w:rPr>
                <w:rFonts w:ascii="Verdana" w:hAnsi="Verdana"/>
                <w:sz w:val="22"/>
                <w:szCs w:val="22"/>
              </w:rPr>
              <w:t>56</w:t>
            </w:r>
            <w:r w:rsidRPr="00205C60">
              <w:rPr>
                <w:rFonts w:ascii="Verdana" w:hAnsi="Verdana"/>
                <w:sz w:val="22"/>
                <w:szCs w:val="22"/>
              </w:rPr>
              <w:t>.</w:t>
            </w:r>
            <w:r w:rsidR="00DF5A87" w:rsidRPr="00205C60">
              <w:rPr>
                <w:rFonts w:ascii="Verdana" w:hAnsi="Verdana"/>
                <w:sz w:val="22"/>
                <w:szCs w:val="22"/>
              </w:rPr>
              <w:t>834</w:t>
            </w:r>
            <w:r w:rsidRPr="00205C60">
              <w:rPr>
                <w:rFonts w:ascii="Verdana" w:hAnsi="Verdana"/>
                <w:sz w:val="22"/>
                <w:szCs w:val="22"/>
              </w:rPr>
              <w:t>.</w:t>
            </w:r>
            <w:r w:rsidR="007C1F1F" w:rsidRPr="00205C60">
              <w:rPr>
                <w:rFonts w:ascii="Verdana" w:hAnsi="Verdana"/>
                <w:sz w:val="22"/>
                <w:szCs w:val="22"/>
              </w:rPr>
              <w:t>791</w:t>
            </w:r>
            <w:r w:rsidRPr="00205C60">
              <w:rPr>
                <w:rFonts w:ascii="Verdana" w:hAnsi="Verdana"/>
                <w:sz w:val="22"/>
                <w:szCs w:val="22"/>
              </w:rPr>
              <w:t>)</w:t>
            </w:r>
          </w:p>
        </w:tc>
        <w:tc>
          <w:tcPr>
            <w:tcW w:w="222" w:type="dxa"/>
            <w:tcBorders>
              <w:top w:val="nil"/>
              <w:left w:val="nil"/>
              <w:bottom w:val="nil"/>
              <w:right w:val="nil"/>
            </w:tcBorders>
            <w:shd w:val="clear" w:color="auto" w:fill="auto"/>
          </w:tcPr>
          <w:p w14:paraId="242CEE9B" w14:textId="77777777" w:rsidR="004333FA" w:rsidRPr="00205C60" w:rsidRDefault="004333FA" w:rsidP="00984E25">
            <w:pPr>
              <w:ind w:left="-126"/>
              <w:jc w:val="right"/>
              <w:rPr>
                <w:rFonts w:ascii="Verdana" w:hAnsi="Verdana"/>
                <w:sz w:val="22"/>
                <w:szCs w:val="22"/>
                <w:lang w:val="es-CR"/>
              </w:rPr>
            </w:pPr>
          </w:p>
        </w:tc>
        <w:tc>
          <w:tcPr>
            <w:tcW w:w="1569" w:type="dxa"/>
            <w:tcBorders>
              <w:top w:val="nil"/>
              <w:left w:val="nil"/>
              <w:bottom w:val="nil"/>
              <w:right w:val="nil"/>
            </w:tcBorders>
            <w:shd w:val="clear" w:color="auto" w:fill="auto"/>
            <w:noWrap/>
            <w:vAlign w:val="bottom"/>
          </w:tcPr>
          <w:p w14:paraId="6ACA704C" w14:textId="1A9E063F" w:rsidR="004333FA" w:rsidRPr="00205C60" w:rsidRDefault="004333FA" w:rsidP="00984E25">
            <w:pPr>
              <w:ind w:left="-126" w:right="-72"/>
              <w:jc w:val="right"/>
              <w:rPr>
                <w:rFonts w:ascii="Verdana" w:hAnsi="Verdana"/>
                <w:sz w:val="22"/>
                <w:szCs w:val="22"/>
                <w:lang w:val="es-CR"/>
              </w:rPr>
            </w:pPr>
            <w:r w:rsidRPr="00205C60">
              <w:rPr>
                <w:rFonts w:ascii="Verdana" w:hAnsi="Verdana"/>
                <w:sz w:val="22"/>
                <w:szCs w:val="22"/>
              </w:rPr>
              <w:t>(</w:t>
            </w:r>
            <w:r w:rsidR="009C13A3" w:rsidRPr="00205C60">
              <w:rPr>
                <w:rFonts w:ascii="Verdana" w:hAnsi="Verdana"/>
                <w:sz w:val="22"/>
                <w:szCs w:val="22"/>
              </w:rPr>
              <w:t>7</w:t>
            </w:r>
            <w:r w:rsidRPr="00205C60">
              <w:rPr>
                <w:rFonts w:ascii="Verdana" w:hAnsi="Verdana"/>
                <w:sz w:val="22"/>
                <w:szCs w:val="22"/>
              </w:rPr>
              <w:t>.</w:t>
            </w:r>
            <w:r w:rsidR="009C13A3" w:rsidRPr="00205C60">
              <w:rPr>
                <w:rFonts w:ascii="Verdana" w:hAnsi="Verdana"/>
                <w:sz w:val="22"/>
                <w:szCs w:val="22"/>
              </w:rPr>
              <w:t>784</w:t>
            </w:r>
            <w:r w:rsidRPr="00205C60">
              <w:rPr>
                <w:rFonts w:ascii="Verdana" w:hAnsi="Verdana"/>
                <w:sz w:val="22"/>
                <w:szCs w:val="22"/>
              </w:rPr>
              <w:t>.</w:t>
            </w:r>
            <w:r w:rsidR="009C13A3" w:rsidRPr="00205C60">
              <w:rPr>
                <w:rFonts w:ascii="Verdana" w:hAnsi="Verdana"/>
                <w:sz w:val="22"/>
                <w:szCs w:val="22"/>
              </w:rPr>
              <w:t>261</w:t>
            </w:r>
            <w:r w:rsidRPr="00205C60">
              <w:rPr>
                <w:rFonts w:ascii="Verdana" w:hAnsi="Verdana"/>
                <w:sz w:val="22"/>
                <w:szCs w:val="22"/>
              </w:rPr>
              <w:t>)</w:t>
            </w:r>
          </w:p>
        </w:tc>
        <w:tc>
          <w:tcPr>
            <w:tcW w:w="222" w:type="dxa"/>
            <w:tcBorders>
              <w:top w:val="nil"/>
              <w:left w:val="nil"/>
              <w:bottom w:val="nil"/>
              <w:right w:val="nil"/>
            </w:tcBorders>
            <w:shd w:val="clear" w:color="auto" w:fill="auto"/>
          </w:tcPr>
          <w:p w14:paraId="7342F217" w14:textId="77777777" w:rsidR="004333FA" w:rsidRPr="00205C60" w:rsidRDefault="004333FA" w:rsidP="00984E25">
            <w:pPr>
              <w:ind w:left="-126"/>
              <w:jc w:val="right"/>
              <w:rPr>
                <w:rFonts w:ascii="Verdana" w:hAnsi="Verdana"/>
                <w:sz w:val="22"/>
                <w:szCs w:val="22"/>
                <w:lang w:val="es-CR"/>
              </w:rPr>
            </w:pPr>
          </w:p>
        </w:tc>
        <w:tc>
          <w:tcPr>
            <w:tcW w:w="1709" w:type="dxa"/>
            <w:tcBorders>
              <w:top w:val="nil"/>
              <w:left w:val="nil"/>
              <w:bottom w:val="nil"/>
              <w:right w:val="nil"/>
            </w:tcBorders>
            <w:shd w:val="clear" w:color="auto" w:fill="auto"/>
            <w:noWrap/>
            <w:vAlign w:val="bottom"/>
          </w:tcPr>
          <w:p w14:paraId="6A4E5E81" w14:textId="397009B2" w:rsidR="004333FA" w:rsidRPr="00205C60" w:rsidRDefault="004333FA" w:rsidP="00984E25">
            <w:pPr>
              <w:ind w:left="-126" w:right="-72"/>
              <w:jc w:val="right"/>
              <w:rPr>
                <w:rFonts w:ascii="Verdana" w:hAnsi="Verdana"/>
                <w:sz w:val="22"/>
                <w:szCs w:val="22"/>
                <w:lang w:val="es-CR"/>
              </w:rPr>
            </w:pPr>
            <w:r w:rsidRPr="00205C60">
              <w:rPr>
                <w:rFonts w:ascii="Verdana" w:hAnsi="Verdana"/>
                <w:sz w:val="22"/>
                <w:szCs w:val="22"/>
              </w:rPr>
              <w:t>(1</w:t>
            </w:r>
            <w:r w:rsidR="00DA74EA" w:rsidRPr="00205C60">
              <w:rPr>
                <w:rFonts w:ascii="Verdana" w:hAnsi="Verdana"/>
                <w:sz w:val="22"/>
                <w:szCs w:val="22"/>
              </w:rPr>
              <w:t>6</w:t>
            </w:r>
            <w:r w:rsidRPr="00205C60">
              <w:rPr>
                <w:rFonts w:ascii="Verdana" w:hAnsi="Verdana"/>
                <w:sz w:val="22"/>
                <w:szCs w:val="22"/>
              </w:rPr>
              <w:t>4.</w:t>
            </w:r>
            <w:r w:rsidR="00DA74EA" w:rsidRPr="00205C60">
              <w:rPr>
                <w:rFonts w:ascii="Verdana" w:hAnsi="Verdana"/>
                <w:sz w:val="22"/>
                <w:szCs w:val="22"/>
              </w:rPr>
              <w:t>619</w:t>
            </w:r>
            <w:r w:rsidRPr="00205C60">
              <w:rPr>
                <w:rFonts w:ascii="Verdana" w:hAnsi="Verdana"/>
                <w:sz w:val="22"/>
                <w:szCs w:val="22"/>
              </w:rPr>
              <w:t>.</w:t>
            </w:r>
            <w:r w:rsidR="00DA74EA" w:rsidRPr="00205C60">
              <w:rPr>
                <w:rFonts w:ascii="Verdana" w:hAnsi="Verdana"/>
                <w:sz w:val="22"/>
                <w:szCs w:val="22"/>
              </w:rPr>
              <w:t>052</w:t>
            </w:r>
            <w:r w:rsidRPr="00205C60">
              <w:rPr>
                <w:rFonts w:ascii="Verdana" w:hAnsi="Verdana"/>
                <w:sz w:val="22"/>
                <w:szCs w:val="22"/>
              </w:rPr>
              <w:t>)</w:t>
            </w:r>
          </w:p>
        </w:tc>
      </w:tr>
      <w:tr w:rsidR="009C13A3" w:rsidRPr="00205C60" w14:paraId="166B18A9" w14:textId="77777777" w:rsidTr="009C13A3">
        <w:trPr>
          <w:trHeight w:val="78"/>
        </w:trPr>
        <w:tc>
          <w:tcPr>
            <w:tcW w:w="3690" w:type="dxa"/>
            <w:tcBorders>
              <w:top w:val="nil"/>
              <w:left w:val="nil"/>
              <w:bottom w:val="nil"/>
              <w:right w:val="nil"/>
            </w:tcBorders>
            <w:shd w:val="clear" w:color="auto" w:fill="auto"/>
            <w:noWrap/>
            <w:vAlign w:val="bottom"/>
            <w:hideMark/>
          </w:tcPr>
          <w:p w14:paraId="348B6D2E" w14:textId="77777777" w:rsidR="009C13A3" w:rsidRPr="00205C60" w:rsidRDefault="009C13A3" w:rsidP="009C13A3">
            <w:pPr>
              <w:ind w:left="612" w:right="-156" w:hanging="540"/>
              <w:rPr>
                <w:rFonts w:ascii="Verdana" w:hAnsi="Verdana"/>
                <w:sz w:val="22"/>
                <w:szCs w:val="22"/>
                <w:lang w:val="es-CR"/>
              </w:rPr>
            </w:pPr>
            <w:r w:rsidRPr="00205C60">
              <w:rPr>
                <w:rFonts w:ascii="Verdana" w:hAnsi="Verdana"/>
                <w:sz w:val="22"/>
                <w:szCs w:val="22"/>
                <w:lang w:val="es-CR"/>
              </w:rPr>
              <w:lastRenderedPageBreak/>
              <w:t>Cuentas por pagar</w:t>
            </w:r>
          </w:p>
        </w:tc>
        <w:tc>
          <w:tcPr>
            <w:tcW w:w="370" w:type="dxa"/>
            <w:tcBorders>
              <w:top w:val="nil"/>
              <w:left w:val="nil"/>
              <w:bottom w:val="nil"/>
              <w:right w:val="nil"/>
            </w:tcBorders>
            <w:shd w:val="clear" w:color="auto" w:fill="auto"/>
            <w:noWrap/>
            <w:vAlign w:val="bottom"/>
            <w:hideMark/>
          </w:tcPr>
          <w:p w14:paraId="63E8518E" w14:textId="77777777" w:rsidR="009C13A3" w:rsidRPr="00205C60" w:rsidRDefault="009C13A3" w:rsidP="009C13A3">
            <w:pPr>
              <w:rPr>
                <w:rFonts w:ascii="Verdana" w:hAnsi="Verdana"/>
                <w:sz w:val="22"/>
                <w:szCs w:val="22"/>
                <w:lang w:val="es-CR"/>
              </w:rPr>
            </w:pPr>
          </w:p>
        </w:tc>
        <w:tc>
          <w:tcPr>
            <w:tcW w:w="2115" w:type="dxa"/>
            <w:tcBorders>
              <w:top w:val="nil"/>
              <w:left w:val="nil"/>
              <w:bottom w:val="nil"/>
              <w:right w:val="nil"/>
            </w:tcBorders>
            <w:shd w:val="clear" w:color="auto" w:fill="auto"/>
            <w:noWrap/>
            <w:vAlign w:val="bottom"/>
          </w:tcPr>
          <w:p w14:paraId="628D983D" w14:textId="62791DF7" w:rsidR="009C13A3" w:rsidRPr="00205C60" w:rsidRDefault="009C13A3" w:rsidP="009C13A3">
            <w:pPr>
              <w:jc w:val="right"/>
              <w:rPr>
                <w:rFonts w:ascii="Verdana" w:hAnsi="Verdana"/>
                <w:color w:val="000000"/>
                <w:sz w:val="22"/>
                <w:szCs w:val="22"/>
                <w:lang w:val="es-US"/>
              </w:rPr>
            </w:pPr>
            <w:r w:rsidRPr="00205C60">
              <w:rPr>
                <w:rFonts w:ascii="Verdana" w:hAnsi="Verdana"/>
                <w:color w:val="000000"/>
                <w:sz w:val="22"/>
                <w:szCs w:val="22"/>
                <w:lang w:val="es-US"/>
              </w:rPr>
              <w:t>(17.438.453)</w:t>
            </w:r>
          </w:p>
        </w:tc>
        <w:tc>
          <w:tcPr>
            <w:tcW w:w="222" w:type="dxa"/>
            <w:tcBorders>
              <w:top w:val="nil"/>
              <w:left w:val="nil"/>
              <w:bottom w:val="nil"/>
              <w:right w:val="nil"/>
            </w:tcBorders>
            <w:shd w:val="clear" w:color="auto" w:fill="auto"/>
          </w:tcPr>
          <w:p w14:paraId="6D164C53" w14:textId="77777777" w:rsidR="009C13A3" w:rsidRPr="00205C60" w:rsidRDefault="009C13A3" w:rsidP="009C13A3">
            <w:pPr>
              <w:ind w:left="-126"/>
              <w:jc w:val="right"/>
              <w:rPr>
                <w:rFonts w:ascii="Verdana" w:hAnsi="Verdana"/>
                <w:sz w:val="22"/>
                <w:szCs w:val="22"/>
                <w:lang w:val="es-CR"/>
              </w:rPr>
            </w:pPr>
          </w:p>
        </w:tc>
        <w:tc>
          <w:tcPr>
            <w:tcW w:w="1569" w:type="dxa"/>
            <w:tcBorders>
              <w:top w:val="nil"/>
              <w:left w:val="nil"/>
              <w:bottom w:val="nil"/>
              <w:right w:val="nil"/>
            </w:tcBorders>
            <w:shd w:val="clear" w:color="auto" w:fill="auto"/>
            <w:noWrap/>
            <w:vAlign w:val="bottom"/>
          </w:tcPr>
          <w:p w14:paraId="0B7B0923" w14:textId="77FB7CC3" w:rsidR="009C13A3" w:rsidRPr="00205C60" w:rsidRDefault="009C13A3" w:rsidP="009C13A3">
            <w:pPr>
              <w:ind w:left="-126" w:right="-72"/>
              <w:jc w:val="center"/>
              <w:rPr>
                <w:rFonts w:ascii="Verdana" w:hAnsi="Verdana"/>
                <w:sz w:val="22"/>
                <w:szCs w:val="22"/>
                <w:lang w:val="es-CR"/>
              </w:rPr>
            </w:pPr>
            <w:r w:rsidRPr="00205C60">
              <w:rPr>
                <w:rFonts w:ascii="Verdana" w:hAnsi="Verdana"/>
                <w:sz w:val="22"/>
                <w:szCs w:val="22"/>
              </w:rPr>
              <w:t xml:space="preserve">  (1.004.633)</w:t>
            </w:r>
          </w:p>
        </w:tc>
        <w:tc>
          <w:tcPr>
            <w:tcW w:w="222" w:type="dxa"/>
            <w:tcBorders>
              <w:top w:val="nil"/>
              <w:left w:val="nil"/>
              <w:bottom w:val="nil"/>
              <w:right w:val="nil"/>
            </w:tcBorders>
            <w:shd w:val="clear" w:color="auto" w:fill="auto"/>
          </w:tcPr>
          <w:p w14:paraId="0A1A364C" w14:textId="77777777" w:rsidR="009C13A3" w:rsidRPr="00205C60" w:rsidRDefault="009C13A3" w:rsidP="009C13A3">
            <w:pPr>
              <w:ind w:left="-126"/>
              <w:jc w:val="right"/>
              <w:rPr>
                <w:rFonts w:ascii="Verdana" w:hAnsi="Verdana"/>
                <w:sz w:val="22"/>
                <w:szCs w:val="22"/>
                <w:lang w:val="es-CR"/>
              </w:rPr>
            </w:pPr>
          </w:p>
        </w:tc>
        <w:tc>
          <w:tcPr>
            <w:tcW w:w="1709" w:type="dxa"/>
            <w:tcBorders>
              <w:top w:val="nil"/>
              <w:left w:val="nil"/>
              <w:bottom w:val="nil"/>
              <w:right w:val="nil"/>
            </w:tcBorders>
            <w:shd w:val="clear" w:color="auto" w:fill="auto"/>
            <w:noWrap/>
            <w:vAlign w:val="bottom"/>
          </w:tcPr>
          <w:p w14:paraId="2AA1A607" w14:textId="71C82B69" w:rsidR="009C13A3" w:rsidRPr="00205C60" w:rsidRDefault="009C13A3" w:rsidP="009C13A3">
            <w:pPr>
              <w:ind w:left="-126" w:right="-72"/>
              <w:jc w:val="right"/>
              <w:rPr>
                <w:rFonts w:ascii="Verdana" w:hAnsi="Verdana"/>
                <w:sz w:val="22"/>
                <w:szCs w:val="22"/>
                <w:lang w:val="es-CR"/>
              </w:rPr>
            </w:pPr>
            <w:r w:rsidRPr="00205C60">
              <w:rPr>
                <w:rFonts w:ascii="Verdana" w:hAnsi="Verdana"/>
                <w:sz w:val="22"/>
                <w:szCs w:val="22"/>
              </w:rPr>
              <w:t>(</w:t>
            </w:r>
            <w:r w:rsidR="000D6A93" w:rsidRPr="00205C60">
              <w:rPr>
                <w:rFonts w:ascii="Verdana" w:hAnsi="Verdana"/>
                <w:sz w:val="22"/>
                <w:szCs w:val="22"/>
              </w:rPr>
              <w:t>1</w:t>
            </w:r>
            <w:r w:rsidR="00DA74EA" w:rsidRPr="00205C60">
              <w:rPr>
                <w:rFonts w:ascii="Verdana" w:hAnsi="Verdana"/>
                <w:sz w:val="22"/>
                <w:szCs w:val="22"/>
              </w:rPr>
              <w:t>8</w:t>
            </w:r>
            <w:r w:rsidRPr="00205C60">
              <w:rPr>
                <w:rFonts w:ascii="Verdana" w:hAnsi="Verdana"/>
                <w:sz w:val="22"/>
                <w:szCs w:val="22"/>
              </w:rPr>
              <w:t>.</w:t>
            </w:r>
            <w:r w:rsidR="0060011D" w:rsidRPr="00205C60">
              <w:rPr>
                <w:rFonts w:ascii="Verdana" w:hAnsi="Verdana"/>
                <w:sz w:val="22"/>
                <w:szCs w:val="22"/>
              </w:rPr>
              <w:t>443</w:t>
            </w:r>
            <w:r w:rsidRPr="00205C60">
              <w:rPr>
                <w:rFonts w:ascii="Verdana" w:hAnsi="Verdana"/>
                <w:sz w:val="22"/>
                <w:szCs w:val="22"/>
              </w:rPr>
              <w:t>.</w:t>
            </w:r>
            <w:r w:rsidR="0060011D" w:rsidRPr="00205C60">
              <w:rPr>
                <w:rFonts w:ascii="Verdana" w:hAnsi="Verdana"/>
                <w:sz w:val="22"/>
                <w:szCs w:val="22"/>
              </w:rPr>
              <w:t>086</w:t>
            </w:r>
            <w:r w:rsidRPr="00205C60">
              <w:rPr>
                <w:rFonts w:ascii="Verdana" w:hAnsi="Verdana"/>
                <w:sz w:val="22"/>
                <w:szCs w:val="22"/>
              </w:rPr>
              <w:t>)</w:t>
            </w:r>
          </w:p>
        </w:tc>
      </w:tr>
      <w:tr w:rsidR="009C13A3" w:rsidRPr="00205C60" w14:paraId="597744DC" w14:textId="77777777" w:rsidTr="009C13A3">
        <w:trPr>
          <w:trHeight w:val="78"/>
        </w:trPr>
        <w:tc>
          <w:tcPr>
            <w:tcW w:w="3690" w:type="dxa"/>
            <w:tcBorders>
              <w:top w:val="nil"/>
              <w:left w:val="nil"/>
              <w:bottom w:val="nil"/>
              <w:right w:val="nil"/>
            </w:tcBorders>
            <w:shd w:val="clear" w:color="auto" w:fill="auto"/>
            <w:noWrap/>
            <w:vAlign w:val="bottom"/>
          </w:tcPr>
          <w:p w14:paraId="259DD520" w14:textId="77777777" w:rsidR="009C13A3" w:rsidRPr="00205C60" w:rsidRDefault="009C13A3" w:rsidP="009C13A3">
            <w:pPr>
              <w:ind w:left="612" w:right="-156" w:hanging="540"/>
              <w:rPr>
                <w:rFonts w:ascii="Verdana" w:hAnsi="Verdana"/>
                <w:sz w:val="22"/>
                <w:szCs w:val="22"/>
                <w:lang w:val="es-CR"/>
              </w:rPr>
            </w:pPr>
            <w:r w:rsidRPr="00205C60">
              <w:rPr>
                <w:rFonts w:ascii="Verdana" w:hAnsi="Verdana"/>
                <w:sz w:val="22"/>
                <w:szCs w:val="22"/>
                <w:lang w:val="es-CR"/>
              </w:rPr>
              <w:t>Pasivos de los contratos -Depósitos en garantía recibidos por servicios</w:t>
            </w:r>
          </w:p>
        </w:tc>
        <w:tc>
          <w:tcPr>
            <w:tcW w:w="370" w:type="dxa"/>
            <w:tcBorders>
              <w:top w:val="nil"/>
              <w:left w:val="nil"/>
              <w:bottom w:val="nil"/>
              <w:right w:val="nil"/>
            </w:tcBorders>
            <w:shd w:val="clear" w:color="auto" w:fill="auto"/>
            <w:noWrap/>
            <w:vAlign w:val="bottom"/>
          </w:tcPr>
          <w:p w14:paraId="3305FC46" w14:textId="77777777" w:rsidR="009C13A3" w:rsidRPr="00205C60" w:rsidRDefault="009C13A3" w:rsidP="009C13A3">
            <w:pPr>
              <w:rPr>
                <w:rFonts w:ascii="Verdana" w:hAnsi="Verdana"/>
                <w:sz w:val="22"/>
                <w:szCs w:val="22"/>
                <w:lang w:val="es-CR"/>
              </w:rPr>
            </w:pPr>
          </w:p>
        </w:tc>
        <w:tc>
          <w:tcPr>
            <w:tcW w:w="2115" w:type="dxa"/>
            <w:tcBorders>
              <w:top w:val="nil"/>
              <w:left w:val="nil"/>
              <w:bottom w:val="nil"/>
              <w:right w:val="nil"/>
            </w:tcBorders>
            <w:shd w:val="clear" w:color="auto" w:fill="auto"/>
            <w:noWrap/>
            <w:vAlign w:val="bottom"/>
          </w:tcPr>
          <w:p w14:paraId="07ABE67F" w14:textId="1725B10D" w:rsidR="009C13A3" w:rsidRPr="00205C60" w:rsidRDefault="009C13A3" w:rsidP="009C13A3">
            <w:pPr>
              <w:jc w:val="right"/>
              <w:rPr>
                <w:rFonts w:ascii="Verdana" w:hAnsi="Verdana"/>
                <w:color w:val="000000"/>
                <w:sz w:val="22"/>
                <w:szCs w:val="22"/>
                <w:lang w:val="es-CR"/>
              </w:rPr>
            </w:pPr>
            <w:r w:rsidRPr="00205C60">
              <w:rPr>
                <w:rFonts w:ascii="Verdana" w:hAnsi="Verdana"/>
                <w:color w:val="000000"/>
                <w:sz w:val="22"/>
                <w:szCs w:val="22"/>
                <w:lang w:val="es-US"/>
              </w:rPr>
              <w:t>(23.202.778)</w:t>
            </w:r>
          </w:p>
        </w:tc>
        <w:tc>
          <w:tcPr>
            <w:tcW w:w="222" w:type="dxa"/>
            <w:tcBorders>
              <w:top w:val="nil"/>
              <w:left w:val="nil"/>
              <w:bottom w:val="nil"/>
              <w:right w:val="nil"/>
            </w:tcBorders>
            <w:shd w:val="clear" w:color="auto" w:fill="auto"/>
          </w:tcPr>
          <w:p w14:paraId="68B63A2D" w14:textId="77777777" w:rsidR="009C13A3" w:rsidRPr="00205C60" w:rsidRDefault="009C13A3" w:rsidP="009C13A3">
            <w:pPr>
              <w:ind w:left="-126"/>
              <w:jc w:val="right"/>
              <w:rPr>
                <w:rFonts w:ascii="Verdana" w:hAnsi="Verdana"/>
                <w:sz w:val="22"/>
                <w:szCs w:val="22"/>
                <w:lang w:val="es-CR"/>
              </w:rPr>
            </w:pPr>
          </w:p>
        </w:tc>
        <w:tc>
          <w:tcPr>
            <w:tcW w:w="1569" w:type="dxa"/>
            <w:tcBorders>
              <w:top w:val="nil"/>
              <w:left w:val="nil"/>
              <w:bottom w:val="nil"/>
              <w:right w:val="nil"/>
            </w:tcBorders>
            <w:shd w:val="clear" w:color="auto" w:fill="auto"/>
            <w:noWrap/>
            <w:vAlign w:val="bottom"/>
          </w:tcPr>
          <w:p w14:paraId="31E2B859" w14:textId="77777777" w:rsidR="009C13A3" w:rsidRPr="00205C60" w:rsidRDefault="009C13A3" w:rsidP="00A55F96">
            <w:pPr>
              <w:ind w:left="-126" w:right="-72"/>
              <w:jc w:val="right"/>
              <w:rPr>
                <w:rFonts w:ascii="Verdana" w:hAnsi="Verdana"/>
                <w:sz w:val="22"/>
                <w:szCs w:val="22"/>
                <w:lang w:val="es-CR"/>
              </w:rPr>
            </w:pPr>
            <w:r w:rsidRPr="00205C60">
              <w:rPr>
                <w:rFonts w:ascii="Verdana" w:hAnsi="Verdana"/>
                <w:color w:val="000000"/>
                <w:sz w:val="22"/>
                <w:szCs w:val="22"/>
                <w:lang w:val="es-US"/>
              </w:rPr>
              <w:t>-</w:t>
            </w:r>
          </w:p>
        </w:tc>
        <w:tc>
          <w:tcPr>
            <w:tcW w:w="222" w:type="dxa"/>
            <w:tcBorders>
              <w:top w:val="nil"/>
              <w:left w:val="nil"/>
              <w:bottom w:val="nil"/>
              <w:right w:val="nil"/>
            </w:tcBorders>
            <w:shd w:val="clear" w:color="auto" w:fill="auto"/>
          </w:tcPr>
          <w:p w14:paraId="61C70CAA" w14:textId="77777777" w:rsidR="009C13A3" w:rsidRPr="00205C60" w:rsidRDefault="009C13A3" w:rsidP="009C13A3">
            <w:pPr>
              <w:ind w:left="-126"/>
              <w:jc w:val="right"/>
              <w:rPr>
                <w:rFonts w:ascii="Verdana" w:hAnsi="Verdana"/>
                <w:sz w:val="22"/>
                <w:szCs w:val="22"/>
                <w:lang w:val="es-CR"/>
              </w:rPr>
            </w:pPr>
          </w:p>
        </w:tc>
        <w:tc>
          <w:tcPr>
            <w:tcW w:w="1709" w:type="dxa"/>
            <w:tcBorders>
              <w:top w:val="nil"/>
              <w:left w:val="nil"/>
              <w:bottom w:val="nil"/>
              <w:right w:val="nil"/>
            </w:tcBorders>
            <w:shd w:val="clear" w:color="auto" w:fill="auto"/>
            <w:noWrap/>
            <w:vAlign w:val="bottom"/>
          </w:tcPr>
          <w:p w14:paraId="2C3DC9E6" w14:textId="473AA795" w:rsidR="009C13A3" w:rsidRPr="00205C60" w:rsidRDefault="009C13A3" w:rsidP="009C13A3">
            <w:pPr>
              <w:ind w:left="-126" w:right="-72"/>
              <w:jc w:val="right"/>
              <w:rPr>
                <w:rFonts w:ascii="Verdana" w:hAnsi="Verdana"/>
                <w:sz w:val="22"/>
                <w:szCs w:val="22"/>
                <w:lang w:val="es-CR"/>
              </w:rPr>
            </w:pPr>
            <w:r w:rsidRPr="00205C60">
              <w:rPr>
                <w:rFonts w:ascii="Verdana" w:hAnsi="Verdana"/>
                <w:color w:val="000000"/>
                <w:sz w:val="22"/>
                <w:szCs w:val="22"/>
                <w:lang w:val="es-US"/>
              </w:rPr>
              <w:t>(2</w:t>
            </w:r>
            <w:r w:rsidR="007B5B29" w:rsidRPr="00205C60">
              <w:rPr>
                <w:rFonts w:ascii="Verdana" w:hAnsi="Verdana"/>
                <w:color w:val="000000"/>
                <w:sz w:val="22"/>
                <w:szCs w:val="22"/>
                <w:lang w:val="es-US"/>
              </w:rPr>
              <w:t>3</w:t>
            </w:r>
            <w:r w:rsidRPr="00205C60">
              <w:rPr>
                <w:rFonts w:ascii="Verdana" w:hAnsi="Verdana"/>
                <w:color w:val="000000"/>
                <w:sz w:val="22"/>
                <w:szCs w:val="22"/>
                <w:lang w:val="es-US"/>
              </w:rPr>
              <w:t>.</w:t>
            </w:r>
            <w:r w:rsidR="007B5B29" w:rsidRPr="00205C60">
              <w:rPr>
                <w:rFonts w:ascii="Verdana" w:hAnsi="Verdana"/>
                <w:color w:val="000000"/>
                <w:sz w:val="22"/>
                <w:szCs w:val="22"/>
                <w:lang w:val="es-US"/>
              </w:rPr>
              <w:t>202</w:t>
            </w:r>
            <w:r w:rsidRPr="00205C60">
              <w:rPr>
                <w:rFonts w:ascii="Verdana" w:hAnsi="Verdana"/>
                <w:color w:val="000000"/>
                <w:sz w:val="22"/>
                <w:szCs w:val="22"/>
                <w:lang w:val="es-US"/>
              </w:rPr>
              <w:t>.</w:t>
            </w:r>
            <w:r w:rsidR="007B5B29" w:rsidRPr="00205C60">
              <w:rPr>
                <w:rFonts w:ascii="Verdana" w:hAnsi="Verdana"/>
                <w:color w:val="000000"/>
                <w:sz w:val="22"/>
                <w:szCs w:val="22"/>
                <w:lang w:val="es-US"/>
              </w:rPr>
              <w:t>778</w:t>
            </w:r>
            <w:r w:rsidRPr="00205C60">
              <w:rPr>
                <w:rFonts w:ascii="Verdana" w:hAnsi="Verdana"/>
                <w:color w:val="000000"/>
                <w:sz w:val="22"/>
                <w:szCs w:val="22"/>
                <w:lang w:val="es-US"/>
              </w:rPr>
              <w:t>)</w:t>
            </w:r>
          </w:p>
        </w:tc>
      </w:tr>
      <w:tr w:rsidR="009C13A3" w:rsidRPr="00205C60" w14:paraId="62304540" w14:textId="77777777" w:rsidTr="009C13A3">
        <w:trPr>
          <w:trHeight w:val="287"/>
        </w:trPr>
        <w:tc>
          <w:tcPr>
            <w:tcW w:w="3690" w:type="dxa"/>
            <w:tcBorders>
              <w:top w:val="nil"/>
              <w:left w:val="nil"/>
              <w:bottom w:val="nil"/>
              <w:right w:val="nil"/>
            </w:tcBorders>
            <w:shd w:val="clear" w:color="auto" w:fill="auto"/>
            <w:noWrap/>
            <w:vAlign w:val="bottom"/>
            <w:hideMark/>
          </w:tcPr>
          <w:p w14:paraId="4F9990A0" w14:textId="77777777" w:rsidR="009C13A3" w:rsidRPr="00205C60" w:rsidRDefault="009C13A3" w:rsidP="009C13A3">
            <w:pPr>
              <w:ind w:left="792" w:right="-156" w:hanging="720"/>
              <w:rPr>
                <w:rFonts w:ascii="Verdana" w:hAnsi="Verdana"/>
                <w:sz w:val="22"/>
                <w:szCs w:val="22"/>
                <w:lang w:val="es-CR"/>
              </w:rPr>
            </w:pPr>
            <w:r w:rsidRPr="00205C60">
              <w:rPr>
                <w:rFonts w:ascii="Verdana" w:hAnsi="Verdana"/>
                <w:sz w:val="22"/>
                <w:szCs w:val="22"/>
                <w:lang w:val="es-CR"/>
              </w:rPr>
              <w:t>Gastos acumulados por pagar y otras cuentas por pagar</w:t>
            </w:r>
          </w:p>
        </w:tc>
        <w:tc>
          <w:tcPr>
            <w:tcW w:w="370" w:type="dxa"/>
            <w:tcBorders>
              <w:top w:val="nil"/>
              <w:left w:val="nil"/>
              <w:bottom w:val="nil"/>
              <w:right w:val="nil"/>
            </w:tcBorders>
            <w:shd w:val="clear" w:color="auto" w:fill="auto"/>
            <w:noWrap/>
            <w:vAlign w:val="bottom"/>
            <w:hideMark/>
          </w:tcPr>
          <w:p w14:paraId="514E28C2" w14:textId="77777777" w:rsidR="009C13A3" w:rsidRPr="00205C60" w:rsidRDefault="009C13A3" w:rsidP="009C13A3">
            <w:pPr>
              <w:rPr>
                <w:rFonts w:ascii="Verdana" w:hAnsi="Verdana"/>
                <w:sz w:val="22"/>
                <w:szCs w:val="22"/>
                <w:lang w:val="es-CR"/>
              </w:rPr>
            </w:pPr>
          </w:p>
        </w:tc>
        <w:tc>
          <w:tcPr>
            <w:tcW w:w="2115" w:type="dxa"/>
            <w:tcBorders>
              <w:top w:val="nil"/>
              <w:left w:val="nil"/>
              <w:bottom w:val="nil"/>
              <w:right w:val="nil"/>
            </w:tcBorders>
            <w:shd w:val="clear" w:color="auto" w:fill="auto"/>
            <w:noWrap/>
            <w:vAlign w:val="bottom"/>
          </w:tcPr>
          <w:p w14:paraId="3E7E8420" w14:textId="7A91B948" w:rsidR="009C13A3" w:rsidRPr="00205C60" w:rsidRDefault="009C13A3" w:rsidP="009C13A3">
            <w:pPr>
              <w:ind w:left="-126" w:right="-72"/>
              <w:jc w:val="right"/>
              <w:rPr>
                <w:rFonts w:ascii="Verdana" w:hAnsi="Verdana"/>
                <w:sz w:val="22"/>
                <w:szCs w:val="22"/>
                <w:lang w:val="es-CR"/>
              </w:rPr>
            </w:pPr>
            <w:r w:rsidRPr="00205C60">
              <w:rPr>
                <w:rFonts w:ascii="Verdana" w:hAnsi="Verdana"/>
                <w:color w:val="000000"/>
                <w:sz w:val="22"/>
                <w:szCs w:val="22"/>
                <w:lang w:val="es-US"/>
              </w:rPr>
              <w:t>(2.389.032)</w:t>
            </w:r>
          </w:p>
        </w:tc>
        <w:tc>
          <w:tcPr>
            <w:tcW w:w="222" w:type="dxa"/>
            <w:tcBorders>
              <w:top w:val="nil"/>
              <w:left w:val="nil"/>
              <w:bottom w:val="nil"/>
              <w:right w:val="nil"/>
            </w:tcBorders>
            <w:shd w:val="clear" w:color="auto" w:fill="auto"/>
          </w:tcPr>
          <w:p w14:paraId="169F9DD0" w14:textId="77777777" w:rsidR="009C13A3" w:rsidRPr="00205C60" w:rsidRDefault="009C13A3" w:rsidP="009C13A3">
            <w:pPr>
              <w:ind w:left="-126"/>
              <w:jc w:val="right"/>
              <w:rPr>
                <w:rFonts w:ascii="Verdana" w:hAnsi="Verdana"/>
                <w:sz w:val="22"/>
                <w:szCs w:val="22"/>
                <w:lang w:val="es-CR"/>
              </w:rPr>
            </w:pPr>
          </w:p>
        </w:tc>
        <w:tc>
          <w:tcPr>
            <w:tcW w:w="1569" w:type="dxa"/>
            <w:tcBorders>
              <w:top w:val="nil"/>
              <w:left w:val="nil"/>
              <w:bottom w:val="nil"/>
              <w:right w:val="nil"/>
            </w:tcBorders>
            <w:shd w:val="clear" w:color="auto" w:fill="auto"/>
            <w:noWrap/>
            <w:vAlign w:val="bottom"/>
          </w:tcPr>
          <w:p w14:paraId="0475F468" w14:textId="0E600764" w:rsidR="009C13A3" w:rsidRPr="00205C60" w:rsidRDefault="009C13A3" w:rsidP="009C13A3">
            <w:pPr>
              <w:ind w:left="-126"/>
              <w:jc w:val="right"/>
              <w:rPr>
                <w:rFonts w:ascii="Verdana" w:hAnsi="Verdana"/>
                <w:sz w:val="22"/>
                <w:szCs w:val="22"/>
                <w:lang w:val="es-CR"/>
              </w:rPr>
            </w:pPr>
            <w:r w:rsidRPr="00205C60">
              <w:rPr>
                <w:rFonts w:ascii="Verdana" w:hAnsi="Verdana"/>
                <w:color w:val="000000"/>
                <w:sz w:val="22"/>
                <w:szCs w:val="22"/>
                <w:lang w:val="es-US"/>
              </w:rPr>
              <w:t>(</w:t>
            </w:r>
            <w:r w:rsidR="004451A4" w:rsidRPr="00205C60">
              <w:rPr>
                <w:rFonts w:ascii="Verdana" w:hAnsi="Verdana"/>
                <w:color w:val="000000"/>
                <w:sz w:val="22"/>
                <w:szCs w:val="22"/>
                <w:lang w:val="es-US"/>
              </w:rPr>
              <w:t>20</w:t>
            </w:r>
            <w:r w:rsidRPr="00205C60">
              <w:rPr>
                <w:rFonts w:ascii="Verdana" w:hAnsi="Verdana"/>
                <w:color w:val="000000"/>
                <w:sz w:val="22"/>
                <w:szCs w:val="22"/>
                <w:lang w:val="es-US"/>
              </w:rPr>
              <w:t>.</w:t>
            </w:r>
            <w:r w:rsidR="004451A4" w:rsidRPr="00205C60">
              <w:rPr>
                <w:rFonts w:ascii="Verdana" w:hAnsi="Verdana"/>
                <w:color w:val="000000"/>
                <w:sz w:val="22"/>
                <w:szCs w:val="22"/>
                <w:lang w:val="es-US"/>
              </w:rPr>
              <w:t>320</w:t>
            </w:r>
            <w:r w:rsidRPr="00205C60">
              <w:rPr>
                <w:rFonts w:ascii="Verdana" w:hAnsi="Verdana"/>
                <w:color w:val="000000"/>
                <w:sz w:val="22"/>
                <w:szCs w:val="22"/>
                <w:lang w:val="es-US"/>
              </w:rPr>
              <w:t>)</w:t>
            </w:r>
          </w:p>
        </w:tc>
        <w:tc>
          <w:tcPr>
            <w:tcW w:w="222" w:type="dxa"/>
            <w:tcBorders>
              <w:top w:val="nil"/>
              <w:left w:val="nil"/>
              <w:bottom w:val="nil"/>
              <w:right w:val="nil"/>
            </w:tcBorders>
            <w:shd w:val="clear" w:color="auto" w:fill="auto"/>
          </w:tcPr>
          <w:p w14:paraId="3C2DE3F7" w14:textId="77777777" w:rsidR="009C13A3" w:rsidRPr="00205C60" w:rsidRDefault="009C13A3" w:rsidP="009C13A3">
            <w:pPr>
              <w:ind w:left="-126"/>
              <w:jc w:val="right"/>
              <w:rPr>
                <w:rFonts w:ascii="Verdana" w:hAnsi="Verdana"/>
                <w:sz w:val="22"/>
                <w:szCs w:val="22"/>
                <w:lang w:val="es-CR"/>
              </w:rPr>
            </w:pPr>
          </w:p>
        </w:tc>
        <w:tc>
          <w:tcPr>
            <w:tcW w:w="1709" w:type="dxa"/>
            <w:tcBorders>
              <w:top w:val="nil"/>
              <w:left w:val="nil"/>
              <w:bottom w:val="nil"/>
              <w:right w:val="nil"/>
            </w:tcBorders>
            <w:shd w:val="clear" w:color="auto" w:fill="auto"/>
            <w:noWrap/>
            <w:vAlign w:val="bottom"/>
          </w:tcPr>
          <w:p w14:paraId="478F5EAF" w14:textId="002526ED" w:rsidR="009C13A3" w:rsidRPr="00205C60" w:rsidRDefault="009C13A3" w:rsidP="009C13A3">
            <w:pPr>
              <w:ind w:left="-126" w:right="-72"/>
              <w:jc w:val="right"/>
              <w:rPr>
                <w:rFonts w:ascii="Verdana" w:hAnsi="Verdana"/>
                <w:sz w:val="22"/>
                <w:szCs w:val="22"/>
                <w:lang w:val="es-CR"/>
              </w:rPr>
            </w:pPr>
            <w:r w:rsidRPr="00205C60">
              <w:rPr>
                <w:rFonts w:ascii="Verdana" w:hAnsi="Verdana"/>
                <w:color w:val="000000"/>
                <w:sz w:val="22"/>
                <w:szCs w:val="22"/>
                <w:lang w:val="es-US"/>
              </w:rPr>
              <w:t>(2.</w:t>
            </w:r>
            <w:r w:rsidR="007B5B29" w:rsidRPr="00205C60">
              <w:rPr>
                <w:rFonts w:ascii="Verdana" w:hAnsi="Verdana"/>
                <w:color w:val="000000"/>
                <w:sz w:val="22"/>
                <w:szCs w:val="22"/>
                <w:lang w:val="es-US"/>
              </w:rPr>
              <w:t>409</w:t>
            </w:r>
            <w:r w:rsidRPr="00205C60">
              <w:rPr>
                <w:rFonts w:ascii="Verdana" w:hAnsi="Verdana"/>
                <w:color w:val="000000"/>
                <w:sz w:val="22"/>
                <w:szCs w:val="22"/>
                <w:lang w:val="es-US"/>
              </w:rPr>
              <w:t>.</w:t>
            </w:r>
            <w:r w:rsidR="007B5B29" w:rsidRPr="00205C60">
              <w:rPr>
                <w:rFonts w:ascii="Verdana" w:hAnsi="Verdana"/>
                <w:color w:val="000000"/>
                <w:sz w:val="22"/>
                <w:szCs w:val="22"/>
                <w:lang w:val="es-US"/>
              </w:rPr>
              <w:t>352</w:t>
            </w:r>
            <w:r w:rsidRPr="00205C60">
              <w:rPr>
                <w:rFonts w:ascii="Verdana" w:hAnsi="Verdana"/>
                <w:color w:val="000000"/>
                <w:sz w:val="22"/>
                <w:szCs w:val="22"/>
                <w:lang w:val="es-US"/>
              </w:rPr>
              <w:t>)</w:t>
            </w:r>
          </w:p>
        </w:tc>
      </w:tr>
      <w:tr w:rsidR="009C13A3" w:rsidRPr="00205C60" w14:paraId="03073E6D" w14:textId="77777777" w:rsidTr="009C13A3">
        <w:trPr>
          <w:trHeight w:val="69"/>
        </w:trPr>
        <w:tc>
          <w:tcPr>
            <w:tcW w:w="3690" w:type="dxa"/>
            <w:tcBorders>
              <w:top w:val="nil"/>
              <w:left w:val="nil"/>
              <w:bottom w:val="nil"/>
              <w:right w:val="nil"/>
            </w:tcBorders>
            <w:shd w:val="clear" w:color="auto" w:fill="auto"/>
            <w:noWrap/>
            <w:vAlign w:val="bottom"/>
            <w:hideMark/>
          </w:tcPr>
          <w:p w14:paraId="70DD94BE" w14:textId="77777777" w:rsidR="009C13A3" w:rsidRPr="00205C60" w:rsidRDefault="009C13A3" w:rsidP="009C13A3">
            <w:pPr>
              <w:ind w:right="-156" w:firstLineChars="330" w:firstLine="726"/>
              <w:rPr>
                <w:rFonts w:ascii="Verdana" w:hAnsi="Verdana"/>
                <w:color w:val="000000"/>
                <w:sz w:val="22"/>
                <w:szCs w:val="22"/>
                <w:lang w:val="es-CR"/>
              </w:rPr>
            </w:pPr>
            <w:r w:rsidRPr="00205C60">
              <w:rPr>
                <w:rFonts w:ascii="Verdana" w:hAnsi="Verdana"/>
                <w:color w:val="000000"/>
                <w:sz w:val="22"/>
                <w:szCs w:val="22"/>
                <w:lang w:val="es-CR"/>
              </w:rPr>
              <w:t>Exposición del balance</w:t>
            </w:r>
          </w:p>
        </w:tc>
        <w:tc>
          <w:tcPr>
            <w:tcW w:w="370" w:type="dxa"/>
            <w:tcBorders>
              <w:top w:val="nil"/>
              <w:left w:val="nil"/>
              <w:bottom w:val="nil"/>
              <w:right w:val="nil"/>
            </w:tcBorders>
            <w:shd w:val="clear" w:color="auto" w:fill="auto"/>
            <w:noWrap/>
            <w:vAlign w:val="bottom"/>
            <w:hideMark/>
          </w:tcPr>
          <w:p w14:paraId="7FA03DD2" w14:textId="77777777" w:rsidR="009C13A3" w:rsidRPr="00205C60" w:rsidRDefault="009C13A3" w:rsidP="009C13A3">
            <w:pPr>
              <w:jc w:val="center"/>
              <w:rPr>
                <w:rFonts w:ascii="Verdana" w:hAnsi="Verdana"/>
                <w:sz w:val="22"/>
                <w:szCs w:val="22"/>
                <w:lang w:val="es-CR"/>
              </w:rPr>
            </w:pPr>
            <w:r w:rsidRPr="00205C60">
              <w:rPr>
                <w:rFonts w:ascii="Verdana" w:hAnsi="Verdana"/>
                <w:sz w:val="22"/>
                <w:szCs w:val="22"/>
                <w:lang w:val="es-CR"/>
              </w:rPr>
              <w:t>¢</w:t>
            </w:r>
          </w:p>
        </w:tc>
        <w:tc>
          <w:tcPr>
            <w:tcW w:w="2115" w:type="dxa"/>
            <w:tcBorders>
              <w:top w:val="single" w:sz="4" w:space="0" w:color="auto"/>
              <w:left w:val="nil"/>
              <w:bottom w:val="double" w:sz="6" w:space="0" w:color="auto"/>
              <w:right w:val="nil"/>
            </w:tcBorders>
            <w:shd w:val="clear" w:color="auto" w:fill="auto"/>
            <w:noWrap/>
            <w:vAlign w:val="center"/>
          </w:tcPr>
          <w:p w14:paraId="4170AAC8" w14:textId="7A5DF2BE" w:rsidR="009C13A3" w:rsidRPr="00205C60" w:rsidRDefault="009C13A3" w:rsidP="009C13A3">
            <w:pPr>
              <w:ind w:left="-126" w:right="-72"/>
              <w:jc w:val="right"/>
              <w:rPr>
                <w:rFonts w:ascii="Verdana" w:hAnsi="Verdana"/>
                <w:sz w:val="22"/>
                <w:szCs w:val="22"/>
                <w:lang w:val="es-CR"/>
              </w:rPr>
            </w:pPr>
            <w:r w:rsidRPr="00205C60">
              <w:rPr>
                <w:rFonts w:ascii="Verdana" w:hAnsi="Verdana"/>
                <w:color w:val="000000"/>
                <w:sz w:val="22"/>
                <w:szCs w:val="22"/>
                <w:lang w:val="es-US"/>
              </w:rPr>
              <w:t>(153.466.036)</w:t>
            </w:r>
          </w:p>
        </w:tc>
        <w:tc>
          <w:tcPr>
            <w:tcW w:w="222" w:type="dxa"/>
            <w:tcBorders>
              <w:top w:val="nil"/>
              <w:left w:val="nil"/>
              <w:bottom w:val="nil"/>
              <w:right w:val="nil"/>
            </w:tcBorders>
            <w:shd w:val="clear" w:color="auto" w:fill="auto"/>
            <w:vAlign w:val="center"/>
          </w:tcPr>
          <w:p w14:paraId="1A54A07D" w14:textId="77777777" w:rsidR="009C13A3" w:rsidRPr="00205C60" w:rsidRDefault="009C13A3" w:rsidP="009C13A3">
            <w:pPr>
              <w:ind w:left="-126"/>
              <w:jc w:val="right"/>
              <w:rPr>
                <w:rFonts w:ascii="Verdana" w:hAnsi="Verdana"/>
                <w:sz w:val="22"/>
                <w:szCs w:val="22"/>
                <w:lang w:val="es-CR"/>
              </w:rPr>
            </w:pPr>
          </w:p>
        </w:tc>
        <w:tc>
          <w:tcPr>
            <w:tcW w:w="1569" w:type="dxa"/>
            <w:tcBorders>
              <w:top w:val="single" w:sz="4" w:space="0" w:color="auto"/>
              <w:left w:val="nil"/>
              <w:bottom w:val="double" w:sz="6" w:space="0" w:color="auto"/>
              <w:right w:val="nil"/>
            </w:tcBorders>
            <w:shd w:val="clear" w:color="auto" w:fill="auto"/>
            <w:noWrap/>
            <w:vAlign w:val="center"/>
          </w:tcPr>
          <w:p w14:paraId="3B9D891E" w14:textId="16A82DFF" w:rsidR="009C13A3" w:rsidRPr="00205C60" w:rsidRDefault="009C13A3" w:rsidP="009C13A3">
            <w:pPr>
              <w:ind w:left="-126"/>
              <w:jc w:val="right"/>
              <w:rPr>
                <w:rFonts w:ascii="Verdana" w:hAnsi="Verdana"/>
                <w:sz w:val="22"/>
                <w:szCs w:val="22"/>
                <w:lang w:val="es-CR"/>
              </w:rPr>
            </w:pPr>
            <w:r w:rsidRPr="00205C60">
              <w:rPr>
                <w:rFonts w:ascii="Verdana" w:hAnsi="Verdana"/>
                <w:color w:val="000000"/>
                <w:sz w:val="22"/>
                <w:szCs w:val="22"/>
                <w:lang w:val="es-US"/>
              </w:rPr>
              <w:t>(</w:t>
            </w:r>
            <w:r w:rsidR="004451A4" w:rsidRPr="00205C60">
              <w:rPr>
                <w:rFonts w:ascii="Verdana" w:hAnsi="Verdana"/>
                <w:color w:val="000000"/>
                <w:sz w:val="22"/>
                <w:szCs w:val="22"/>
                <w:lang w:val="es-US"/>
              </w:rPr>
              <w:t>8</w:t>
            </w:r>
            <w:r w:rsidRPr="00205C60">
              <w:rPr>
                <w:rFonts w:ascii="Verdana" w:hAnsi="Verdana"/>
                <w:color w:val="000000"/>
                <w:sz w:val="22"/>
                <w:szCs w:val="22"/>
                <w:lang w:val="es-US"/>
              </w:rPr>
              <w:t>.</w:t>
            </w:r>
            <w:r w:rsidR="004451A4" w:rsidRPr="00205C60">
              <w:rPr>
                <w:rFonts w:ascii="Verdana" w:hAnsi="Verdana"/>
                <w:color w:val="000000"/>
                <w:sz w:val="22"/>
                <w:szCs w:val="22"/>
                <w:lang w:val="es-US"/>
              </w:rPr>
              <w:t>345</w:t>
            </w:r>
            <w:r w:rsidRPr="00205C60">
              <w:rPr>
                <w:rFonts w:ascii="Verdana" w:hAnsi="Verdana"/>
                <w:color w:val="000000"/>
                <w:sz w:val="22"/>
                <w:szCs w:val="22"/>
                <w:lang w:val="es-US"/>
              </w:rPr>
              <w:t>.</w:t>
            </w:r>
            <w:r w:rsidR="004451A4" w:rsidRPr="00205C60">
              <w:rPr>
                <w:rFonts w:ascii="Verdana" w:hAnsi="Verdana"/>
                <w:color w:val="000000"/>
                <w:sz w:val="22"/>
                <w:szCs w:val="22"/>
                <w:lang w:val="es-US"/>
              </w:rPr>
              <w:t>445</w:t>
            </w:r>
            <w:r w:rsidRPr="00205C60">
              <w:rPr>
                <w:rFonts w:ascii="Verdana" w:hAnsi="Verdana"/>
                <w:color w:val="000000"/>
                <w:sz w:val="22"/>
                <w:szCs w:val="22"/>
                <w:lang w:val="es-US"/>
              </w:rPr>
              <w:t>)</w:t>
            </w:r>
          </w:p>
        </w:tc>
        <w:tc>
          <w:tcPr>
            <w:tcW w:w="222" w:type="dxa"/>
            <w:tcBorders>
              <w:top w:val="nil"/>
              <w:left w:val="nil"/>
              <w:bottom w:val="nil"/>
              <w:right w:val="nil"/>
            </w:tcBorders>
            <w:shd w:val="clear" w:color="auto" w:fill="auto"/>
            <w:vAlign w:val="center"/>
          </w:tcPr>
          <w:p w14:paraId="25A21619" w14:textId="77777777" w:rsidR="009C13A3" w:rsidRPr="00205C60" w:rsidRDefault="009C13A3" w:rsidP="009C13A3">
            <w:pPr>
              <w:ind w:left="-126"/>
              <w:jc w:val="right"/>
              <w:rPr>
                <w:rFonts w:ascii="Verdana" w:hAnsi="Verdana"/>
                <w:sz w:val="22"/>
                <w:szCs w:val="22"/>
                <w:lang w:val="es-CR"/>
              </w:rPr>
            </w:pPr>
          </w:p>
        </w:tc>
        <w:tc>
          <w:tcPr>
            <w:tcW w:w="1709" w:type="dxa"/>
            <w:tcBorders>
              <w:top w:val="single" w:sz="4" w:space="0" w:color="auto"/>
              <w:left w:val="nil"/>
              <w:bottom w:val="double" w:sz="6" w:space="0" w:color="auto"/>
              <w:right w:val="nil"/>
            </w:tcBorders>
            <w:shd w:val="clear" w:color="auto" w:fill="auto"/>
            <w:noWrap/>
            <w:vAlign w:val="center"/>
          </w:tcPr>
          <w:p w14:paraId="56367A86" w14:textId="11D1CB00" w:rsidR="009C13A3" w:rsidRPr="00205C60" w:rsidRDefault="009C13A3" w:rsidP="009C13A3">
            <w:pPr>
              <w:ind w:left="-126" w:right="-94"/>
              <w:jc w:val="right"/>
              <w:rPr>
                <w:rFonts w:ascii="Verdana" w:hAnsi="Verdana"/>
                <w:sz w:val="22"/>
                <w:szCs w:val="22"/>
                <w:lang w:val="es-CR"/>
              </w:rPr>
            </w:pPr>
            <w:r w:rsidRPr="00205C60">
              <w:rPr>
                <w:rFonts w:ascii="Verdana" w:hAnsi="Verdana"/>
                <w:color w:val="000000"/>
                <w:sz w:val="22"/>
                <w:szCs w:val="22"/>
                <w:lang w:val="es-US"/>
              </w:rPr>
              <w:t>(</w:t>
            </w:r>
            <w:r w:rsidR="000D6A93" w:rsidRPr="00205C60">
              <w:rPr>
                <w:rFonts w:ascii="Verdana" w:hAnsi="Verdana"/>
                <w:color w:val="000000"/>
                <w:sz w:val="22"/>
                <w:szCs w:val="22"/>
                <w:lang w:val="es-US"/>
              </w:rPr>
              <w:t>1</w:t>
            </w:r>
            <w:r w:rsidR="007B5B29" w:rsidRPr="00205C60">
              <w:rPr>
                <w:rFonts w:ascii="Verdana" w:hAnsi="Verdana"/>
                <w:color w:val="000000"/>
                <w:sz w:val="22"/>
                <w:szCs w:val="22"/>
                <w:lang w:val="es-US"/>
              </w:rPr>
              <w:t>61</w:t>
            </w:r>
            <w:r w:rsidRPr="00205C60">
              <w:rPr>
                <w:rFonts w:ascii="Verdana" w:hAnsi="Verdana"/>
                <w:color w:val="000000"/>
                <w:sz w:val="22"/>
                <w:szCs w:val="22"/>
                <w:lang w:val="es-US"/>
              </w:rPr>
              <w:t>.</w:t>
            </w:r>
            <w:r w:rsidR="007B5B29" w:rsidRPr="00205C60">
              <w:rPr>
                <w:rFonts w:ascii="Verdana" w:hAnsi="Verdana"/>
                <w:color w:val="000000"/>
                <w:sz w:val="22"/>
                <w:szCs w:val="22"/>
                <w:lang w:val="es-US"/>
              </w:rPr>
              <w:t>811</w:t>
            </w:r>
            <w:r w:rsidRPr="00205C60">
              <w:rPr>
                <w:rFonts w:ascii="Verdana" w:hAnsi="Verdana"/>
                <w:color w:val="000000"/>
                <w:sz w:val="22"/>
                <w:szCs w:val="22"/>
                <w:lang w:val="es-US"/>
              </w:rPr>
              <w:t>.</w:t>
            </w:r>
            <w:r w:rsidR="007B5B29" w:rsidRPr="00205C60">
              <w:rPr>
                <w:rFonts w:ascii="Verdana" w:hAnsi="Verdana"/>
                <w:color w:val="000000"/>
                <w:sz w:val="22"/>
                <w:szCs w:val="22"/>
                <w:lang w:val="es-US"/>
              </w:rPr>
              <w:t>481</w:t>
            </w:r>
            <w:r w:rsidRPr="00205C60">
              <w:rPr>
                <w:rFonts w:ascii="Verdana" w:hAnsi="Verdana"/>
                <w:color w:val="000000"/>
                <w:sz w:val="22"/>
                <w:szCs w:val="22"/>
                <w:lang w:val="es-US"/>
              </w:rPr>
              <w:t>)</w:t>
            </w:r>
          </w:p>
        </w:tc>
      </w:tr>
    </w:tbl>
    <w:p w14:paraId="3CA7EB5B" w14:textId="77777777" w:rsidR="00FD074E" w:rsidRPr="00205C60" w:rsidRDefault="00FD074E" w:rsidP="0098425F">
      <w:pPr>
        <w:tabs>
          <w:tab w:val="left" w:pos="1440"/>
          <w:tab w:val="left" w:pos="5060"/>
        </w:tabs>
        <w:jc w:val="both"/>
        <w:rPr>
          <w:rFonts w:ascii="Verdana" w:hAnsi="Verdana" w:cs="Arial"/>
          <w:sz w:val="22"/>
          <w:szCs w:val="22"/>
          <w:lang w:val="es-CR"/>
        </w:rPr>
      </w:pPr>
    </w:p>
    <w:p w14:paraId="29D39407" w14:textId="77777777" w:rsidR="00B825C2" w:rsidRPr="00205C60" w:rsidRDefault="00B825C2" w:rsidP="0098425F">
      <w:pPr>
        <w:tabs>
          <w:tab w:val="left" w:pos="1440"/>
          <w:tab w:val="left" w:pos="5060"/>
        </w:tabs>
        <w:jc w:val="both"/>
        <w:rPr>
          <w:rFonts w:ascii="Verdana" w:hAnsi="Verdana" w:cs="Arial"/>
          <w:sz w:val="22"/>
          <w:szCs w:val="22"/>
          <w:lang w:val="es-CR"/>
        </w:rPr>
      </w:pPr>
    </w:p>
    <w:tbl>
      <w:tblPr>
        <w:tblW w:w="9595" w:type="dxa"/>
        <w:tblLook w:val="04A0" w:firstRow="1" w:lastRow="0" w:firstColumn="1" w:lastColumn="0" w:noHBand="0" w:noVBand="1"/>
      </w:tblPr>
      <w:tblGrid>
        <w:gridCol w:w="3642"/>
        <w:gridCol w:w="356"/>
        <w:gridCol w:w="1709"/>
        <w:gridCol w:w="222"/>
        <w:gridCol w:w="1707"/>
        <w:gridCol w:w="222"/>
        <w:gridCol w:w="16"/>
        <w:gridCol w:w="1693"/>
        <w:gridCol w:w="28"/>
      </w:tblGrid>
      <w:tr w:rsidR="009D5888" w:rsidRPr="00205C60" w14:paraId="3CA7EB63" w14:textId="77777777" w:rsidTr="00922EE8">
        <w:trPr>
          <w:gridAfter w:val="1"/>
          <w:wAfter w:w="28" w:type="dxa"/>
          <w:trHeight w:val="291"/>
        </w:trPr>
        <w:tc>
          <w:tcPr>
            <w:tcW w:w="3642" w:type="dxa"/>
            <w:tcBorders>
              <w:top w:val="nil"/>
              <w:left w:val="nil"/>
              <w:bottom w:val="nil"/>
              <w:right w:val="nil"/>
            </w:tcBorders>
            <w:shd w:val="clear" w:color="auto" w:fill="auto"/>
            <w:vAlign w:val="bottom"/>
            <w:hideMark/>
          </w:tcPr>
          <w:p w14:paraId="3CA7EB5C" w14:textId="27624A62" w:rsidR="009D5888" w:rsidRPr="00205C60" w:rsidRDefault="009D5888" w:rsidP="00B1483C">
            <w:pPr>
              <w:ind w:left="72"/>
              <w:rPr>
                <w:rFonts w:ascii="Verdana" w:hAnsi="Verdana"/>
                <w:sz w:val="22"/>
                <w:szCs w:val="22"/>
                <w:u w:val="single"/>
                <w:lang w:val="es-CR"/>
              </w:rPr>
            </w:pPr>
            <w:r w:rsidRPr="00205C60">
              <w:rPr>
                <w:rFonts w:ascii="Verdana" w:hAnsi="Verdana"/>
                <w:sz w:val="22"/>
                <w:szCs w:val="22"/>
                <w:u w:val="single"/>
                <w:lang w:val="es-CR"/>
              </w:rPr>
              <w:t>31 de diciembre del 202</w:t>
            </w:r>
            <w:r w:rsidR="009F3671" w:rsidRPr="00205C60">
              <w:rPr>
                <w:rFonts w:ascii="Verdana" w:hAnsi="Verdana"/>
                <w:sz w:val="22"/>
                <w:szCs w:val="22"/>
                <w:u w:val="single"/>
                <w:lang w:val="es-CR"/>
              </w:rPr>
              <w:t>1</w:t>
            </w:r>
          </w:p>
        </w:tc>
        <w:tc>
          <w:tcPr>
            <w:tcW w:w="356" w:type="dxa"/>
            <w:tcBorders>
              <w:top w:val="nil"/>
              <w:left w:val="nil"/>
              <w:bottom w:val="nil"/>
              <w:right w:val="nil"/>
            </w:tcBorders>
            <w:shd w:val="clear" w:color="auto" w:fill="auto"/>
            <w:vAlign w:val="bottom"/>
            <w:hideMark/>
          </w:tcPr>
          <w:p w14:paraId="3CA7EB5D" w14:textId="77777777" w:rsidR="009D5888" w:rsidRPr="00205C60" w:rsidRDefault="009D5888" w:rsidP="00B1483C">
            <w:pPr>
              <w:rPr>
                <w:rFonts w:ascii="Verdana" w:hAnsi="Verdana"/>
                <w:sz w:val="22"/>
                <w:szCs w:val="22"/>
                <w:lang w:val="es-CR"/>
              </w:rPr>
            </w:pPr>
          </w:p>
        </w:tc>
        <w:tc>
          <w:tcPr>
            <w:tcW w:w="1709" w:type="dxa"/>
            <w:tcBorders>
              <w:top w:val="nil"/>
              <w:left w:val="nil"/>
              <w:bottom w:val="nil"/>
              <w:right w:val="nil"/>
            </w:tcBorders>
            <w:shd w:val="clear" w:color="auto" w:fill="auto"/>
            <w:vAlign w:val="bottom"/>
            <w:hideMark/>
          </w:tcPr>
          <w:p w14:paraId="3CA7EB5E" w14:textId="77777777" w:rsidR="009D5888" w:rsidRPr="00205C60" w:rsidRDefault="009D5888" w:rsidP="00B1483C">
            <w:pPr>
              <w:jc w:val="center"/>
              <w:rPr>
                <w:rFonts w:ascii="Verdana" w:hAnsi="Verdana"/>
                <w:sz w:val="22"/>
                <w:szCs w:val="22"/>
                <w:u w:val="single"/>
                <w:lang w:val="es-CR"/>
              </w:rPr>
            </w:pPr>
            <w:r w:rsidRPr="00205C60">
              <w:rPr>
                <w:rFonts w:ascii="Verdana" w:hAnsi="Verdana"/>
                <w:sz w:val="22"/>
                <w:szCs w:val="22"/>
                <w:u w:val="single"/>
                <w:lang w:val="es-CR"/>
              </w:rPr>
              <w:t>Colones</w:t>
            </w:r>
          </w:p>
        </w:tc>
        <w:tc>
          <w:tcPr>
            <w:tcW w:w="222" w:type="dxa"/>
            <w:tcBorders>
              <w:top w:val="nil"/>
              <w:left w:val="nil"/>
              <w:bottom w:val="nil"/>
              <w:right w:val="nil"/>
            </w:tcBorders>
            <w:shd w:val="clear" w:color="auto" w:fill="auto"/>
            <w:hideMark/>
          </w:tcPr>
          <w:p w14:paraId="3CA7EB5F" w14:textId="77777777" w:rsidR="009D5888" w:rsidRPr="00205C60" w:rsidRDefault="009D5888" w:rsidP="00B1483C">
            <w:pPr>
              <w:jc w:val="center"/>
              <w:rPr>
                <w:rFonts w:ascii="Verdana" w:hAnsi="Verdana"/>
                <w:sz w:val="22"/>
                <w:szCs w:val="22"/>
                <w:lang w:val="es-CR"/>
              </w:rPr>
            </w:pPr>
          </w:p>
        </w:tc>
        <w:tc>
          <w:tcPr>
            <w:tcW w:w="1707" w:type="dxa"/>
            <w:tcBorders>
              <w:top w:val="nil"/>
              <w:left w:val="nil"/>
              <w:bottom w:val="nil"/>
              <w:right w:val="nil"/>
            </w:tcBorders>
            <w:shd w:val="clear" w:color="auto" w:fill="auto"/>
            <w:vAlign w:val="bottom"/>
            <w:hideMark/>
          </w:tcPr>
          <w:p w14:paraId="3CA7EB60" w14:textId="77777777" w:rsidR="009D5888" w:rsidRPr="00205C60" w:rsidRDefault="009D5888" w:rsidP="00B1483C">
            <w:pPr>
              <w:jc w:val="center"/>
              <w:rPr>
                <w:rFonts w:ascii="Verdana" w:hAnsi="Verdana"/>
                <w:sz w:val="22"/>
                <w:szCs w:val="22"/>
                <w:u w:val="single"/>
                <w:lang w:val="es-CR"/>
              </w:rPr>
            </w:pPr>
            <w:r w:rsidRPr="00205C60">
              <w:rPr>
                <w:rFonts w:ascii="Verdana" w:hAnsi="Verdana"/>
                <w:sz w:val="22"/>
                <w:szCs w:val="22"/>
                <w:u w:val="single"/>
                <w:lang w:val="es-CR"/>
              </w:rPr>
              <w:t>US dólar</w:t>
            </w:r>
          </w:p>
        </w:tc>
        <w:tc>
          <w:tcPr>
            <w:tcW w:w="222" w:type="dxa"/>
            <w:tcBorders>
              <w:top w:val="nil"/>
              <w:left w:val="nil"/>
              <w:bottom w:val="nil"/>
              <w:right w:val="nil"/>
            </w:tcBorders>
            <w:shd w:val="clear" w:color="auto" w:fill="auto"/>
            <w:hideMark/>
          </w:tcPr>
          <w:p w14:paraId="3CA7EB61" w14:textId="77777777" w:rsidR="009D5888" w:rsidRPr="00205C60" w:rsidRDefault="009D5888" w:rsidP="00B1483C">
            <w:pPr>
              <w:jc w:val="center"/>
              <w:rPr>
                <w:rFonts w:ascii="Verdana" w:hAnsi="Verdana"/>
                <w:sz w:val="22"/>
                <w:szCs w:val="22"/>
                <w:lang w:val="es-CR"/>
              </w:rPr>
            </w:pPr>
          </w:p>
        </w:tc>
        <w:tc>
          <w:tcPr>
            <w:tcW w:w="1709" w:type="dxa"/>
            <w:gridSpan w:val="2"/>
            <w:tcBorders>
              <w:top w:val="nil"/>
              <w:left w:val="nil"/>
              <w:bottom w:val="nil"/>
              <w:right w:val="nil"/>
            </w:tcBorders>
            <w:shd w:val="clear" w:color="auto" w:fill="auto"/>
            <w:noWrap/>
            <w:vAlign w:val="bottom"/>
            <w:hideMark/>
          </w:tcPr>
          <w:p w14:paraId="3CA7EB62" w14:textId="77777777" w:rsidR="009D5888" w:rsidRPr="00205C60" w:rsidRDefault="009D5888" w:rsidP="00B1483C">
            <w:pPr>
              <w:jc w:val="center"/>
              <w:rPr>
                <w:rFonts w:ascii="Verdana" w:hAnsi="Verdana"/>
                <w:sz w:val="22"/>
                <w:szCs w:val="22"/>
                <w:u w:val="single"/>
                <w:lang w:val="es-CR"/>
              </w:rPr>
            </w:pPr>
            <w:r w:rsidRPr="00205C60">
              <w:rPr>
                <w:rFonts w:ascii="Verdana" w:hAnsi="Verdana"/>
                <w:sz w:val="22"/>
                <w:szCs w:val="22"/>
                <w:u w:val="single"/>
                <w:lang w:val="es-CR"/>
              </w:rPr>
              <w:t xml:space="preserve">Total </w:t>
            </w:r>
          </w:p>
        </w:tc>
      </w:tr>
      <w:tr w:rsidR="009D5888" w:rsidRPr="00205C60" w14:paraId="3CA7EB6B" w14:textId="77777777" w:rsidTr="00922EE8">
        <w:trPr>
          <w:gridAfter w:val="1"/>
          <w:wAfter w:w="28" w:type="dxa"/>
          <w:trHeight w:val="80"/>
        </w:trPr>
        <w:tc>
          <w:tcPr>
            <w:tcW w:w="3642" w:type="dxa"/>
            <w:tcBorders>
              <w:top w:val="nil"/>
              <w:left w:val="nil"/>
              <w:bottom w:val="nil"/>
              <w:right w:val="nil"/>
            </w:tcBorders>
            <w:shd w:val="clear" w:color="auto" w:fill="auto"/>
            <w:noWrap/>
            <w:vAlign w:val="bottom"/>
            <w:hideMark/>
          </w:tcPr>
          <w:p w14:paraId="3CA7EB64" w14:textId="77777777" w:rsidR="009D5888" w:rsidRPr="00205C60" w:rsidRDefault="009D5888" w:rsidP="00B1483C">
            <w:pPr>
              <w:ind w:left="612" w:right="-156" w:hanging="540"/>
              <w:rPr>
                <w:rFonts w:ascii="Verdana" w:hAnsi="Verdana"/>
                <w:sz w:val="22"/>
                <w:szCs w:val="22"/>
                <w:lang w:val="es-CR"/>
              </w:rPr>
            </w:pPr>
            <w:r w:rsidRPr="00205C60">
              <w:rPr>
                <w:rFonts w:ascii="Verdana" w:hAnsi="Verdana"/>
                <w:sz w:val="22"/>
                <w:szCs w:val="22"/>
                <w:lang w:val="es-CR"/>
              </w:rPr>
              <w:t xml:space="preserve">Efectivo </w:t>
            </w:r>
          </w:p>
        </w:tc>
        <w:tc>
          <w:tcPr>
            <w:tcW w:w="356" w:type="dxa"/>
            <w:tcBorders>
              <w:top w:val="nil"/>
              <w:left w:val="nil"/>
              <w:bottom w:val="nil"/>
              <w:right w:val="nil"/>
            </w:tcBorders>
            <w:shd w:val="clear" w:color="auto" w:fill="auto"/>
            <w:noWrap/>
            <w:vAlign w:val="bottom"/>
            <w:hideMark/>
          </w:tcPr>
          <w:p w14:paraId="3CA7EB65" w14:textId="77777777" w:rsidR="009D5888" w:rsidRPr="00205C60" w:rsidRDefault="009D5888" w:rsidP="00B1483C">
            <w:pPr>
              <w:jc w:val="center"/>
              <w:rPr>
                <w:rFonts w:ascii="Verdana" w:hAnsi="Verdana"/>
                <w:sz w:val="22"/>
                <w:szCs w:val="22"/>
                <w:lang w:val="es-CR"/>
              </w:rPr>
            </w:pPr>
            <w:r w:rsidRPr="00205C60">
              <w:rPr>
                <w:rFonts w:ascii="Verdana" w:hAnsi="Verdana"/>
                <w:sz w:val="22"/>
                <w:szCs w:val="22"/>
                <w:lang w:val="es-CR"/>
              </w:rPr>
              <w:t>¢</w:t>
            </w:r>
          </w:p>
        </w:tc>
        <w:tc>
          <w:tcPr>
            <w:tcW w:w="1709" w:type="dxa"/>
            <w:tcBorders>
              <w:top w:val="nil"/>
              <w:left w:val="nil"/>
              <w:bottom w:val="nil"/>
              <w:right w:val="nil"/>
            </w:tcBorders>
            <w:shd w:val="clear" w:color="auto" w:fill="auto"/>
            <w:noWrap/>
            <w:vAlign w:val="bottom"/>
          </w:tcPr>
          <w:p w14:paraId="3CA7EB66" w14:textId="28E7B4B9" w:rsidR="009D5888" w:rsidRPr="00205C60" w:rsidRDefault="00467583" w:rsidP="00B1483C">
            <w:pPr>
              <w:ind w:left="-126"/>
              <w:jc w:val="right"/>
              <w:rPr>
                <w:rFonts w:ascii="Verdana" w:hAnsi="Verdana"/>
                <w:sz w:val="22"/>
                <w:szCs w:val="22"/>
                <w:lang w:val="es-CR"/>
              </w:rPr>
            </w:pPr>
            <w:r w:rsidRPr="00205C60">
              <w:rPr>
                <w:rFonts w:ascii="Verdana" w:hAnsi="Verdana"/>
                <w:sz w:val="22"/>
                <w:szCs w:val="22"/>
                <w:lang w:val="es-CR"/>
              </w:rPr>
              <w:t>7</w:t>
            </w:r>
            <w:r w:rsidR="009D5888" w:rsidRPr="00205C60">
              <w:rPr>
                <w:rFonts w:ascii="Verdana" w:hAnsi="Verdana"/>
                <w:sz w:val="22"/>
                <w:szCs w:val="22"/>
                <w:lang w:val="es-CR"/>
              </w:rPr>
              <w:t>.</w:t>
            </w:r>
            <w:r w:rsidRPr="00205C60">
              <w:rPr>
                <w:rFonts w:ascii="Verdana" w:hAnsi="Verdana"/>
                <w:sz w:val="22"/>
                <w:szCs w:val="22"/>
                <w:lang w:val="es-CR"/>
              </w:rPr>
              <w:t>532.349</w:t>
            </w:r>
          </w:p>
        </w:tc>
        <w:tc>
          <w:tcPr>
            <w:tcW w:w="222" w:type="dxa"/>
            <w:tcBorders>
              <w:top w:val="nil"/>
              <w:left w:val="nil"/>
              <w:bottom w:val="nil"/>
              <w:right w:val="nil"/>
            </w:tcBorders>
            <w:shd w:val="clear" w:color="auto" w:fill="auto"/>
            <w:vAlign w:val="bottom"/>
          </w:tcPr>
          <w:p w14:paraId="3CA7EB67" w14:textId="77777777" w:rsidR="009D5888" w:rsidRPr="00205C60" w:rsidRDefault="009D5888" w:rsidP="00B1483C">
            <w:pPr>
              <w:ind w:left="-126"/>
              <w:jc w:val="right"/>
              <w:rPr>
                <w:rFonts w:ascii="Verdana" w:hAnsi="Verdana"/>
                <w:sz w:val="22"/>
                <w:szCs w:val="22"/>
                <w:lang w:val="es-CR"/>
              </w:rPr>
            </w:pPr>
          </w:p>
        </w:tc>
        <w:tc>
          <w:tcPr>
            <w:tcW w:w="1707" w:type="dxa"/>
            <w:tcBorders>
              <w:top w:val="nil"/>
              <w:left w:val="nil"/>
              <w:bottom w:val="nil"/>
              <w:right w:val="nil"/>
            </w:tcBorders>
            <w:shd w:val="clear" w:color="auto" w:fill="auto"/>
            <w:noWrap/>
            <w:vAlign w:val="bottom"/>
          </w:tcPr>
          <w:p w14:paraId="3CA7EB68" w14:textId="1123963E" w:rsidR="009D5888" w:rsidRPr="00205C60" w:rsidRDefault="006917EA" w:rsidP="00B1483C">
            <w:pPr>
              <w:ind w:left="-126"/>
              <w:jc w:val="right"/>
              <w:rPr>
                <w:rFonts w:ascii="Verdana" w:hAnsi="Verdana"/>
                <w:sz w:val="22"/>
                <w:szCs w:val="22"/>
                <w:lang w:val="es-CR"/>
              </w:rPr>
            </w:pPr>
            <w:r w:rsidRPr="00205C60">
              <w:rPr>
                <w:rFonts w:ascii="Verdana" w:hAnsi="Verdana"/>
                <w:sz w:val="22"/>
                <w:szCs w:val="22"/>
                <w:lang w:val="es-CR"/>
              </w:rPr>
              <w:t>1.036.611</w:t>
            </w:r>
          </w:p>
        </w:tc>
        <w:tc>
          <w:tcPr>
            <w:tcW w:w="222" w:type="dxa"/>
            <w:tcBorders>
              <w:top w:val="nil"/>
              <w:left w:val="nil"/>
              <w:bottom w:val="nil"/>
              <w:right w:val="nil"/>
            </w:tcBorders>
            <w:shd w:val="clear" w:color="auto" w:fill="auto"/>
            <w:vAlign w:val="bottom"/>
          </w:tcPr>
          <w:p w14:paraId="3CA7EB69" w14:textId="77777777" w:rsidR="009D5888" w:rsidRPr="00205C60" w:rsidRDefault="009D5888" w:rsidP="00B1483C">
            <w:pPr>
              <w:ind w:left="-126"/>
              <w:jc w:val="right"/>
              <w:rPr>
                <w:rFonts w:ascii="Verdana" w:hAnsi="Verdana"/>
                <w:sz w:val="22"/>
                <w:szCs w:val="22"/>
                <w:lang w:val="es-CR"/>
              </w:rPr>
            </w:pPr>
          </w:p>
        </w:tc>
        <w:tc>
          <w:tcPr>
            <w:tcW w:w="1709" w:type="dxa"/>
            <w:gridSpan w:val="2"/>
            <w:tcBorders>
              <w:top w:val="nil"/>
              <w:left w:val="nil"/>
              <w:bottom w:val="nil"/>
              <w:right w:val="nil"/>
            </w:tcBorders>
            <w:shd w:val="clear" w:color="auto" w:fill="auto"/>
            <w:noWrap/>
            <w:vAlign w:val="bottom"/>
          </w:tcPr>
          <w:p w14:paraId="3CA7EB6A" w14:textId="0B6FF2E2" w:rsidR="009D5888" w:rsidRPr="00205C60" w:rsidRDefault="00B20126" w:rsidP="00B1483C">
            <w:pPr>
              <w:ind w:left="-126"/>
              <w:jc w:val="right"/>
              <w:rPr>
                <w:rFonts w:ascii="Verdana" w:hAnsi="Verdana"/>
                <w:sz w:val="22"/>
                <w:szCs w:val="22"/>
                <w:lang w:val="es-CR"/>
              </w:rPr>
            </w:pPr>
            <w:r w:rsidRPr="00205C60">
              <w:rPr>
                <w:rFonts w:ascii="Verdana" w:hAnsi="Verdana"/>
                <w:sz w:val="22"/>
                <w:szCs w:val="22"/>
                <w:lang w:val="es-CR"/>
              </w:rPr>
              <w:t>8.568.960</w:t>
            </w:r>
          </w:p>
        </w:tc>
      </w:tr>
      <w:tr w:rsidR="009D5888" w:rsidRPr="00205C60" w14:paraId="3CA7EB73" w14:textId="77777777" w:rsidTr="00922EE8">
        <w:trPr>
          <w:gridAfter w:val="1"/>
          <w:wAfter w:w="28" w:type="dxa"/>
          <w:trHeight w:val="80"/>
        </w:trPr>
        <w:tc>
          <w:tcPr>
            <w:tcW w:w="3642" w:type="dxa"/>
            <w:tcBorders>
              <w:top w:val="nil"/>
              <w:left w:val="nil"/>
              <w:bottom w:val="nil"/>
              <w:right w:val="nil"/>
            </w:tcBorders>
            <w:shd w:val="clear" w:color="auto" w:fill="auto"/>
            <w:noWrap/>
            <w:vAlign w:val="bottom"/>
          </w:tcPr>
          <w:p w14:paraId="3CA7EB6C" w14:textId="77777777" w:rsidR="009D5888" w:rsidRPr="00205C60" w:rsidRDefault="009D5888" w:rsidP="00B1483C">
            <w:pPr>
              <w:ind w:left="612" w:right="-156" w:hanging="540"/>
              <w:rPr>
                <w:rFonts w:ascii="Verdana" w:hAnsi="Verdana"/>
                <w:sz w:val="22"/>
                <w:szCs w:val="22"/>
                <w:lang w:val="es-CR"/>
              </w:rPr>
            </w:pPr>
            <w:r w:rsidRPr="00205C60">
              <w:rPr>
                <w:rFonts w:ascii="Verdana" w:hAnsi="Verdana"/>
                <w:sz w:val="22"/>
                <w:szCs w:val="22"/>
                <w:lang w:val="es-CR"/>
              </w:rPr>
              <w:t>Efectos por cobrar</w:t>
            </w:r>
          </w:p>
        </w:tc>
        <w:tc>
          <w:tcPr>
            <w:tcW w:w="356" w:type="dxa"/>
            <w:tcBorders>
              <w:top w:val="nil"/>
              <w:left w:val="nil"/>
              <w:bottom w:val="nil"/>
              <w:right w:val="nil"/>
            </w:tcBorders>
            <w:shd w:val="clear" w:color="auto" w:fill="auto"/>
            <w:noWrap/>
            <w:vAlign w:val="bottom"/>
          </w:tcPr>
          <w:p w14:paraId="3CA7EB6D" w14:textId="77777777" w:rsidR="009D5888" w:rsidRPr="00205C60" w:rsidRDefault="009D5888" w:rsidP="00B1483C">
            <w:pPr>
              <w:rPr>
                <w:rFonts w:ascii="Verdana" w:hAnsi="Verdana"/>
                <w:sz w:val="22"/>
                <w:szCs w:val="22"/>
                <w:lang w:val="es-CR"/>
              </w:rPr>
            </w:pPr>
          </w:p>
        </w:tc>
        <w:tc>
          <w:tcPr>
            <w:tcW w:w="1709" w:type="dxa"/>
            <w:tcBorders>
              <w:top w:val="nil"/>
              <w:left w:val="nil"/>
              <w:bottom w:val="nil"/>
              <w:right w:val="nil"/>
            </w:tcBorders>
            <w:shd w:val="clear" w:color="auto" w:fill="auto"/>
            <w:noWrap/>
            <w:vAlign w:val="bottom"/>
          </w:tcPr>
          <w:p w14:paraId="3CA7EB6E" w14:textId="006DB6BF" w:rsidR="009D5888" w:rsidRPr="00205C60" w:rsidRDefault="009D5888" w:rsidP="00B1483C">
            <w:pPr>
              <w:ind w:left="-126"/>
              <w:jc w:val="right"/>
              <w:rPr>
                <w:rFonts w:ascii="Verdana" w:hAnsi="Verdana"/>
                <w:sz w:val="22"/>
                <w:szCs w:val="22"/>
                <w:lang w:val="es-CR"/>
              </w:rPr>
            </w:pPr>
            <w:r w:rsidRPr="00205C60">
              <w:rPr>
                <w:rFonts w:ascii="Verdana" w:hAnsi="Verdana"/>
                <w:sz w:val="22"/>
                <w:szCs w:val="22"/>
                <w:lang w:val="es-CR"/>
              </w:rPr>
              <w:t>5</w:t>
            </w:r>
            <w:r w:rsidR="0051177B" w:rsidRPr="00205C60">
              <w:rPr>
                <w:rFonts w:ascii="Verdana" w:hAnsi="Verdana"/>
                <w:sz w:val="22"/>
                <w:szCs w:val="22"/>
                <w:lang w:val="es-CR"/>
              </w:rPr>
              <w:t>63.655</w:t>
            </w:r>
          </w:p>
        </w:tc>
        <w:tc>
          <w:tcPr>
            <w:tcW w:w="222" w:type="dxa"/>
            <w:tcBorders>
              <w:top w:val="nil"/>
              <w:left w:val="nil"/>
              <w:bottom w:val="nil"/>
              <w:right w:val="nil"/>
            </w:tcBorders>
            <w:shd w:val="clear" w:color="auto" w:fill="auto"/>
            <w:vAlign w:val="bottom"/>
          </w:tcPr>
          <w:p w14:paraId="3CA7EB6F" w14:textId="77777777" w:rsidR="009D5888" w:rsidRPr="00205C60" w:rsidRDefault="009D5888" w:rsidP="00B1483C">
            <w:pPr>
              <w:ind w:left="-126"/>
              <w:jc w:val="right"/>
              <w:rPr>
                <w:rFonts w:ascii="Verdana" w:hAnsi="Verdana"/>
                <w:sz w:val="22"/>
                <w:szCs w:val="22"/>
                <w:lang w:val="es-CR"/>
              </w:rPr>
            </w:pPr>
          </w:p>
        </w:tc>
        <w:tc>
          <w:tcPr>
            <w:tcW w:w="1707" w:type="dxa"/>
            <w:tcBorders>
              <w:top w:val="nil"/>
              <w:left w:val="nil"/>
              <w:bottom w:val="nil"/>
              <w:right w:val="nil"/>
            </w:tcBorders>
            <w:shd w:val="clear" w:color="auto" w:fill="auto"/>
            <w:noWrap/>
            <w:vAlign w:val="bottom"/>
          </w:tcPr>
          <w:p w14:paraId="3CA7EB70" w14:textId="30EB30FC" w:rsidR="009D5888" w:rsidRPr="00205C60" w:rsidRDefault="006917EA" w:rsidP="00B1483C">
            <w:pPr>
              <w:ind w:left="-126"/>
              <w:jc w:val="right"/>
              <w:rPr>
                <w:rFonts w:ascii="Verdana" w:hAnsi="Verdana"/>
                <w:sz w:val="22"/>
                <w:szCs w:val="22"/>
                <w:lang w:val="es-CR"/>
              </w:rPr>
            </w:pPr>
            <w:r w:rsidRPr="00205C60">
              <w:rPr>
                <w:rFonts w:ascii="Verdana" w:hAnsi="Verdana"/>
                <w:sz w:val="22"/>
                <w:szCs w:val="22"/>
                <w:lang w:val="es-CR"/>
              </w:rPr>
              <w:t>243.568</w:t>
            </w:r>
          </w:p>
        </w:tc>
        <w:tc>
          <w:tcPr>
            <w:tcW w:w="222" w:type="dxa"/>
            <w:tcBorders>
              <w:top w:val="nil"/>
              <w:left w:val="nil"/>
              <w:bottom w:val="nil"/>
              <w:right w:val="nil"/>
            </w:tcBorders>
            <w:shd w:val="clear" w:color="auto" w:fill="auto"/>
            <w:vAlign w:val="bottom"/>
          </w:tcPr>
          <w:p w14:paraId="3CA7EB71" w14:textId="77777777" w:rsidR="009D5888" w:rsidRPr="00205C60" w:rsidRDefault="009D5888" w:rsidP="00B1483C">
            <w:pPr>
              <w:ind w:left="-126"/>
              <w:jc w:val="right"/>
              <w:rPr>
                <w:rFonts w:ascii="Verdana" w:hAnsi="Verdana"/>
                <w:sz w:val="22"/>
                <w:szCs w:val="22"/>
                <w:lang w:val="es-CR"/>
              </w:rPr>
            </w:pPr>
          </w:p>
        </w:tc>
        <w:tc>
          <w:tcPr>
            <w:tcW w:w="1709" w:type="dxa"/>
            <w:gridSpan w:val="2"/>
            <w:tcBorders>
              <w:top w:val="nil"/>
              <w:left w:val="nil"/>
              <w:bottom w:val="nil"/>
              <w:right w:val="nil"/>
            </w:tcBorders>
            <w:shd w:val="clear" w:color="auto" w:fill="auto"/>
            <w:noWrap/>
            <w:vAlign w:val="bottom"/>
          </w:tcPr>
          <w:p w14:paraId="3CA7EB72" w14:textId="10812DBC" w:rsidR="009D5888" w:rsidRPr="00205C60" w:rsidRDefault="00B20126" w:rsidP="00B1483C">
            <w:pPr>
              <w:ind w:left="-126"/>
              <w:jc w:val="right"/>
              <w:rPr>
                <w:rFonts w:ascii="Verdana" w:hAnsi="Verdana"/>
                <w:sz w:val="22"/>
                <w:szCs w:val="22"/>
                <w:lang w:val="es-CR"/>
              </w:rPr>
            </w:pPr>
            <w:r w:rsidRPr="00205C60">
              <w:rPr>
                <w:rFonts w:ascii="Verdana" w:hAnsi="Verdana"/>
                <w:sz w:val="22"/>
                <w:szCs w:val="22"/>
                <w:lang w:val="es-CR"/>
              </w:rPr>
              <w:t>807.223</w:t>
            </w:r>
          </w:p>
        </w:tc>
      </w:tr>
      <w:tr w:rsidR="009D5888" w:rsidRPr="00205C60" w14:paraId="3CA7EB7B" w14:textId="77777777" w:rsidTr="00922EE8">
        <w:trPr>
          <w:trHeight w:val="80"/>
        </w:trPr>
        <w:tc>
          <w:tcPr>
            <w:tcW w:w="3642" w:type="dxa"/>
            <w:tcBorders>
              <w:top w:val="nil"/>
              <w:left w:val="nil"/>
              <w:bottom w:val="nil"/>
              <w:right w:val="nil"/>
            </w:tcBorders>
            <w:shd w:val="clear" w:color="auto" w:fill="auto"/>
            <w:noWrap/>
            <w:vAlign w:val="bottom"/>
            <w:hideMark/>
          </w:tcPr>
          <w:p w14:paraId="3CA7EB74" w14:textId="77777777" w:rsidR="009D5888" w:rsidRPr="00205C60" w:rsidRDefault="009D5888" w:rsidP="00B1483C">
            <w:pPr>
              <w:ind w:left="612" w:right="-156" w:hanging="540"/>
              <w:rPr>
                <w:rFonts w:ascii="Verdana" w:hAnsi="Verdana"/>
                <w:sz w:val="22"/>
                <w:szCs w:val="22"/>
                <w:lang w:val="es-CR"/>
              </w:rPr>
            </w:pPr>
            <w:r w:rsidRPr="00205C60">
              <w:rPr>
                <w:rFonts w:ascii="Verdana" w:hAnsi="Verdana"/>
                <w:sz w:val="22"/>
                <w:szCs w:val="22"/>
                <w:lang w:val="es-CR"/>
              </w:rPr>
              <w:t>Cuentas por cobrar</w:t>
            </w:r>
          </w:p>
        </w:tc>
        <w:tc>
          <w:tcPr>
            <w:tcW w:w="356" w:type="dxa"/>
            <w:tcBorders>
              <w:top w:val="nil"/>
              <w:left w:val="nil"/>
              <w:bottom w:val="nil"/>
              <w:right w:val="nil"/>
            </w:tcBorders>
            <w:shd w:val="clear" w:color="auto" w:fill="auto"/>
            <w:noWrap/>
            <w:vAlign w:val="bottom"/>
            <w:hideMark/>
          </w:tcPr>
          <w:p w14:paraId="3CA7EB75" w14:textId="77777777" w:rsidR="009D5888" w:rsidRPr="00205C60" w:rsidRDefault="009D5888" w:rsidP="00B1483C">
            <w:pPr>
              <w:rPr>
                <w:rFonts w:ascii="Verdana" w:hAnsi="Verdana"/>
                <w:sz w:val="22"/>
                <w:szCs w:val="22"/>
                <w:lang w:val="es-CR"/>
              </w:rPr>
            </w:pPr>
          </w:p>
        </w:tc>
        <w:tc>
          <w:tcPr>
            <w:tcW w:w="1709" w:type="dxa"/>
            <w:tcBorders>
              <w:top w:val="nil"/>
              <w:left w:val="nil"/>
              <w:bottom w:val="nil"/>
              <w:right w:val="nil"/>
            </w:tcBorders>
            <w:shd w:val="clear" w:color="auto" w:fill="auto"/>
            <w:noWrap/>
          </w:tcPr>
          <w:p w14:paraId="3CA7EB76" w14:textId="09D0A179" w:rsidR="009D5888" w:rsidRPr="00205C60" w:rsidRDefault="009D5888" w:rsidP="00B1483C">
            <w:pPr>
              <w:ind w:left="-126"/>
              <w:jc w:val="right"/>
              <w:rPr>
                <w:rFonts w:ascii="Verdana" w:hAnsi="Verdana"/>
                <w:sz w:val="22"/>
                <w:szCs w:val="22"/>
                <w:lang w:val="es-CR"/>
              </w:rPr>
            </w:pPr>
            <w:r w:rsidRPr="00205C60">
              <w:rPr>
                <w:rFonts w:ascii="Verdana" w:hAnsi="Verdana"/>
                <w:sz w:val="22"/>
                <w:szCs w:val="22"/>
              </w:rPr>
              <w:t xml:space="preserve"> </w:t>
            </w:r>
            <w:r w:rsidR="0051177B" w:rsidRPr="00205C60">
              <w:rPr>
                <w:rFonts w:ascii="Verdana" w:hAnsi="Verdana"/>
                <w:sz w:val="22"/>
                <w:szCs w:val="22"/>
              </w:rPr>
              <w:t>20.869.160</w:t>
            </w:r>
            <w:r w:rsidRPr="00205C60">
              <w:rPr>
                <w:rFonts w:ascii="Verdana" w:hAnsi="Verdana"/>
                <w:sz w:val="22"/>
                <w:szCs w:val="22"/>
              </w:rPr>
              <w:t xml:space="preserve"> </w:t>
            </w:r>
          </w:p>
        </w:tc>
        <w:tc>
          <w:tcPr>
            <w:tcW w:w="222" w:type="dxa"/>
            <w:tcBorders>
              <w:top w:val="nil"/>
              <w:left w:val="nil"/>
              <w:bottom w:val="nil"/>
              <w:right w:val="nil"/>
            </w:tcBorders>
            <w:shd w:val="clear" w:color="auto" w:fill="auto"/>
          </w:tcPr>
          <w:p w14:paraId="3CA7EB77" w14:textId="77777777" w:rsidR="009D5888" w:rsidRPr="00205C60" w:rsidRDefault="009D5888" w:rsidP="00B1483C">
            <w:pPr>
              <w:ind w:left="-126"/>
              <w:jc w:val="right"/>
              <w:rPr>
                <w:rFonts w:ascii="Verdana" w:hAnsi="Verdana"/>
                <w:sz w:val="22"/>
                <w:szCs w:val="22"/>
                <w:lang w:val="es-CR"/>
              </w:rPr>
            </w:pPr>
          </w:p>
        </w:tc>
        <w:tc>
          <w:tcPr>
            <w:tcW w:w="1707" w:type="dxa"/>
            <w:tcBorders>
              <w:top w:val="nil"/>
              <w:left w:val="nil"/>
              <w:bottom w:val="nil"/>
              <w:right w:val="nil"/>
            </w:tcBorders>
            <w:shd w:val="clear" w:color="auto" w:fill="auto"/>
            <w:noWrap/>
            <w:vAlign w:val="bottom"/>
          </w:tcPr>
          <w:p w14:paraId="3CA7EB78" w14:textId="77777777" w:rsidR="009D5888" w:rsidRPr="00205C60" w:rsidRDefault="009D5888" w:rsidP="00B1483C">
            <w:pPr>
              <w:ind w:left="-126"/>
              <w:jc w:val="center"/>
              <w:rPr>
                <w:rFonts w:ascii="Verdana" w:hAnsi="Verdana"/>
                <w:sz w:val="22"/>
                <w:szCs w:val="22"/>
                <w:lang w:val="es-CR"/>
              </w:rPr>
            </w:pPr>
            <w:r w:rsidRPr="00205C60">
              <w:rPr>
                <w:rFonts w:ascii="Verdana" w:hAnsi="Verdana"/>
                <w:sz w:val="22"/>
                <w:szCs w:val="22"/>
                <w:lang w:val="es-CR"/>
              </w:rPr>
              <w:t>-</w:t>
            </w:r>
          </w:p>
        </w:tc>
        <w:tc>
          <w:tcPr>
            <w:tcW w:w="238" w:type="dxa"/>
            <w:gridSpan w:val="2"/>
            <w:tcBorders>
              <w:top w:val="nil"/>
              <w:left w:val="nil"/>
              <w:bottom w:val="nil"/>
              <w:right w:val="nil"/>
            </w:tcBorders>
            <w:shd w:val="clear" w:color="auto" w:fill="auto"/>
          </w:tcPr>
          <w:p w14:paraId="3CA7EB79" w14:textId="77777777" w:rsidR="009D5888" w:rsidRPr="00205C60" w:rsidRDefault="009D5888" w:rsidP="00B1483C">
            <w:pPr>
              <w:ind w:left="-126"/>
              <w:jc w:val="right"/>
              <w:rPr>
                <w:rFonts w:ascii="Verdana" w:hAnsi="Verdana"/>
                <w:sz w:val="22"/>
                <w:szCs w:val="22"/>
                <w:lang w:val="es-CR"/>
              </w:rPr>
            </w:pPr>
          </w:p>
        </w:tc>
        <w:tc>
          <w:tcPr>
            <w:tcW w:w="1721" w:type="dxa"/>
            <w:gridSpan w:val="2"/>
            <w:tcBorders>
              <w:top w:val="nil"/>
              <w:left w:val="nil"/>
              <w:bottom w:val="nil"/>
              <w:right w:val="nil"/>
            </w:tcBorders>
            <w:shd w:val="clear" w:color="auto" w:fill="auto"/>
            <w:noWrap/>
          </w:tcPr>
          <w:p w14:paraId="3CA7EB7A" w14:textId="24BFA2A0" w:rsidR="009D5888" w:rsidRPr="00205C60" w:rsidRDefault="009D5888" w:rsidP="00B1483C">
            <w:pPr>
              <w:ind w:left="-126"/>
              <w:jc w:val="right"/>
              <w:rPr>
                <w:rFonts w:ascii="Verdana" w:hAnsi="Verdana"/>
                <w:sz w:val="22"/>
                <w:szCs w:val="22"/>
                <w:lang w:val="es-CR"/>
              </w:rPr>
            </w:pPr>
            <w:r w:rsidRPr="00205C60">
              <w:rPr>
                <w:rFonts w:ascii="Verdana" w:hAnsi="Verdana"/>
                <w:sz w:val="22"/>
                <w:szCs w:val="22"/>
              </w:rPr>
              <w:t xml:space="preserve"> </w:t>
            </w:r>
            <w:r w:rsidR="00B20126" w:rsidRPr="00205C60">
              <w:rPr>
                <w:rFonts w:ascii="Verdana" w:hAnsi="Verdana"/>
                <w:sz w:val="22"/>
                <w:szCs w:val="22"/>
              </w:rPr>
              <w:t>20.869.160</w:t>
            </w:r>
            <w:r w:rsidRPr="00205C60">
              <w:rPr>
                <w:rFonts w:ascii="Verdana" w:hAnsi="Verdana"/>
                <w:sz w:val="22"/>
                <w:szCs w:val="22"/>
              </w:rPr>
              <w:t xml:space="preserve"> </w:t>
            </w:r>
          </w:p>
        </w:tc>
      </w:tr>
      <w:tr w:rsidR="009D5888" w:rsidRPr="00205C60" w14:paraId="3CA7EB8B" w14:textId="77777777" w:rsidTr="00922EE8">
        <w:trPr>
          <w:gridAfter w:val="1"/>
          <w:wAfter w:w="28" w:type="dxa"/>
          <w:trHeight w:val="80"/>
        </w:trPr>
        <w:tc>
          <w:tcPr>
            <w:tcW w:w="3642" w:type="dxa"/>
            <w:tcBorders>
              <w:top w:val="nil"/>
              <w:left w:val="nil"/>
              <w:bottom w:val="nil"/>
              <w:right w:val="nil"/>
            </w:tcBorders>
            <w:shd w:val="clear" w:color="auto" w:fill="auto"/>
            <w:noWrap/>
            <w:vAlign w:val="bottom"/>
          </w:tcPr>
          <w:p w14:paraId="3CA7EB84" w14:textId="77777777" w:rsidR="009D5888" w:rsidRPr="00205C60" w:rsidRDefault="009D5888" w:rsidP="00B1483C">
            <w:pPr>
              <w:ind w:left="612" w:right="-156" w:hanging="540"/>
              <w:rPr>
                <w:rFonts w:ascii="Verdana" w:hAnsi="Verdana"/>
                <w:sz w:val="22"/>
                <w:szCs w:val="22"/>
                <w:lang w:val="es-CR"/>
              </w:rPr>
            </w:pPr>
            <w:r w:rsidRPr="00205C60">
              <w:rPr>
                <w:rFonts w:ascii="Verdana" w:hAnsi="Verdana"/>
                <w:sz w:val="22"/>
                <w:szCs w:val="22"/>
                <w:lang w:val="es-CR"/>
              </w:rPr>
              <w:t xml:space="preserve">Deuda </w:t>
            </w:r>
          </w:p>
        </w:tc>
        <w:tc>
          <w:tcPr>
            <w:tcW w:w="356" w:type="dxa"/>
            <w:tcBorders>
              <w:top w:val="nil"/>
              <w:left w:val="nil"/>
              <w:bottom w:val="nil"/>
              <w:right w:val="nil"/>
            </w:tcBorders>
            <w:shd w:val="clear" w:color="auto" w:fill="auto"/>
            <w:noWrap/>
            <w:vAlign w:val="bottom"/>
          </w:tcPr>
          <w:p w14:paraId="3CA7EB85" w14:textId="77777777" w:rsidR="009D5888" w:rsidRPr="00205C60" w:rsidRDefault="009D5888" w:rsidP="00B1483C">
            <w:pPr>
              <w:rPr>
                <w:rFonts w:ascii="Verdana" w:hAnsi="Verdana"/>
                <w:sz w:val="22"/>
                <w:szCs w:val="22"/>
                <w:lang w:val="es-CR"/>
              </w:rPr>
            </w:pPr>
          </w:p>
        </w:tc>
        <w:tc>
          <w:tcPr>
            <w:tcW w:w="1709" w:type="dxa"/>
            <w:tcBorders>
              <w:top w:val="nil"/>
              <w:left w:val="nil"/>
              <w:bottom w:val="nil"/>
              <w:right w:val="nil"/>
            </w:tcBorders>
            <w:shd w:val="clear" w:color="auto" w:fill="auto"/>
            <w:noWrap/>
            <w:vAlign w:val="bottom"/>
          </w:tcPr>
          <w:p w14:paraId="3CA7EB86" w14:textId="567002CD" w:rsidR="009D5888" w:rsidRPr="00205C60" w:rsidRDefault="009D5888" w:rsidP="00B1483C">
            <w:pPr>
              <w:ind w:left="-126" w:right="-72"/>
              <w:jc w:val="right"/>
              <w:rPr>
                <w:rFonts w:ascii="Verdana" w:hAnsi="Verdana"/>
                <w:sz w:val="22"/>
                <w:szCs w:val="22"/>
                <w:lang w:val="es-CR"/>
              </w:rPr>
            </w:pPr>
            <w:r w:rsidRPr="00205C60">
              <w:rPr>
                <w:rFonts w:ascii="Verdana" w:hAnsi="Verdana"/>
                <w:sz w:val="22"/>
                <w:szCs w:val="22"/>
                <w:lang w:val="es-CR"/>
              </w:rPr>
              <w:t>(</w:t>
            </w:r>
            <w:r w:rsidR="008549D6" w:rsidRPr="00205C60">
              <w:rPr>
                <w:rFonts w:ascii="Verdana" w:hAnsi="Verdana"/>
                <w:sz w:val="22"/>
                <w:szCs w:val="22"/>
                <w:lang w:val="es-CR"/>
              </w:rPr>
              <w:t>163.382.787</w:t>
            </w:r>
            <w:r w:rsidRPr="00205C60">
              <w:rPr>
                <w:rFonts w:ascii="Verdana" w:hAnsi="Verdana"/>
                <w:sz w:val="22"/>
                <w:szCs w:val="22"/>
                <w:lang w:val="es-CR"/>
              </w:rPr>
              <w:t>)</w:t>
            </w:r>
          </w:p>
        </w:tc>
        <w:tc>
          <w:tcPr>
            <w:tcW w:w="222" w:type="dxa"/>
            <w:tcBorders>
              <w:top w:val="nil"/>
              <w:left w:val="nil"/>
              <w:bottom w:val="nil"/>
              <w:right w:val="nil"/>
            </w:tcBorders>
            <w:shd w:val="clear" w:color="auto" w:fill="auto"/>
          </w:tcPr>
          <w:p w14:paraId="3CA7EB87" w14:textId="77777777" w:rsidR="009D5888" w:rsidRPr="00205C60" w:rsidRDefault="009D5888" w:rsidP="00B1483C">
            <w:pPr>
              <w:ind w:left="-126"/>
              <w:jc w:val="right"/>
              <w:rPr>
                <w:rFonts w:ascii="Verdana" w:hAnsi="Verdana"/>
                <w:sz w:val="22"/>
                <w:szCs w:val="22"/>
                <w:lang w:val="es-CR"/>
              </w:rPr>
            </w:pPr>
          </w:p>
        </w:tc>
        <w:tc>
          <w:tcPr>
            <w:tcW w:w="1707" w:type="dxa"/>
            <w:tcBorders>
              <w:top w:val="nil"/>
              <w:left w:val="nil"/>
              <w:bottom w:val="nil"/>
              <w:right w:val="nil"/>
            </w:tcBorders>
            <w:shd w:val="clear" w:color="auto" w:fill="auto"/>
            <w:noWrap/>
            <w:vAlign w:val="bottom"/>
          </w:tcPr>
          <w:p w14:paraId="3CA7EB88" w14:textId="1D149CE4" w:rsidR="009D5888" w:rsidRPr="00205C60" w:rsidRDefault="009D5888" w:rsidP="00B1483C">
            <w:pPr>
              <w:ind w:left="-126" w:right="-72"/>
              <w:jc w:val="right"/>
              <w:rPr>
                <w:rFonts w:ascii="Verdana" w:hAnsi="Verdana"/>
                <w:sz w:val="22"/>
                <w:szCs w:val="22"/>
                <w:lang w:val="es-CR"/>
              </w:rPr>
            </w:pPr>
            <w:r w:rsidRPr="00205C60">
              <w:rPr>
                <w:rFonts w:ascii="Verdana" w:hAnsi="Verdana"/>
                <w:sz w:val="22"/>
                <w:szCs w:val="22"/>
                <w:lang w:val="es-CR"/>
              </w:rPr>
              <w:t>(</w:t>
            </w:r>
            <w:r w:rsidR="006917EA" w:rsidRPr="00205C60">
              <w:rPr>
                <w:rFonts w:ascii="Verdana" w:hAnsi="Verdana"/>
                <w:sz w:val="22"/>
                <w:szCs w:val="22"/>
                <w:lang w:val="es-CR"/>
              </w:rPr>
              <w:t>20.809.330</w:t>
            </w:r>
            <w:r w:rsidRPr="00205C60">
              <w:rPr>
                <w:rFonts w:ascii="Verdana" w:hAnsi="Verdana"/>
                <w:sz w:val="22"/>
                <w:szCs w:val="22"/>
                <w:lang w:val="es-CR"/>
              </w:rPr>
              <w:t>)</w:t>
            </w:r>
          </w:p>
        </w:tc>
        <w:tc>
          <w:tcPr>
            <w:tcW w:w="222" w:type="dxa"/>
            <w:tcBorders>
              <w:top w:val="nil"/>
              <w:left w:val="nil"/>
              <w:bottom w:val="nil"/>
              <w:right w:val="nil"/>
            </w:tcBorders>
            <w:shd w:val="clear" w:color="auto" w:fill="auto"/>
          </w:tcPr>
          <w:p w14:paraId="3CA7EB89" w14:textId="77777777" w:rsidR="009D5888" w:rsidRPr="00205C60" w:rsidRDefault="009D5888" w:rsidP="00B1483C">
            <w:pPr>
              <w:ind w:left="-126"/>
              <w:jc w:val="right"/>
              <w:rPr>
                <w:rFonts w:ascii="Verdana" w:hAnsi="Verdana"/>
                <w:sz w:val="22"/>
                <w:szCs w:val="22"/>
                <w:lang w:val="es-CR"/>
              </w:rPr>
            </w:pPr>
          </w:p>
        </w:tc>
        <w:tc>
          <w:tcPr>
            <w:tcW w:w="1709" w:type="dxa"/>
            <w:gridSpan w:val="2"/>
            <w:tcBorders>
              <w:top w:val="nil"/>
              <w:left w:val="nil"/>
              <w:bottom w:val="nil"/>
              <w:right w:val="nil"/>
            </w:tcBorders>
            <w:shd w:val="clear" w:color="auto" w:fill="auto"/>
            <w:noWrap/>
            <w:vAlign w:val="bottom"/>
          </w:tcPr>
          <w:p w14:paraId="3CA7EB8A" w14:textId="02D34BEA" w:rsidR="009D5888" w:rsidRPr="00205C60" w:rsidRDefault="009D5888" w:rsidP="00B1483C">
            <w:pPr>
              <w:ind w:left="-126" w:right="-72"/>
              <w:jc w:val="right"/>
              <w:rPr>
                <w:rFonts w:ascii="Verdana" w:hAnsi="Verdana"/>
                <w:sz w:val="22"/>
                <w:szCs w:val="22"/>
                <w:lang w:val="es-CR"/>
              </w:rPr>
            </w:pPr>
            <w:r w:rsidRPr="00205C60">
              <w:rPr>
                <w:rFonts w:ascii="Verdana" w:hAnsi="Verdana"/>
                <w:sz w:val="22"/>
                <w:szCs w:val="22"/>
                <w:lang w:val="es-CR"/>
              </w:rPr>
              <w:t>(184.</w:t>
            </w:r>
            <w:r w:rsidR="00B20126" w:rsidRPr="00205C60">
              <w:rPr>
                <w:rFonts w:ascii="Verdana" w:hAnsi="Verdana"/>
                <w:sz w:val="22"/>
                <w:szCs w:val="22"/>
                <w:lang w:val="es-CR"/>
              </w:rPr>
              <w:t>192.117</w:t>
            </w:r>
            <w:r w:rsidRPr="00205C60">
              <w:rPr>
                <w:rFonts w:ascii="Verdana" w:hAnsi="Verdana"/>
                <w:sz w:val="22"/>
                <w:szCs w:val="22"/>
                <w:lang w:val="es-CR"/>
              </w:rPr>
              <w:t>)</w:t>
            </w:r>
          </w:p>
        </w:tc>
      </w:tr>
      <w:tr w:rsidR="009D5888" w:rsidRPr="00205C60" w14:paraId="3CA7EB93" w14:textId="77777777" w:rsidTr="00922EE8">
        <w:trPr>
          <w:gridAfter w:val="1"/>
          <w:wAfter w:w="28" w:type="dxa"/>
          <w:trHeight w:val="80"/>
        </w:trPr>
        <w:tc>
          <w:tcPr>
            <w:tcW w:w="3642" w:type="dxa"/>
            <w:tcBorders>
              <w:top w:val="nil"/>
              <w:left w:val="nil"/>
              <w:bottom w:val="nil"/>
              <w:right w:val="nil"/>
            </w:tcBorders>
            <w:shd w:val="clear" w:color="auto" w:fill="auto"/>
            <w:noWrap/>
            <w:vAlign w:val="bottom"/>
            <w:hideMark/>
          </w:tcPr>
          <w:p w14:paraId="3CA7EB8C" w14:textId="77777777" w:rsidR="009D5888" w:rsidRPr="00205C60" w:rsidRDefault="009D5888" w:rsidP="00B1483C">
            <w:pPr>
              <w:ind w:left="612" w:right="-156" w:hanging="540"/>
              <w:rPr>
                <w:rFonts w:ascii="Verdana" w:hAnsi="Verdana"/>
                <w:sz w:val="22"/>
                <w:szCs w:val="22"/>
                <w:lang w:val="es-CR"/>
              </w:rPr>
            </w:pPr>
            <w:r w:rsidRPr="00205C60">
              <w:rPr>
                <w:rFonts w:ascii="Verdana" w:hAnsi="Verdana"/>
                <w:sz w:val="22"/>
                <w:szCs w:val="22"/>
                <w:lang w:val="es-CR"/>
              </w:rPr>
              <w:t>Cuentas por pagar</w:t>
            </w:r>
          </w:p>
        </w:tc>
        <w:tc>
          <w:tcPr>
            <w:tcW w:w="356" w:type="dxa"/>
            <w:tcBorders>
              <w:top w:val="nil"/>
              <w:left w:val="nil"/>
              <w:bottom w:val="nil"/>
              <w:right w:val="nil"/>
            </w:tcBorders>
            <w:shd w:val="clear" w:color="auto" w:fill="auto"/>
            <w:noWrap/>
            <w:vAlign w:val="bottom"/>
            <w:hideMark/>
          </w:tcPr>
          <w:p w14:paraId="3CA7EB8D" w14:textId="77777777" w:rsidR="009D5888" w:rsidRPr="00205C60" w:rsidRDefault="009D5888" w:rsidP="00B1483C">
            <w:pPr>
              <w:rPr>
                <w:rFonts w:ascii="Verdana" w:hAnsi="Verdana"/>
                <w:sz w:val="22"/>
                <w:szCs w:val="22"/>
                <w:lang w:val="es-CR"/>
              </w:rPr>
            </w:pPr>
          </w:p>
        </w:tc>
        <w:tc>
          <w:tcPr>
            <w:tcW w:w="1709" w:type="dxa"/>
            <w:tcBorders>
              <w:top w:val="nil"/>
              <w:left w:val="nil"/>
              <w:bottom w:val="nil"/>
              <w:right w:val="nil"/>
            </w:tcBorders>
            <w:shd w:val="clear" w:color="auto" w:fill="auto"/>
            <w:noWrap/>
            <w:vAlign w:val="bottom"/>
          </w:tcPr>
          <w:p w14:paraId="3CA7EB8E" w14:textId="4F0FCE9F" w:rsidR="009D5888" w:rsidRPr="00205C60" w:rsidRDefault="009D5888" w:rsidP="00B1483C">
            <w:pPr>
              <w:jc w:val="right"/>
              <w:rPr>
                <w:rFonts w:ascii="Verdana" w:hAnsi="Verdana"/>
                <w:color w:val="000000"/>
                <w:sz w:val="22"/>
                <w:szCs w:val="22"/>
                <w:lang w:val="es-US"/>
              </w:rPr>
            </w:pPr>
            <w:r w:rsidRPr="00205C60">
              <w:rPr>
                <w:rFonts w:ascii="Verdana" w:hAnsi="Verdana"/>
                <w:color w:val="000000"/>
                <w:sz w:val="22"/>
                <w:szCs w:val="22"/>
                <w:lang w:val="es-US"/>
              </w:rPr>
              <w:t>(1</w:t>
            </w:r>
            <w:r w:rsidR="008549D6" w:rsidRPr="00205C60">
              <w:rPr>
                <w:rFonts w:ascii="Verdana" w:hAnsi="Verdana"/>
                <w:color w:val="000000"/>
                <w:sz w:val="22"/>
                <w:szCs w:val="22"/>
                <w:lang w:val="es-US"/>
              </w:rPr>
              <w:t>9.979.854</w:t>
            </w:r>
            <w:r w:rsidRPr="00205C60">
              <w:rPr>
                <w:rFonts w:ascii="Verdana" w:hAnsi="Verdana"/>
                <w:color w:val="000000"/>
                <w:sz w:val="22"/>
                <w:szCs w:val="22"/>
                <w:lang w:val="es-US"/>
              </w:rPr>
              <w:t>)</w:t>
            </w:r>
          </w:p>
        </w:tc>
        <w:tc>
          <w:tcPr>
            <w:tcW w:w="222" w:type="dxa"/>
            <w:tcBorders>
              <w:top w:val="nil"/>
              <w:left w:val="nil"/>
              <w:bottom w:val="nil"/>
              <w:right w:val="nil"/>
            </w:tcBorders>
            <w:shd w:val="clear" w:color="auto" w:fill="auto"/>
          </w:tcPr>
          <w:p w14:paraId="3CA7EB8F" w14:textId="77777777" w:rsidR="009D5888" w:rsidRPr="00205C60" w:rsidRDefault="009D5888" w:rsidP="00B1483C">
            <w:pPr>
              <w:ind w:left="-126"/>
              <w:jc w:val="right"/>
              <w:rPr>
                <w:rFonts w:ascii="Verdana" w:hAnsi="Verdana"/>
                <w:sz w:val="22"/>
                <w:szCs w:val="22"/>
                <w:lang w:val="es-CR"/>
              </w:rPr>
            </w:pPr>
          </w:p>
        </w:tc>
        <w:tc>
          <w:tcPr>
            <w:tcW w:w="1707" w:type="dxa"/>
            <w:tcBorders>
              <w:top w:val="nil"/>
              <w:left w:val="nil"/>
              <w:bottom w:val="nil"/>
              <w:right w:val="nil"/>
            </w:tcBorders>
            <w:shd w:val="clear" w:color="auto" w:fill="auto"/>
            <w:noWrap/>
            <w:vAlign w:val="bottom"/>
          </w:tcPr>
          <w:p w14:paraId="3CA7EB90" w14:textId="77777777" w:rsidR="009D5888" w:rsidRPr="00205C60" w:rsidRDefault="009D5888" w:rsidP="00B1483C">
            <w:pPr>
              <w:ind w:left="-126" w:right="-72"/>
              <w:jc w:val="center"/>
              <w:rPr>
                <w:rFonts w:ascii="Verdana" w:hAnsi="Verdana"/>
                <w:sz w:val="22"/>
                <w:szCs w:val="22"/>
                <w:lang w:val="es-CR"/>
              </w:rPr>
            </w:pPr>
            <w:r w:rsidRPr="00205C60">
              <w:rPr>
                <w:rFonts w:ascii="Verdana" w:hAnsi="Verdana"/>
                <w:sz w:val="22"/>
                <w:szCs w:val="22"/>
                <w:lang w:val="es-CR"/>
              </w:rPr>
              <w:t>-</w:t>
            </w:r>
          </w:p>
        </w:tc>
        <w:tc>
          <w:tcPr>
            <w:tcW w:w="222" w:type="dxa"/>
            <w:tcBorders>
              <w:top w:val="nil"/>
              <w:left w:val="nil"/>
              <w:bottom w:val="nil"/>
              <w:right w:val="nil"/>
            </w:tcBorders>
            <w:shd w:val="clear" w:color="auto" w:fill="auto"/>
          </w:tcPr>
          <w:p w14:paraId="3CA7EB91" w14:textId="77777777" w:rsidR="009D5888" w:rsidRPr="00205C60" w:rsidRDefault="009D5888" w:rsidP="00B1483C">
            <w:pPr>
              <w:ind w:left="-126"/>
              <w:jc w:val="right"/>
              <w:rPr>
                <w:rFonts w:ascii="Verdana" w:hAnsi="Verdana"/>
                <w:sz w:val="22"/>
                <w:szCs w:val="22"/>
                <w:lang w:val="es-CR"/>
              </w:rPr>
            </w:pPr>
          </w:p>
        </w:tc>
        <w:tc>
          <w:tcPr>
            <w:tcW w:w="1709" w:type="dxa"/>
            <w:gridSpan w:val="2"/>
            <w:tcBorders>
              <w:top w:val="nil"/>
              <w:left w:val="nil"/>
              <w:bottom w:val="nil"/>
              <w:right w:val="nil"/>
            </w:tcBorders>
            <w:shd w:val="clear" w:color="auto" w:fill="auto"/>
            <w:noWrap/>
            <w:vAlign w:val="bottom"/>
          </w:tcPr>
          <w:p w14:paraId="3CA7EB92" w14:textId="4E90A875" w:rsidR="009D5888" w:rsidRPr="00205C60" w:rsidRDefault="009D5888" w:rsidP="00B1483C">
            <w:pPr>
              <w:ind w:left="-126" w:right="-72"/>
              <w:jc w:val="right"/>
              <w:rPr>
                <w:rFonts w:ascii="Verdana" w:hAnsi="Verdana"/>
                <w:sz w:val="22"/>
                <w:szCs w:val="22"/>
                <w:lang w:val="es-CR"/>
              </w:rPr>
            </w:pPr>
            <w:r w:rsidRPr="00205C60">
              <w:rPr>
                <w:rFonts w:ascii="Verdana" w:hAnsi="Verdana"/>
                <w:color w:val="000000"/>
                <w:sz w:val="22"/>
                <w:szCs w:val="22"/>
                <w:lang w:val="es-US"/>
              </w:rPr>
              <w:t>(</w:t>
            </w:r>
            <w:r w:rsidR="00B20126" w:rsidRPr="00205C60">
              <w:rPr>
                <w:rFonts w:ascii="Verdana" w:hAnsi="Verdana"/>
                <w:color w:val="000000"/>
                <w:sz w:val="22"/>
                <w:szCs w:val="22"/>
                <w:lang w:val="es-US"/>
              </w:rPr>
              <w:t>19.979.854</w:t>
            </w:r>
            <w:r w:rsidRPr="00205C60">
              <w:rPr>
                <w:rFonts w:ascii="Verdana" w:hAnsi="Verdana"/>
                <w:color w:val="000000"/>
                <w:sz w:val="22"/>
                <w:szCs w:val="22"/>
                <w:lang w:val="es-US"/>
              </w:rPr>
              <w:t>)</w:t>
            </w:r>
          </w:p>
        </w:tc>
      </w:tr>
      <w:tr w:rsidR="009D5888" w:rsidRPr="00205C60" w14:paraId="3CA7EBA3" w14:textId="77777777" w:rsidTr="00922EE8">
        <w:trPr>
          <w:gridAfter w:val="1"/>
          <w:wAfter w:w="28" w:type="dxa"/>
          <w:trHeight w:val="80"/>
        </w:trPr>
        <w:tc>
          <w:tcPr>
            <w:tcW w:w="3642" w:type="dxa"/>
            <w:tcBorders>
              <w:top w:val="nil"/>
              <w:left w:val="nil"/>
              <w:bottom w:val="nil"/>
              <w:right w:val="nil"/>
            </w:tcBorders>
            <w:shd w:val="clear" w:color="auto" w:fill="auto"/>
            <w:noWrap/>
            <w:vAlign w:val="bottom"/>
          </w:tcPr>
          <w:p w14:paraId="3CA7EB9C" w14:textId="55E9E8F2" w:rsidR="009D5888" w:rsidRPr="00205C60" w:rsidRDefault="00CB29ED" w:rsidP="00B1483C">
            <w:pPr>
              <w:ind w:left="612" w:right="-156" w:hanging="540"/>
              <w:rPr>
                <w:rFonts w:ascii="Verdana" w:hAnsi="Verdana"/>
                <w:sz w:val="22"/>
                <w:szCs w:val="22"/>
                <w:lang w:val="es-CR"/>
              </w:rPr>
            </w:pPr>
            <w:r w:rsidRPr="00205C60">
              <w:rPr>
                <w:rFonts w:ascii="Verdana" w:hAnsi="Verdana"/>
                <w:sz w:val="22"/>
                <w:szCs w:val="22"/>
                <w:lang w:val="es-CR"/>
              </w:rPr>
              <w:t>Pasivos de los contratos</w:t>
            </w:r>
            <w:r w:rsidR="008549D6" w:rsidRPr="00205C60">
              <w:rPr>
                <w:rFonts w:ascii="Verdana" w:hAnsi="Verdana"/>
                <w:sz w:val="22"/>
                <w:szCs w:val="22"/>
                <w:lang w:val="es-CR"/>
              </w:rPr>
              <w:t>-</w:t>
            </w:r>
            <w:r w:rsidR="009D5888" w:rsidRPr="00205C60">
              <w:rPr>
                <w:rFonts w:ascii="Verdana" w:hAnsi="Verdana"/>
                <w:sz w:val="22"/>
                <w:szCs w:val="22"/>
                <w:lang w:val="es-CR"/>
              </w:rPr>
              <w:t>Depósitos en garantía recibidos por servicios</w:t>
            </w:r>
          </w:p>
        </w:tc>
        <w:tc>
          <w:tcPr>
            <w:tcW w:w="356" w:type="dxa"/>
            <w:tcBorders>
              <w:top w:val="nil"/>
              <w:left w:val="nil"/>
              <w:bottom w:val="nil"/>
              <w:right w:val="nil"/>
            </w:tcBorders>
            <w:shd w:val="clear" w:color="auto" w:fill="auto"/>
            <w:noWrap/>
            <w:vAlign w:val="bottom"/>
          </w:tcPr>
          <w:p w14:paraId="3CA7EB9D" w14:textId="77777777" w:rsidR="009D5888" w:rsidRPr="00205C60" w:rsidRDefault="009D5888" w:rsidP="00B1483C">
            <w:pPr>
              <w:rPr>
                <w:rFonts w:ascii="Verdana" w:hAnsi="Verdana"/>
                <w:sz w:val="22"/>
                <w:szCs w:val="22"/>
                <w:lang w:val="es-CR"/>
              </w:rPr>
            </w:pPr>
          </w:p>
        </w:tc>
        <w:tc>
          <w:tcPr>
            <w:tcW w:w="1709" w:type="dxa"/>
            <w:tcBorders>
              <w:top w:val="nil"/>
              <w:left w:val="nil"/>
              <w:bottom w:val="nil"/>
              <w:right w:val="nil"/>
            </w:tcBorders>
            <w:shd w:val="clear" w:color="auto" w:fill="auto"/>
            <w:noWrap/>
            <w:vAlign w:val="bottom"/>
          </w:tcPr>
          <w:p w14:paraId="3CA7EB9E" w14:textId="1117E344" w:rsidR="009D5888" w:rsidRPr="00205C60" w:rsidRDefault="009D5888" w:rsidP="00B1483C">
            <w:pPr>
              <w:jc w:val="right"/>
              <w:rPr>
                <w:rFonts w:ascii="Verdana" w:hAnsi="Verdana"/>
                <w:color w:val="000000"/>
                <w:sz w:val="22"/>
                <w:szCs w:val="22"/>
                <w:lang w:val="es-CR"/>
              </w:rPr>
            </w:pPr>
            <w:r w:rsidRPr="00205C60">
              <w:rPr>
                <w:rFonts w:ascii="Verdana" w:hAnsi="Verdana"/>
                <w:color w:val="000000"/>
                <w:sz w:val="22"/>
                <w:szCs w:val="22"/>
                <w:lang w:val="es-CR"/>
              </w:rPr>
              <w:t>(2</w:t>
            </w:r>
            <w:r w:rsidR="00E0227D" w:rsidRPr="00205C60">
              <w:rPr>
                <w:rFonts w:ascii="Verdana" w:hAnsi="Verdana"/>
                <w:color w:val="000000"/>
                <w:sz w:val="22"/>
                <w:szCs w:val="22"/>
                <w:lang w:val="es-CR"/>
              </w:rPr>
              <w:t>2.469.091</w:t>
            </w:r>
            <w:r w:rsidRPr="00205C60">
              <w:rPr>
                <w:rFonts w:ascii="Verdana" w:hAnsi="Verdana"/>
                <w:color w:val="000000"/>
                <w:sz w:val="22"/>
                <w:szCs w:val="22"/>
                <w:lang w:val="es-CR"/>
              </w:rPr>
              <w:t>)</w:t>
            </w:r>
          </w:p>
        </w:tc>
        <w:tc>
          <w:tcPr>
            <w:tcW w:w="222" w:type="dxa"/>
            <w:tcBorders>
              <w:top w:val="nil"/>
              <w:left w:val="nil"/>
              <w:bottom w:val="nil"/>
              <w:right w:val="nil"/>
            </w:tcBorders>
            <w:shd w:val="clear" w:color="auto" w:fill="auto"/>
          </w:tcPr>
          <w:p w14:paraId="3CA7EB9F" w14:textId="77777777" w:rsidR="009D5888" w:rsidRPr="00205C60" w:rsidRDefault="009D5888" w:rsidP="00B1483C">
            <w:pPr>
              <w:ind w:left="-126"/>
              <w:jc w:val="right"/>
              <w:rPr>
                <w:rFonts w:ascii="Verdana" w:hAnsi="Verdana"/>
                <w:sz w:val="22"/>
                <w:szCs w:val="22"/>
                <w:lang w:val="es-CR"/>
              </w:rPr>
            </w:pPr>
          </w:p>
        </w:tc>
        <w:tc>
          <w:tcPr>
            <w:tcW w:w="1707" w:type="dxa"/>
            <w:tcBorders>
              <w:top w:val="nil"/>
              <w:left w:val="nil"/>
              <w:bottom w:val="nil"/>
              <w:right w:val="nil"/>
            </w:tcBorders>
            <w:shd w:val="clear" w:color="auto" w:fill="auto"/>
            <w:noWrap/>
            <w:vAlign w:val="bottom"/>
          </w:tcPr>
          <w:p w14:paraId="3CA7EBA0" w14:textId="77777777" w:rsidR="009D5888" w:rsidRPr="00205C60" w:rsidRDefault="009D5888" w:rsidP="00B1483C">
            <w:pPr>
              <w:ind w:left="-126" w:right="-72"/>
              <w:jc w:val="center"/>
              <w:rPr>
                <w:rFonts w:ascii="Verdana" w:hAnsi="Verdana"/>
                <w:sz w:val="22"/>
                <w:szCs w:val="22"/>
                <w:lang w:val="es-CR"/>
              </w:rPr>
            </w:pPr>
            <w:r w:rsidRPr="00205C60">
              <w:rPr>
                <w:rFonts w:ascii="Verdana" w:hAnsi="Verdana"/>
                <w:sz w:val="22"/>
                <w:szCs w:val="22"/>
                <w:lang w:val="es-CR"/>
              </w:rPr>
              <w:t>-</w:t>
            </w:r>
          </w:p>
        </w:tc>
        <w:tc>
          <w:tcPr>
            <w:tcW w:w="222" w:type="dxa"/>
            <w:tcBorders>
              <w:top w:val="nil"/>
              <w:left w:val="nil"/>
              <w:bottom w:val="nil"/>
              <w:right w:val="nil"/>
            </w:tcBorders>
            <w:shd w:val="clear" w:color="auto" w:fill="auto"/>
          </w:tcPr>
          <w:p w14:paraId="3CA7EBA1" w14:textId="77777777" w:rsidR="009D5888" w:rsidRPr="00205C60" w:rsidRDefault="009D5888" w:rsidP="00B1483C">
            <w:pPr>
              <w:ind w:left="-126"/>
              <w:jc w:val="right"/>
              <w:rPr>
                <w:rFonts w:ascii="Verdana" w:hAnsi="Verdana"/>
                <w:sz w:val="22"/>
                <w:szCs w:val="22"/>
                <w:lang w:val="es-CR"/>
              </w:rPr>
            </w:pPr>
          </w:p>
        </w:tc>
        <w:tc>
          <w:tcPr>
            <w:tcW w:w="1709" w:type="dxa"/>
            <w:gridSpan w:val="2"/>
            <w:tcBorders>
              <w:top w:val="nil"/>
              <w:left w:val="nil"/>
              <w:bottom w:val="nil"/>
              <w:right w:val="nil"/>
            </w:tcBorders>
            <w:shd w:val="clear" w:color="auto" w:fill="auto"/>
            <w:noWrap/>
            <w:vAlign w:val="bottom"/>
          </w:tcPr>
          <w:p w14:paraId="3CA7EBA2" w14:textId="588C1D69" w:rsidR="009D5888" w:rsidRPr="00205C60" w:rsidRDefault="009D5888" w:rsidP="00B1483C">
            <w:pPr>
              <w:ind w:left="-126" w:right="-72"/>
              <w:jc w:val="right"/>
              <w:rPr>
                <w:rFonts w:ascii="Verdana" w:hAnsi="Verdana"/>
                <w:sz w:val="22"/>
                <w:szCs w:val="22"/>
                <w:lang w:val="es-CR"/>
              </w:rPr>
            </w:pPr>
            <w:r w:rsidRPr="00205C60">
              <w:rPr>
                <w:rFonts w:ascii="Verdana" w:hAnsi="Verdana"/>
                <w:sz w:val="22"/>
                <w:szCs w:val="22"/>
                <w:lang w:val="es-CR"/>
              </w:rPr>
              <w:t>(2</w:t>
            </w:r>
            <w:r w:rsidR="00B20126" w:rsidRPr="00205C60">
              <w:rPr>
                <w:rFonts w:ascii="Verdana" w:hAnsi="Verdana"/>
                <w:sz w:val="22"/>
                <w:szCs w:val="22"/>
                <w:lang w:val="es-CR"/>
              </w:rPr>
              <w:t>2.469.091</w:t>
            </w:r>
            <w:r w:rsidRPr="00205C60">
              <w:rPr>
                <w:rFonts w:ascii="Verdana" w:hAnsi="Verdana"/>
                <w:sz w:val="22"/>
                <w:szCs w:val="22"/>
                <w:lang w:val="es-CR"/>
              </w:rPr>
              <w:t>)</w:t>
            </w:r>
          </w:p>
        </w:tc>
      </w:tr>
      <w:tr w:rsidR="009D5888" w:rsidRPr="00205C60" w14:paraId="3CA7EBAB" w14:textId="77777777" w:rsidTr="00922EE8">
        <w:trPr>
          <w:gridAfter w:val="1"/>
          <w:wAfter w:w="28" w:type="dxa"/>
          <w:trHeight w:val="291"/>
        </w:trPr>
        <w:tc>
          <w:tcPr>
            <w:tcW w:w="3642" w:type="dxa"/>
            <w:tcBorders>
              <w:top w:val="nil"/>
              <w:left w:val="nil"/>
              <w:bottom w:val="nil"/>
              <w:right w:val="nil"/>
            </w:tcBorders>
            <w:shd w:val="clear" w:color="auto" w:fill="auto"/>
            <w:noWrap/>
            <w:vAlign w:val="bottom"/>
            <w:hideMark/>
          </w:tcPr>
          <w:p w14:paraId="3CA7EBA4" w14:textId="77777777" w:rsidR="009D5888" w:rsidRPr="00205C60" w:rsidRDefault="009D5888" w:rsidP="00B1483C">
            <w:pPr>
              <w:ind w:left="792" w:right="-156" w:hanging="720"/>
              <w:rPr>
                <w:rFonts w:ascii="Verdana" w:hAnsi="Verdana"/>
                <w:sz w:val="22"/>
                <w:szCs w:val="22"/>
                <w:lang w:val="es-CR"/>
              </w:rPr>
            </w:pPr>
            <w:r w:rsidRPr="00205C60">
              <w:rPr>
                <w:rFonts w:ascii="Verdana" w:hAnsi="Verdana"/>
                <w:sz w:val="22"/>
                <w:szCs w:val="22"/>
                <w:lang w:val="es-CR"/>
              </w:rPr>
              <w:t>Gastos acumulados por pagar y otras cuentas por pagar</w:t>
            </w:r>
          </w:p>
        </w:tc>
        <w:tc>
          <w:tcPr>
            <w:tcW w:w="356" w:type="dxa"/>
            <w:tcBorders>
              <w:top w:val="nil"/>
              <w:left w:val="nil"/>
              <w:bottom w:val="nil"/>
              <w:right w:val="nil"/>
            </w:tcBorders>
            <w:shd w:val="clear" w:color="auto" w:fill="auto"/>
            <w:noWrap/>
            <w:vAlign w:val="bottom"/>
            <w:hideMark/>
          </w:tcPr>
          <w:p w14:paraId="3CA7EBA5" w14:textId="77777777" w:rsidR="009D5888" w:rsidRPr="00205C60" w:rsidRDefault="009D5888" w:rsidP="00B1483C">
            <w:pPr>
              <w:rPr>
                <w:rFonts w:ascii="Verdana" w:hAnsi="Verdana"/>
                <w:sz w:val="22"/>
                <w:szCs w:val="22"/>
                <w:lang w:val="es-CR"/>
              </w:rPr>
            </w:pPr>
          </w:p>
        </w:tc>
        <w:tc>
          <w:tcPr>
            <w:tcW w:w="1709" w:type="dxa"/>
            <w:tcBorders>
              <w:top w:val="nil"/>
              <w:left w:val="nil"/>
              <w:bottom w:val="nil"/>
              <w:right w:val="nil"/>
            </w:tcBorders>
            <w:shd w:val="clear" w:color="auto" w:fill="auto"/>
            <w:noWrap/>
            <w:vAlign w:val="bottom"/>
          </w:tcPr>
          <w:p w14:paraId="3CA7EBA6" w14:textId="7AE478F1" w:rsidR="009D5888" w:rsidRPr="00205C60" w:rsidRDefault="009D5888" w:rsidP="00B1483C">
            <w:pPr>
              <w:ind w:left="-126" w:right="-72"/>
              <w:jc w:val="right"/>
              <w:rPr>
                <w:rFonts w:ascii="Verdana" w:hAnsi="Verdana"/>
                <w:sz w:val="22"/>
                <w:szCs w:val="22"/>
                <w:lang w:val="es-CR"/>
              </w:rPr>
            </w:pPr>
            <w:r w:rsidRPr="00205C60">
              <w:rPr>
                <w:rFonts w:ascii="Verdana" w:hAnsi="Verdana"/>
                <w:sz w:val="22"/>
                <w:szCs w:val="22"/>
                <w:lang w:val="es-CR"/>
              </w:rPr>
              <w:t>(</w:t>
            </w:r>
            <w:r w:rsidR="00E0227D" w:rsidRPr="00205C60">
              <w:rPr>
                <w:rFonts w:ascii="Verdana" w:hAnsi="Verdana"/>
                <w:sz w:val="22"/>
                <w:szCs w:val="22"/>
                <w:lang w:val="es-CR"/>
              </w:rPr>
              <w:t>1.906.291</w:t>
            </w:r>
            <w:r w:rsidRPr="00205C60">
              <w:rPr>
                <w:rFonts w:ascii="Verdana" w:hAnsi="Verdana"/>
                <w:sz w:val="22"/>
                <w:szCs w:val="22"/>
                <w:lang w:val="es-CR"/>
              </w:rPr>
              <w:t>)</w:t>
            </w:r>
          </w:p>
        </w:tc>
        <w:tc>
          <w:tcPr>
            <w:tcW w:w="222" w:type="dxa"/>
            <w:tcBorders>
              <w:top w:val="nil"/>
              <w:left w:val="nil"/>
              <w:bottom w:val="nil"/>
              <w:right w:val="nil"/>
            </w:tcBorders>
            <w:shd w:val="clear" w:color="auto" w:fill="auto"/>
          </w:tcPr>
          <w:p w14:paraId="3CA7EBA7" w14:textId="77777777" w:rsidR="009D5888" w:rsidRPr="00205C60" w:rsidRDefault="009D5888" w:rsidP="00B1483C">
            <w:pPr>
              <w:ind w:left="-126"/>
              <w:jc w:val="right"/>
              <w:rPr>
                <w:rFonts w:ascii="Verdana" w:hAnsi="Verdana"/>
                <w:sz w:val="22"/>
                <w:szCs w:val="22"/>
                <w:lang w:val="es-CR"/>
              </w:rPr>
            </w:pPr>
          </w:p>
        </w:tc>
        <w:tc>
          <w:tcPr>
            <w:tcW w:w="1707" w:type="dxa"/>
            <w:tcBorders>
              <w:top w:val="nil"/>
              <w:left w:val="nil"/>
              <w:bottom w:val="nil"/>
              <w:right w:val="nil"/>
            </w:tcBorders>
            <w:shd w:val="clear" w:color="auto" w:fill="auto"/>
            <w:noWrap/>
            <w:vAlign w:val="bottom"/>
          </w:tcPr>
          <w:p w14:paraId="3CA7EBA8" w14:textId="38A3FFA3" w:rsidR="009D5888" w:rsidRPr="00205C60" w:rsidRDefault="009D5888" w:rsidP="00B1483C">
            <w:pPr>
              <w:ind w:left="-126"/>
              <w:jc w:val="right"/>
              <w:rPr>
                <w:rFonts w:ascii="Verdana" w:hAnsi="Verdana"/>
                <w:sz w:val="22"/>
                <w:szCs w:val="22"/>
                <w:lang w:val="es-CR"/>
              </w:rPr>
            </w:pPr>
            <w:r w:rsidRPr="00205C60">
              <w:rPr>
                <w:rFonts w:ascii="Verdana" w:hAnsi="Verdana"/>
                <w:sz w:val="22"/>
                <w:szCs w:val="22"/>
                <w:lang w:val="es-CR"/>
              </w:rPr>
              <w:t>(</w:t>
            </w:r>
            <w:r w:rsidR="00B20126" w:rsidRPr="00205C60">
              <w:rPr>
                <w:rFonts w:ascii="Verdana" w:hAnsi="Verdana"/>
                <w:sz w:val="22"/>
                <w:szCs w:val="22"/>
                <w:lang w:val="es-CR"/>
              </w:rPr>
              <w:t>13</w:t>
            </w:r>
            <w:r w:rsidR="001B1598" w:rsidRPr="00205C60">
              <w:rPr>
                <w:rFonts w:ascii="Verdana" w:hAnsi="Verdana"/>
                <w:sz w:val="22"/>
                <w:szCs w:val="22"/>
                <w:lang w:val="es-CR"/>
              </w:rPr>
              <w:t>6</w:t>
            </w:r>
            <w:r w:rsidR="00B20126" w:rsidRPr="00205C60">
              <w:rPr>
                <w:rFonts w:ascii="Verdana" w:hAnsi="Verdana"/>
                <w:sz w:val="22"/>
                <w:szCs w:val="22"/>
                <w:lang w:val="es-CR"/>
              </w:rPr>
              <w:t>.887</w:t>
            </w:r>
            <w:r w:rsidRPr="00205C60">
              <w:rPr>
                <w:rFonts w:ascii="Verdana" w:hAnsi="Verdana"/>
                <w:sz w:val="22"/>
                <w:szCs w:val="22"/>
                <w:lang w:val="es-CR"/>
              </w:rPr>
              <w:t>)</w:t>
            </w:r>
          </w:p>
        </w:tc>
        <w:tc>
          <w:tcPr>
            <w:tcW w:w="222" w:type="dxa"/>
            <w:tcBorders>
              <w:top w:val="nil"/>
              <w:left w:val="nil"/>
              <w:bottom w:val="nil"/>
              <w:right w:val="nil"/>
            </w:tcBorders>
            <w:shd w:val="clear" w:color="auto" w:fill="auto"/>
          </w:tcPr>
          <w:p w14:paraId="3CA7EBA9" w14:textId="77777777" w:rsidR="009D5888" w:rsidRPr="00205C60" w:rsidRDefault="009D5888" w:rsidP="00B1483C">
            <w:pPr>
              <w:ind w:left="-126"/>
              <w:jc w:val="right"/>
              <w:rPr>
                <w:rFonts w:ascii="Verdana" w:hAnsi="Verdana"/>
                <w:sz w:val="22"/>
                <w:szCs w:val="22"/>
                <w:lang w:val="es-CR"/>
              </w:rPr>
            </w:pPr>
          </w:p>
        </w:tc>
        <w:tc>
          <w:tcPr>
            <w:tcW w:w="1709" w:type="dxa"/>
            <w:gridSpan w:val="2"/>
            <w:tcBorders>
              <w:top w:val="nil"/>
              <w:left w:val="nil"/>
              <w:bottom w:val="nil"/>
              <w:right w:val="nil"/>
            </w:tcBorders>
            <w:shd w:val="clear" w:color="auto" w:fill="auto"/>
            <w:noWrap/>
            <w:vAlign w:val="bottom"/>
          </w:tcPr>
          <w:p w14:paraId="3CA7EBAA" w14:textId="472B8F3A" w:rsidR="009D5888" w:rsidRPr="00205C60" w:rsidRDefault="009D5888" w:rsidP="00B1483C">
            <w:pPr>
              <w:ind w:left="-126" w:right="-72"/>
              <w:jc w:val="right"/>
              <w:rPr>
                <w:rFonts w:ascii="Verdana" w:hAnsi="Verdana"/>
                <w:sz w:val="22"/>
                <w:szCs w:val="22"/>
                <w:lang w:val="es-CR"/>
              </w:rPr>
            </w:pPr>
            <w:r w:rsidRPr="00205C60">
              <w:rPr>
                <w:rFonts w:ascii="Verdana" w:hAnsi="Verdana"/>
                <w:sz w:val="22"/>
                <w:szCs w:val="22"/>
                <w:lang w:val="es-CR"/>
              </w:rPr>
              <w:t>(</w:t>
            </w:r>
            <w:r w:rsidR="00B20126" w:rsidRPr="00205C60">
              <w:rPr>
                <w:rFonts w:ascii="Verdana" w:hAnsi="Verdana"/>
                <w:sz w:val="22"/>
                <w:szCs w:val="22"/>
                <w:lang w:val="es-CR"/>
              </w:rPr>
              <w:t>2.043.178</w:t>
            </w:r>
            <w:r w:rsidRPr="00205C60">
              <w:rPr>
                <w:rFonts w:ascii="Verdana" w:hAnsi="Verdana"/>
                <w:sz w:val="22"/>
                <w:szCs w:val="22"/>
                <w:lang w:val="es-CR"/>
              </w:rPr>
              <w:t>)</w:t>
            </w:r>
          </w:p>
        </w:tc>
      </w:tr>
      <w:tr w:rsidR="009D5888" w:rsidRPr="00205C60" w14:paraId="3CA7EBB3" w14:textId="77777777" w:rsidTr="00922EE8">
        <w:trPr>
          <w:gridAfter w:val="1"/>
          <w:wAfter w:w="28" w:type="dxa"/>
          <w:trHeight w:val="70"/>
        </w:trPr>
        <w:tc>
          <w:tcPr>
            <w:tcW w:w="3642" w:type="dxa"/>
            <w:tcBorders>
              <w:top w:val="nil"/>
              <w:left w:val="nil"/>
              <w:bottom w:val="nil"/>
              <w:right w:val="nil"/>
            </w:tcBorders>
            <w:shd w:val="clear" w:color="auto" w:fill="auto"/>
            <w:noWrap/>
            <w:vAlign w:val="bottom"/>
            <w:hideMark/>
          </w:tcPr>
          <w:p w14:paraId="3CA7EBAC" w14:textId="77777777" w:rsidR="009D5888" w:rsidRPr="00205C60" w:rsidRDefault="009D5888" w:rsidP="00B1483C">
            <w:pPr>
              <w:ind w:right="-156" w:firstLineChars="330" w:firstLine="726"/>
              <w:rPr>
                <w:rFonts w:ascii="Verdana" w:hAnsi="Verdana"/>
                <w:color w:val="000000"/>
                <w:sz w:val="22"/>
                <w:szCs w:val="22"/>
                <w:lang w:val="es-CR"/>
              </w:rPr>
            </w:pPr>
            <w:r w:rsidRPr="00205C60">
              <w:rPr>
                <w:rFonts w:ascii="Verdana" w:hAnsi="Verdana"/>
                <w:color w:val="000000"/>
                <w:sz w:val="22"/>
                <w:szCs w:val="22"/>
                <w:lang w:val="es-CR"/>
              </w:rPr>
              <w:t>Exposición del balance</w:t>
            </w:r>
          </w:p>
        </w:tc>
        <w:tc>
          <w:tcPr>
            <w:tcW w:w="356" w:type="dxa"/>
            <w:tcBorders>
              <w:top w:val="nil"/>
              <w:left w:val="nil"/>
              <w:bottom w:val="nil"/>
              <w:right w:val="nil"/>
            </w:tcBorders>
            <w:shd w:val="clear" w:color="auto" w:fill="auto"/>
            <w:noWrap/>
            <w:vAlign w:val="bottom"/>
            <w:hideMark/>
          </w:tcPr>
          <w:p w14:paraId="3CA7EBAD" w14:textId="77777777" w:rsidR="009D5888" w:rsidRPr="00205C60" w:rsidRDefault="009D5888" w:rsidP="00B1483C">
            <w:pPr>
              <w:jc w:val="center"/>
              <w:rPr>
                <w:rFonts w:ascii="Verdana" w:hAnsi="Verdana"/>
                <w:sz w:val="22"/>
                <w:szCs w:val="22"/>
                <w:lang w:val="es-CR"/>
              </w:rPr>
            </w:pPr>
            <w:r w:rsidRPr="00205C60">
              <w:rPr>
                <w:rFonts w:ascii="Verdana" w:hAnsi="Verdana"/>
                <w:sz w:val="22"/>
                <w:szCs w:val="22"/>
                <w:lang w:val="es-CR"/>
              </w:rPr>
              <w:t>¢</w:t>
            </w:r>
          </w:p>
        </w:tc>
        <w:tc>
          <w:tcPr>
            <w:tcW w:w="1709" w:type="dxa"/>
            <w:tcBorders>
              <w:top w:val="single" w:sz="4" w:space="0" w:color="auto"/>
              <w:left w:val="nil"/>
              <w:bottom w:val="double" w:sz="6" w:space="0" w:color="auto"/>
              <w:right w:val="nil"/>
            </w:tcBorders>
            <w:shd w:val="clear" w:color="auto" w:fill="auto"/>
            <w:noWrap/>
            <w:vAlign w:val="center"/>
          </w:tcPr>
          <w:p w14:paraId="3CA7EBAE" w14:textId="71B968FC" w:rsidR="009D5888" w:rsidRPr="00205C60" w:rsidRDefault="009D5888" w:rsidP="00B1483C">
            <w:pPr>
              <w:ind w:left="-126" w:right="-72"/>
              <w:jc w:val="right"/>
              <w:rPr>
                <w:rFonts w:ascii="Verdana" w:hAnsi="Verdana"/>
                <w:sz w:val="22"/>
                <w:szCs w:val="22"/>
                <w:lang w:val="es-CR"/>
              </w:rPr>
            </w:pPr>
            <w:r w:rsidRPr="00205C60">
              <w:rPr>
                <w:rFonts w:ascii="Verdana" w:hAnsi="Verdana"/>
                <w:sz w:val="22"/>
                <w:szCs w:val="22"/>
                <w:lang w:val="es-CR"/>
              </w:rPr>
              <w:t>(</w:t>
            </w:r>
            <w:r w:rsidR="006917EA" w:rsidRPr="00205C60">
              <w:rPr>
                <w:rFonts w:ascii="Verdana" w:hAnsi="Verdana"/>
                <w:sz w:val="22"/>
                <w:szCs w:val="22"/>
                <w:lang w:val="es-CR"/>
              </w:rPr>
              <w:t>178.772.859</w:t>
            </w:r>
            <w:r w:rsidRPr="00205C60">
              <w:rPr>
                <w:rFonts w:ascii="Verdana" w:hAnsi="Verdana"/>
                <w:sz w:val="22"/>
                <w:szCs w:val="22"/>
                <w:lang w:val="es-CR"/>
              </w:rPr>
              <w:t>)</w:t>
            </w:r>
          </w:p>
        </w:tc>
        <w:tc>
          <w:tcPr>
            <w:tcW w:w="222" w:type="dxa"/>
            <w:tcBorders>
              <w:top w:val="nil"/>
              <w:left w:val="nil"/>
              <w:bottom w:val="nil"/>
              <w:right w:val="nil"/>
            </w:tcBorders>
            <w:shd w:val="clear" w:color="auto" w:fill="auto"/>
            <w:vAlign w:val="center"/>
          </w:tcPr>
          <w:p w14:paraId="3CA7EBAF" w14:textId="77777777" w:rsidR="009D5888" w:rsidRPr="00205C60" w:rsidRDefault="009D5888" w:rsidP="00B1483C">
            <w:pPr>
              <w:ind w:left="-126"/>
              <w:jc w:val="right"/>
              <w:rPr>
                <w:rFonts w:ascii="Verdana" w:hAnsi="Verdana"/>
                <w:sz w:val="22"/>
                <w:szCs w:val="22"/>
                <w:lang w:val="es-CR"/>
              </w:rPr>
            </w:pPr>
          </w:p>
        </w:tc>
        <w:tc>
          <w:tcPr>
            <w:tcW w:w="1707" w:type="dxa"/>
            <w:tcBorders>
              <w:top w:val="single" w:sz="4" w:space="0" w:color="auto"/>
              <w:left w:val="nil"/>
              <w:bottom w:val="double" w:sz="6" w:space="0" w:color="auto"/>
              <w:right w:val="nil"/>
            </w:tcBorders>
            <w:shd w:val="clear" w:color="auto" w:fill="auto"/>
            <w:noWrap/>
            <w:vAlign w:val="center"/>
          </w:tcPr>
          <w:p w14:paraId="3CA7EBB0" w14:textId="5F90B9FA" w:rsidR="009D5888" w:rsidRPr="00205C60" w:rsidRDefault="009D5888" w:rsidP="00B1483C">
            <w:pPr>
              <w:ind w:left="-126"/>
              <w:jc w:val="right"/>
              <w:rPr>
                <w:rFonts w:ascii="Verdana" w:hAnsi="Verdana"/>
                <w:sz w:val="22"/>
                <w:szCs w:val="22"/>
                <w:lang w:val="es-CR"/>
              </w:rPr>
            </w:pPr>
            <w:r w:rsidRPr="00205C60">
              <w:rPr>
                <w:rFonts w:ascii="Verdana" w:hAnsi="Verdana"/>
                <w:sz w:val="22"/>
                <w:szCs w:val="22"/>
                <w:lang w:val="es-CR"/>
              </w:rPr>
              <w:t>(</w:t>
            </w:r>
            <w:r w:rsidR="00B20126" w:rsidRPr="00205C60">
              <w:rPr>
                <w:rFonts w:ascii="Verdana" w:hAnsi="Verdana"/>
                <w:sz w:val="22"/>
                <w:szCs w:val="22"/>
                <w:lang w:val="es-CR"/>
              </w:rPr>
              <w:t>19.666.038</w:t>
            </w:r>
            <w:r w:rsidRPr="00205C60">
              <w:rPr>
                <w:rFonts w:ascii="Verdana" w:hAnsi="Verdana"/>
                <w:sz w:val="22"/>
                <w:szCs w:val="22"/>
                <w:lang w:val="es-CR"/>
              </w:rPr>
              <w:t>)</w:t>
            </w:r>
          </w:p>
        </w:tc>
        <w:tc>
          <w:tcPr>
            <w:tcW w:w="222" w:type="dxa"/>
            <w:tcBorders>
              <w:top w:val="nil"/>
              <w:left w:val="nil"/>
              <w:bottom w:val="nil"/>
              <w:right w:val="nil"/>
            </w:tcBorders>
            <w:shd w:val="clear" w:color="auto" w:fill="auto"/>
            <w:vAlign w:val="center"/>
          </w:tcPr>
          <w:p w14:paraId="3CA7EBB1" w14:textId="77777777" w:rsidR="009D5888" w:rsidRPr="00205C60" w:rsidRDefault="009D5888" w:rsidP="00B1483C">
            <w:pPr>
              <w:ind w:left="-126"/>
              <w:jc w:val="right"/>
              <w:rPr>
                <w:rFonts w:ascii="Verdana" w:hAnsi="Verdana"/>
                <w:sz w:val="22"/>
                <w:szCs w:val="22"/>
                <w:lang w:val="es-CR"/>
              </w:rPr>
            </w:pPr>
          </w:p>
        </w:tc>
        <w:tc>
          <w:tcPr>
            <w:tcW w:w="1709" w:type="dxa"/>
            <w:gridSpan w:val="2"/>
            <w:tcBorders>
              <w:top w:val="single" w:sz="4" w:space="0" w:color="auto"/>
              <w:left w:val="nil"/>
              <w:bottom w:val="double" w:sz="6" w:space="0" w:color="auto"/>
              <w:right w:val="nil"/>
            </w:tcBorders>
            <w:shd w:val="clear" w:color="auto" w:fill="auto"/>
            <w:noWrap/>
            <w:vAlign w:val="center"/>
          </w:tcPr>
          <w:p w14:paraId="3CA7EBB2" w14:textId="5920274F" w:rsidR="009D5888" w:rsidRPr="00205C60" w:rsidRDefault="009D5888" w:rsidP="00B1483C">
            <w:pPr>
              <w:ind w:left="-126" w:right="-94"/>
              <w:jc w:val="right"/>
              <w:rPr>
                <w:rFonts w:ascii="Verdana" w:hAnsi="Verdana"/>
                <w:sz w:val="22"/>
                <w:szCs w:val="22"/>
                <w:lang w:val="es-CR"/>
              </w:rPr>
            </w:pPr>
            <w:r w:rsidRPr="00205C60">
              <w:rPr>
                <w:rFonts w:ascii="Verdana" w:hAnsi="Verdana"/>
                <w:sz w:val="22"/>
                <w:szCs w:val="22"/>
                <w:lang w:val="es-CR"/>
              </w:rPr>
              <w:t>(</w:t>
            </w:r>
            <w:r w:rsidR="00B20126" w:rsidRPr="00205C60">
              <w:rPr>
                <w:rFonts w:ascii="Verdana" w:hAnsi="Verdana"/>
                <w:sz w:val="22"/>
                <w:szCs w:val="22"/>
                <w:lang w:val="es-CR"/>
              </w:rPr>
              <w:t>198.438.897</w:t>
            </w:r>
            <w:r w:rsidRPr="00205C60">
              <w:rPr>
                <w:rFonts w:ascii="Verdana" w:hAnsi="Verdana"/>
                <w:sz w:val="22"/>
                <w:szCs w:val="22"/>
                <w:lang w:val="es-CR"/>
              </w:rPr>
              <w:t>)</w:t>
            </w:r>
          </w:p>
        </w:tc>
      </w:tr>
    </w:tbl>
    <w:p w14:paraId="3CA7EBB4" w14:textId="77777777" w:rsidR="009D5888" w:rsidRPr="00205C60" w:rsidRDefault="009D5888" w:rsidP="009D5888">
      <w:pPr>
        <w:rPr>
          <w:rFonts w:ascii="Verdana" w:hAnsi="Verdana"/>
          <w:sz w:val="22"/>
          <w:szCs w:val="22"/>
          <w:lang w:val="es-CR"/>
        </w:rPr>
      </w:pPr>
    </w:p>
    <w:p w14:paraId="3B8C1769" w14:textId="77777777" w:rsidR="00B825C2" w:rsidRPr="00205C60" w:rsidRDefault="00B825C2" w:rsidP="009D5888">
      <w:pPr>
        <w:autoSpaceDE w:val="0"/>
        <w:autoSpaceDN w:val="0"/>
        <w:adjustRightInd w:val="0"/>
        <w:ind w:left="1440" w:hanging="720"/>
        <w:rPr>
          <w:rFonts w:ascii="Verdana" w:hAnsi="Verdana"/>
          <w:color w:val="000000"/>
          <w:sz w:val="22"/>
          <w:szCs w:val="22"/>
          <w:lang w:val="es-CR"/>
        </w:rPr>
      </w:pPr>
    </w:p>
    <w:p w14:paraId="3CA7EC0E" w14:textId="4D61C9EB" w:rsidR="009D5888" w:rsidRPr="00205C60" w:rsidRDefault="009D5888" w:rsidP="009D5888">
      <w:pPr>
        <w:autoSpaceDE w:val="0"/>
        <w:autoSpaceDN w:val="0"/>
        <w:adjustRightInd w:val="0"/>
        <w:ind w:left="1440" w:hanging="720"/>
        <w:rPr>
          <w:rFonts w:ascii="Verdana" w:hAnsi="Verdana"/>
          <w:color w:val="000000"/>
          <w:sz w:val="22"/>
          <w:szCs w:val="22"/>
          <w:lang w:val="es-CR"/>
        </w:rPr>
      </w:pPr>
      <w:r w:rsidRPr="00205C60">
        <w:rPr>
          <w:rFonts w:ascii="Verdana" w:hAnsi="Verdana"/>
          <w:color w:val="000000"/>
          <w:sz w:val="22"/>
          <w:szCs w:val="22"/>
          <w:lang w:val="es-CR"/>
        </w:rPr>
        <w:t>Los tipos de cambio más significativos aplicados durante el año son los siguientes:</w:t>
      </w:r>
    </w:p>
    <w:p w14:paraId="3CA7EC0F" w14:textId="77777777" w:rsidR="009D5888" w:rsidRPr="00205C60" w:rsidRDefault="009D5888" w:rsidP="009D5888">
      <w:pPr>
        <w:pStyle w:val="tab5"/>
        <w:widowControl w:val="0"/>
        <w:autoSpaceDE w:val="0"/>
        <w:autoSpaceDN w:val="0"/>
        <w:adjustRightInd w:val="0"/>
        <w:ind w:left="0" w:firstLine="0"/>
        <w:rPr>
          <w:rFonts w:ascii="Verdana" w:hAnsi="Verdana"/>
          <w:sz w:val="22"/>
          <w:szCs w:val="22"/>
          <w:lang w:val="es-CR"/>
        </w:rPr>
      </w:pPr>
    </w:p>
    <w:tbl>
      <w:tblPr>
        <w:tblW w:w="9210" w:type="dxa"/>
        <w:tblInd w:w="504" w:type="dxa"/>
        <w:tblLayout w:type="fixed"/>
        <w:tblLook w:val="00A0" w:firstRow="1" w:lastRow="0" w:firstColumn="1" w:lastColumn="0" w:noHBand="0" w:noVBand="0"/>
      </w:tblPr>
      <w:tblGrid>
        <w:gridCol w:w="3753"/>
        <w:gridCol w:w="310"/>
        <w:gridCol w:w="1007"/>
        <w:gridCol w:w="310"/>
        <w:gridCol w:w="1036"/>
        <w:gridCol w:w="310"/>
        <w:gridCol w:w="1035"/>
        <w:gridCol w:w="414"/>
        <w:gridCol w:w="1035"/>
      </w:tblGrid>
      <w:tr w:rsidR="009D5888" w:rsidRPr="00205C60" w14:paraId="3CA7EC13" w14:textId="77777777" w:rsidTr="00C749B6">
        <w:trPr>
          <w:trHeight w:val="242"/>
        </w:trPr>
        <w:tc>
          <w:tcPr>
            <w:tcW w:w="3753" w:type="dxa"/>
          </w:tcPr>
          <w:p w14:paraId="3CA7EC10" w14:textId="77777777" w:rsidR="009D5888" w:rsidRPr="00205C60" w:rsidRDefault="009D5888" w:rsidP="00B1483C">
            <w:pPr>
              <w:pStyle w:val="tab5"/>
              <w:ind w:left="33" w:firstLine="0"/>
              <w:rPr>
                <w:rFonts w:ascii="Verdana" w:hAnsi="Verdana"/>
                <w:color w:val="000000"/>
                <w:sz w:val="22"/>
                <w:szCs w:val="22"/>
                <w:lang w:val="es-CR"/>
              </w:rPr>
            </w:pPr>
          </w:p>
        </w:tc>
        <w:tc>
          <w:tcPr>
            <w:tcW w:w="310" w:type="dxa"/>
          </w:tcPr>
          <w:p w14:paraId="3CA7EC11" w14:textId="77777777" w:rsidR="009D5888" w:rsidRPr="00205C60" w:rsidRDefault="009D5888" w:rsidP="00B1483C">
            <w:pPr>
              <w:pStyle w:val="tab5"/>
              <w:ind w:left="33" w:firstLine="0"/>
              <w:jc w:val="center"/>
              <w:rPr>
                <w:rFonts w:ascii="Verdana" w:hAnsi="Verdana"/>
                <w:color w:val="000000"/>
                <w:sz w:val="22"/>
                <w:szCs w:val="22"/>
                <w:u w:val="single"/>
                <w:lang w:val="es-CR"/>
              </w:rPr>
            </w:pPr>
          </w:p>
        </w:tc>
        <w:tc>
          <w:tcPr>
            <w:tcW w:w="5147" w:type="dxa"/>
            <w:gridSpan w:val="7"/>
            <w:vAlign w:val="bottom"/>
          </w:tcPr>
          <w:p w14:paraId="3CA7EC12" w14:textId="77777777" w:rsidR="009D5888" w:rsidRPr="00205C60" w:rsidRDefault="009D5888" w:rsidP="00B1483C">
            <w:pPr>
              <w:pStyle w:val="tab5"/>
              <w:ind w:left="33" w:firstLine="0"/>
              <w:jc w:val="center"/>
              <w:rPr>
                <w:rFonts w:ascii="Verdana" w:hAnsi="Verdana"/>
                <w:color w:val="000000"/>
                <w:sz w:val="22"/>
                <w:szCs w:val="22"/>
                <w:u w:val="single"/>
                <w:lang w:val="es-CR"/>
              </w:rPr>
            </w:pPr>
            <w:r w:rsidRPr="00205C60">
              <w:rPr>
                <w:rFonts w:ascii="Verdana" w:hAnsi="Verdana"/>
                <w:color w:val="000000"/>
                <w:sz w:val="22"/>
                <w:szCs w:val="22"/>
                <w:u w:val="single"/>
                <w:lang w:val="es-CR"/>
              </w:rPr>
              <w:t>31 de diciembre del</w:t>
            </w:r>
          </w:p>
        </w:tc>
      </w:tr>
      <w:tr w:rsidR="009D5888" w:rsidRPr="00205C60" w14:paraId="3CA7EC19" w14:textId="77777777" w:rsidTr="00C749B6">
        <w:trPr>
          <w:trHeight w:val="242"/>
        </w:trPr>
        <w:tc>
          <w:tcPr>
            <w:tcW w:w="3753" w:type="dxa"/>
          </w:tcPr>
          <w:p w14:paraId="3CA7EC14" w14:textId="77777777" w:rsidR="009D5888" w:rsidRPr="00205C60" w:rsidRDefault="009D5888" w:rsidP="00B1483C">
            <w:pPr>
              <w:pStyle w:val="tab5"/>
              <w:ind w:left="33" w:firstLine="0"/>
              <w:rPr>
                <w:rFonts w:ascii="Verdana" w:hAnsi="Verdana"/>
                <w:color w:val="000000"/>
                <w:sz w:val="22"/>
                <w:szCs w:val="22"/>
                <w:lang w:val="es-CR"/>
              </w:rPr>
            </w:pPr>
          </w:p>
        </w:tc>
        <w:tc>
          <w:tcPr>
            <w:tcW w:w="310" w:type="dxa"/>
          </w:tcPr>
          <w:p w14:paraId="3CA7EC15" w14:textId="77777777" w:rsidR="009D5888" w:rsidRPr="00205C60" w:rsidRDefault="009D5888" w:rsidP="00B1483C">
            <w:pPr>
              <w:pStyle w:val="tab5"/>
              <w:ind w:left="33" w:firstLine="0"/>
              <w:jc w:val="center"/>
              <w:rPr>
                <w:rFonts w:ascii="Verdana" w:hAnsi="Verdana"/>
                <w:color w:val="000000"/>
                <w:sz w:val="22"/>
                <w:szCs w:val="22"/>
                <w:u w:val="single"/>
                <w:lang w:val="es-CR"/>
              </w:rPr>
            </w:pPr>
          </w:p>
        </w:tc>
        <w:tc>
          <w:tcPr>
            <w:tcW w:w="2353" w:type="dxa"/>
            <w:gridSpan w:val="3"/>
            <w:vAlign w:val="bottom"/>
          </w:tcPr>
          <w:p w14:paraId="3CA7EC16" w14:textId="2B0E439C" w:rsidR="009D5888" w:rsidRPr="00205C60" w:rsidRDefault="009D5888" w:rsidP="00B1483C">
            <w:pPr>
              <w:pStyle w:val="tab5"/>
              <w:ind w:left="33" w:firstLine="0"/>
              <w:jc w:val="center"/>
              <w:rPr>
                <w:rFonts w:ascii="Verdana" w:hAnsi="Verdana"/>
                <w:color w:val="000000"/>
                <w:sz w:val="22"/>
                <w:szCs w:val="22"/>
                <w:u w:val="single"/>
                <w:lang w:val="es-CR"/>
              </w:rPr>
            </w:pPr>
            <w:r w:rsidRPr="00205C60">
              <w:rPr>
                <w:rFonts w:ascii="Verdana" w:hAnsi="Verdana"/>
                <w:color w:val="000000"/>
                <w:sz w:val="22"/>
                <w:szCs w:val="22"/>
                <w:u w:val="single"/>
                <w:lang w:val="es-CR"/>
              </w:rPr>
              <w:t>202</w:t>
            </w:r>
            <w:r w:rsidR="004415F2" w:rsidRPr="00205C60">
              <w:rPr>
                <w:rFonts w:ascii="Verdana" w:hAnsi="Verdana"/>
                <w:color w:val="000000"/>
                <w:sz w:val="22"/>
                <w:szCs w:val="22"/>
                <w:u w:val="single"/>
                <w:lang w:val="es-CR"/>
              </w:rPr>
              <w:t>2</w:t>
            </w:r>
          </w:p>
        </w:tc>
        <w:tc>
          <w:tcPr>
            <w:tcW w:w="310" w:type="dxa"/>
            <w:vAlign w:val="bottom"/>
          </w:tcPr>
          <w:p w14:paraId="3CA7EC17" w14:textId="77777777" w:rsidR="009D5888" w:rsidRPr="00205C60" w:rsidRDefault="009D5888" w:rsidP="00B1483C">
            <w:pPr>
              <w:pStyle w:val="tab5"/>
              <w:ind w:left="33" w:firstLine="0"/>
              <w:jc w:val="center"/>
              <w:rPr>
                <w:rFonts w:ascii="Verdana" w:hAnsi="Verdana"/>
                <w:color w:val="000000"/>
                <w:sz w:val="22"/>
                <w:szCs w:val="22"/>
                <w:u w:val="single"/>
                <w:lang w:val="es-CR"/>
              </w:rPr>
            </w:pPr>
          </w:p>
        </w:tc>
        <w:tc>
          <w:tcPr>
            <w:tcW w:w="2484" w:type="dxa"/>
            <w:gridSpan w:val="3"/>
            <w:vAlign w:val="bottom"/>
          </w:tcPr>
          <w:p w14:paraId="3CA7EC18" w14:textId="6170CF47" w:rsidR="009D5888" w:rsidRPr="00205C60" w:rsidRDefault="009D5888" w:rsidP="00B1483C">
            <w:pPr>
              <w:pStyle w:val="tab5"/>
              <w:ind w:left="33" w:firstLine="0"/>
              <w:jc w:val="center"/>
              <w:rPr>
                <w:rFonts w:ascii="Verdana" w:hAnsi="Verdana"/>
                <w:color w:val="000000"/>
                <w:sz w:val="22"/>
                <w:szCs w:val="22"/>
                <w:u w:val="single"/>
                <w:lang w:val="es-CR"/>
              </w:rPr>
            </w:pPr>
            <w:r w:rsidRPr="00205C60">
              <w:rPr>
                <w:rFonts w:ascii="Verdana" w:hAnsi="Verdana"/>
                <w:color w:val="000000"/>
                <w:sz w:val="22"/>
                <w:szCs w:val="22"/>
                <w:u w:val="single"/>
                <w:lang w:val="es-CR"/>
              </w:rPr>
              <w:t>20</w:t>
            </w:r>
            <w:r w:rsidR="0046450E" w:rsidRPr="00205C60">
              <w:rPr>
                <w:rFonts w:ascii="Verdana" w:hAnsi="Verdana"/>
                <w:color w:val="000000"/>
                <w:sz w:val="22"/>
                <w:szCs w:val="22"/>
                <w:u w:val="single"/>
                <w:lang w:val="es-CR"/>
              </w:rPr>
              <w:t>2</w:t>
            </w:r>
            <w:r w:rsidR="004415F2" w:rsidRPr="00205C60">
              <w:rPr>
                <w:rFonts w:ascii="Verdana" w:hAnsi="Verdana"/>
                <w:color w:val="000000"/>
                <w:sz w:val="22"/>
                <w:szCs w:val="22"/>
                <w:u w:val="single"/>
                <w:lang w:val="es-CR"/>
              </w:rPr>
              <w:t>1</w:t>
            </w:r>
          </w:p>
        </w:tc>
      </w:tr>
      <w:tr w:rsidR="009D5888" w:rsidRPr="00205C60" w14:paraId="3CA7EC23" w14:textId="77777777" w:rsidTr="00C749B6">
        <w:trPr>
          <w:trHeight w:val="242"/>
        </w:trPr>
        <w:tc>
          <w:tcPr>
            <w:tcW w:w="3753" w:type="dxa"/>
            <w:vAlign w:val="bottom"/>
          </w:tcPr>
          <w:p w14:paraId="3CA7EC1A" w14:textId="77777777" w:rsidR="009D5888" w:rsidRPr="00205C60" w:rsidRDefault="009D5888" w:rsidP="00B1483C">
            <w:pPr>
              <w:pStyle w:val="tab5"/>
              <w:ind w:left="33" w:firstLine="0"/>
              <w:rPr>
                <w:rFonts w:ascii="Verdana" w:hAnsi="Verdana"/>
                <w:color w:val="000000"/>
                <w:sz w:val="22"/>
                <w:szCs w:val="22"/>
                <w:lang w:val="es-CR"/>
              </w:rPr>
            </w:pPr>
          </w:p>
        </w:tc>
        <w:tc>
          <w:tcPr>
            <w:tcW w:w="310" w:type="dxa"/>
          </w:tcPr>
          <w:p w14:paraId="3CA7EC1B" w14:textId="77777777" w:rsidR="009D5888" w:rsidRPr="00205C60" w:rsidRDefault="009D5888" w:rsidP="00B1483C">
            <w:pPr>
              <w:pStyle w:val="tab5"/>
              <w:ind w:left="-18" w:firstLine="0"/>
              <w:jc w:val="center"/>
              <w:rPr>
                <w:rFonts w:ascii="Verdana" w:hAnsi="Verdana"/>
                <w:color w:val="000000"/>
                <w:sz w:val="22"/>
                <w:szCs w:val="22"/>
                <w:u w:val="single"/>
                <w:lang w:val="es-CR"/>
              </w:rPr>
            </w:pPr>
          </w:p>
        </w:tc>
        <w:tc>
          <w:tcPr>
            <w:tcW w:w="1007" w:type="dxa"/>
            <w:vAlign w:val="bottom"/>
          </w:tcPr>
          <w:p w14:paraId="3CA7EC1C" w14:textId="77777777" w:rsidR="009D5888" w:rsidRPr="00205C60" w:rsidRDefault="009D5888" w:rsidP="00B1483C">
            <w:pPr>
              <w:pStyle w:val="tab5"/>
              <w:ind w:left="-132" w:right="-108" w:firstLine="0"/>
              <w:jc w:val="center"/>
              <w:rPr>
                <w:rFonts w:ascii="Verdana" w:hAnsi="Verdana"/>
                <w:color w:val="000000"/>
                <w:sz w:val="22"/>
                <w:szCs w:val="22"/>
                <w:u w:val="single"/>
                <w:lang w:val="es-CR"/>
              </w:rPr>
            </w:pPr>
            <w:r w:rsidRPr="00205C60">
              <w:rPr>
                <w:rFonts w:ascii="Verdana" w:hAnsi="Verdana"/>
                <w:color w:val="000000"/>
                <w:sz w:val="22"/>
                <w:szCs w:val="22"/>
                <w:u w:val="single"/>
                <w:lang w:val="es-CR"/>
              </w:rPr>
              <w:t>Compra</w:t>
            </w:r>
          </w:p>
        </w:tc>
        <w:tc>
          <w:tcPr>
            <w:tcW w:w="310" w:type="dxa"/>
            <w:vAlign w:val="bottom"/>
          </w:tcPr>
          <w:p w14:paraId="3CA7EC1D" w14:textId="77777777" w:rsidR="009D5888" w:rsidRPr="00205C60" w:rsidRDefault="009D5888" w:rsidP="00B1483C">
            <w:pPr>
              <w:pStyle w:val="tab5"/>
              <w:ind w:left="-132" w:right="-108" w:firstLine="0"/>
              <w:jc w:val="center"/>
              <w:rPr>
                <w:rFonts w:ascii="Verdana" w:hAnsi="Verdana"/>
                <w:color w:val="000000"/>
                <w:sz w:val="22"/>
                <w:szCs w:val="22"/>
                <w:u w:val="single"/>
                <w:lang w:val="es-CR"/>
              </w:rPr>
            </w:pPr>
          </w:p>
        </w:tc>
        <w:tc>
          <w:tcPr>
            <w:tcW w:w="1036" w:type="dxa"/>
            <w:vAlign w:val="bottom"/>
          </w:tcPr>
          <w:p w14:paraId="3CA7EC1E" w14:textId="77777777" w:rsidR="009D5888" w:rsidRPr="00205C60" w:rsidRDefault="009D5888" w:rsidP="00B1483C">
            <w:pPr>
              <w:pStyle w:val="tab5"/>
              <w:ind w:left="-132" w:right="-108" w:firstLine="0"/>
              <w:jc w:val="center"/>
              <w:rPr>
                <w:rFonts w:ascii="Verdana" w:hAnsi="Verdana"/>
                <w:color w:val="000000"/>
                <w:sz w:val="22"/>
                <w:szCs w:val="22"/>
                <w:u w:val="single"/>
                <w:lang w:val="es-CR"/>
              </w:rPr>
            </w:pPr>
            <w:r w:rsidRPr="00205C60">
              <w:rPr>
                <w:rFonts w:ascii="Verdana" w:hAnsi="Verdana"/>
                <w:color w:val="000000"/>
                <w:sz w:val="22"/>
                <w:szCs w:val="22"/>
                <w:u w:val="single"/>
                <w:lang w:val="es-CR"/>
              </w:rPr>
              <w:t>Venta</w:t>
            </w:r>
          </w:p>
        </w:tc>
        <w:tc>
          <w:tcPr>
            <w:tcW w:w="310" w:type="dxa"/>
            <w:vAlign w:val="bottom"/>
          </w:tcPr>
          <w:p w14:paraId="3CA7EC1F" w14:textId="77777777" w:rsidR="009D5888" w:rsidRPr="00205C60" w:rsidRDefault="009D5888" w:rsidP="00B1483C">
            <w:pPr>
              <w:pStyle w:val="tab5"/>
              <w:ind w:left="-132" w:right="-108" w:firstLine="0"/>
              <w:jc w:val="center"/>
              <w:rPr>
                <w:rFonts w:ascii="Verdana" w:hAnsi="Verdana"/>
                <w:color w:val="000000"/>
                <w:sz w:val="22"/>
                <w:szCs w:val="22"/>
                <w:u w:val="single"/>
                <w:lang w:val="es-CR"/>
              </w:rPr>
            </w:pPr>
          </w:p>
        </w:tc>
        <w:tc>
          <w:tcPr>
            <w:tcW w:w="1035" w:type="dxa"/>
            <w:vAlign w:val="bottom"/>
          </w:tcPr>
          <w:p w14:paraId="3CA7EC20" w14:textId="77777777" w:rsidR="009D5888" w:rsidRPr="00205C60" w:rsidRDefault="009D5888" w:rsidP="00B1483C">
            <w:pPr>
              <w:pStyle w:val="tab5"/>
              <w:ind w:left="-132" w:right="-108" w:firstLine="0"/>
              <w:jc w:val="center"/>
              <w:rPr>
                <w:rFonts w:ascii="Verdana" w:hAnsi="Verdana"/>
                <w:color w:val="000000"/>
                <w:sz w:val="22"/>
                <w:szCs w:val="22"/>
                <w:u w:val="single"/>
                <w:lang w:val="es-CR"/>
              </w:rPr>
            </w:pPr>
            <w:r w:rsidRPr="00205C60">
              <w:rPr>
                <w:rFonts w:ascii="Verdana" w:hAnsi="Verdana"/>
                <w:color w:val="000000"/>
                <w:sz w:val="22"/>
                <w:szCs w:val="22"/>
                <w:u w:val="single"/>
                <w:lang w:val="es-CR"/>
              </w:rPr>
              <w:t>Compra</w:t>
            </w:r>
          </w:p>
        </w:tc>
        <w:tc>
          <w:tcPr>
            <w:tcW w:w="414" w:type="dxa"/>
            <w:vAlign w:val="bottom"/>
          </w:tcPr>
          <w:p w14:paraId="3CA7EC21" w14:textId="77777777" w:rsidR="009D5888" w:rsidRPr="00205C60" w:rsidRDefault="009D5888" w:rsidP="00B1483C">
            <w:pPr>
              <w:pStyle w:val="tab5"/>
              <w:ind w:left="-132" w:right="-108" w:firstLine="0"/>
              <w:jc w:val="center"/>
              <w:rPr>
                <w:rFonts w:ascii="Verdana" w:hAnsi="Verdana"/>
                <w:color w:val="000000"/>
                <w:sz w:val="22"/>
                <w:szCs w:val="22"/>
                <w:u w:val="single"/>
                <w:lang w:val="es-CR"/>
              </w:rPr>
            </w:pPr>
          </w:p>
        </w:tc>
        <w:tc>
          <w:tcPr>
            <w:tcW w:w="1035" w:type="dxa"/>
            <w:vAlign w:val="bottom"/>
          </w:tcPr>
          <w:p w14:paraId="3CA7EC22" w14:textId="77777777" w:rsidR="009D5888" w:rsidRPr="00205C60" w:rsidRDefault="009D5888" w:rsidP="00B1483C">
            <w:pPr>
              <w:pStyle w:val="tab5"/>
              <w:ind w:left="-132" w:right="-108" w:firstLine="0"/>
              <w:jc w:val="center"/>
              <w:rPr>
                <w:rFonts w:ascii="Verdana" w:hAnsi="Verdana"/>
                <w:color w:val="000000"/>
                <w:sz w:val="22"/>
                <w:szCs w:val="22"/>
                <w:u w:val="single"/>
                <w:lang w:val="es-CR"/>
              </w:rPr>
            </w:pPr>
            <w:r w:rsidRPr="00205C60">
              <w:rPr>
                <w:rFonts w:ascii="Verdana" w:hAnsi="Verdana"/>
                <w:color w:val="000000"/>
                <w:sz w:val="22"/>
                <w:szCs w:val="22"/>
                <w:u w:val="single"/>
                <w:lang w:val="es-CR"/>
              </w:rPr>
              <w:t>Venta</w:t>
            </w:r>
          </w:p>
        </w:tc>
      </w:tr>
      <w:tr w:rsidR="009D5888" w:rsidRPr="00205C60" w14:paraId="3CA7EC2D" w14:textId="77777777" w:rsidTr="00C749B6">
        <w:trPr>
          <w:trHeight w:val="333"/>
        </w:trPr>
        <w:tc>
          <w:tcPr>
            <w:tcW w:w="3753" w:type="dxa"/>
            <w:vAlign w:val="bottom"/>
          </w:tcPr>
          <w:p w14:paraId="3CA7EC24" w14:textId="77777777" w:rsidR="009D5888" w:rsidRPr="00205C60" w:rsidRDefault="009D5888" w:rsidP="00B1483C">
            <w:pPr>
              <w:pStyle w:val="tab5"/>
              <w:ind w:left="33" w:firstLine="0"/>
              <w:jc w:val="left"/>
              <w:rPr>
                <w:rFonts w:ascii="Verdana" w:hAnsi="Verdana"/>
                <w:color w:val="000000"/>
                <w:sz w:val="22"/>
                <w:szCs w:val="22"/>
                <w:lang w:val="es-CR"/>
              </w:rPr>
            </w:pPr>
            <w:r w:rsidRPr="00205C60">
              <w:rPr>
                <w:rFonts w:ascii="Verdana" w:hAnsi="Verdana"/>
                <w:color w:val="000000"/>
                <w:sz w:val="22"/>
                <w:szCs w:val="22"/>
                <w:lang w:val="es-CR"/>
              </w:rPr>
              <w:t>Colón costarricense a US$1,00</w:t>
            </w:r>
          </w:p>
        </w:tc>
        <w:tc>
          <w:tcPr>
            <w:tcW w:w="310" w:type="dxa"/>
          </w:tcPr>
          <w:p w14:paraId="3CA7EC25" w14:textId="77777777" w:rsidR="009D5888" w:rsidRPr="00205C60" w:rsidRDefault="009D5888" w:rsidP="00B1483C">
            <w:pPr>
              <w:pStyle w:val="tab5"/>
              <w:ind w:left="0" w:firstLine="0"/>
              <w:jc w:val="right"/>
              <w:rPr>
                <w:rFonts w:ascii="Verdana" w:hAnsi="Verdana"/>
                <w:sz w:val="22"/>
                <w:szCs w:val="22"/>
                <w:lang w:val="es-CR"/>
              </w:rPr>
            </w:pPr>
            <w:r w:rsidRPr="00205C60">
              <w:rPr>
                <w:rFonts w:ascii="Verdana" w:hAnsi="Verdana"/>
                <w:sz w:val="22"/>
                <w:szCs w:val="22"/>
                <w:lang w:val="es-CR"/>
              </w:rPr>
              <w:t>¢</w:t>
            </w:r>
          </w:p>
        </w:tc>
        <w:tc>
          <w:tcPr>
            <w:tcW w:w="1007" w:type="dxa"/>
            <w:tcBorders>
              <w:bottom w:val="double" w:sz="4" w:space="0" w:color="auto"/>
            </w:tcBorders>
            <w:vAlign w:val="bottom"/>
          </w:tcPr>
          <w:p w14:paraId="3CA7EC26" w14:textId="60442A98" w:rsidR="009D5888" w:rsidRPr="00205C60" w:rsidRDefault="00972216" w:rsidP="00B1483C">
            <w:pPr>
              <w:pStyle w:val="tab5"/>
              <w:ind w:left="0" w:firstLine="0"/>
              <w:jc w:val="right"/>
              <w:rPr>
                <w:rFonts w:ascii="Verdana" w:hAnsi="Verdana"/>
                <w:sz w:val="22"/>
                <w:szCs w:val="22"/>
                <w:lang w:val="es-CR"/>
              </w:rPr>
            </w:pPr>
            <w:r w:rsidRPr="00205C60">
              <w:rPr>
                <w:rFonts w:ascii="Verdana" w:hAnsi="Verdana"/>
                <w:sz w:val="22"/>
                <w:szCs w:val="22"/>
                <w:lang w:val="es-CR"/>
              </w:rPr>
              <w:t>597</w:t>
            </w:r>
            <w:r w:rsidR="009D5888" w:rsidRPr="00205C60">
              <w:rPr>
                <w:rFonts w:ascii="Verdana" w:hAnsi="Verdana"/>
                <w:sz w:val="22"/>
                <w:szCs w:val="22"/>
                <w:lang w:val="es-CR"/>
              </w:rPr>
              <w:t>,</w:t>
            </w:r>
            <w:r w:rsidR="00C749B6" w:rsidRPr="00205C60">
              <w:rPr>
                <w:rFonts w:ascii="Verdana" w:hAnsi="Verdana"/>
                <w:sz w:val="22"/>
                <w:szCs w:val="22"/>
                <w:lang w:val="es-CR"/>
              </w:rPr>
              <w:t>0</w:t>
            </w:r>
            <w:r w:rsidRPr="00205C60">
              <w:rPr>
                <w:rFonts w:ascii="Verdana" w:hAnsi="Verdana"/>
                <w:sz w:val="22"/>
                <w:szCs w:val="22"/>
                <w:lang w:val="es-CR"/>
              </w:rPr>
              <w:t>4</w:t>
            </w:r>
          </w:p>
        </w:tc>
        <w:tc>
          <w:tcPr>
            <w:tcW w:w="310" w:type="dxa"/>
            <w:vAlign w:val="bottom"/>
          </w:tcPr>
          <w:p w14:paraId="3CA7EC27" w14:textId="77777777" w:rsidR="009D5888" w:rsidRPr="00205C60" w:rsidRDefault="009D5888" w:rsidP="00B1483C">
            <w:pPr>
              <w:pStyle w:val="tab5"/>
              <w:ind w:left="0" w:firstLine="0"/>
              <w:jc w:val="right"/>
              <w:rPr>
                <w:rFonts w:ascii="Verdana" w:hAnsi="Verdana"/>
                <w:sz w:val="22"/>
                <w:szCs w:val="22"/>
                <w:lang w:val="es-CR"/>
              </w:rPr>
            </w:pPr>
          </w:p>
        </w:tc>
        <w:tc>
          <w:tcPr>
            <w:tcW w:w="1036" w:type="dxa"/>
            <w:tcBorders>
              <w:bottom w:val="double" w:sz="4" w:space="0" w:color="auto"/>
            </w:tcBorders>
            <w:vAlign w:val="bottom"/>
          </w:tcPr>
          <w:p w14:paraId="3CA7EC28" w14:textId="3C95FCD3" w:rsidR="009D5888" w:rsidRPr="00205C60" w:rsidRDefault="004415F2" w:rsidP="00B1483C">
            <w:pPr>
              <w:pStyle w:val="tab5"/>
              <w:ind w:left="0" w:firstLine="0"/>
              <w:jc w:val="right"/>
              <w:rPr>
                <w:rFonts w:ascii="Verdana" w:hAnsi="Verdana"/>
                <w:sz w:val="22"/>
                <w:szCs w:val="22"/>
                <w:lang w:val="es-CR"/>
              </w:rPr>
            </w:pPr>
            <w:r w:rsidRPr="00205C60">
              <w:rPr>
                <w:rFonts w:ascii="Verdana" w:hAnsi="Verdana"/>
                <w:sz w:val="22"/>
                <w:szCs w:val="22"/>
                <w:lang w:val="es-CR"/>
              </w:rPr>
              <w:t>597</w:t>
            </w:r>
            <w:r w:rsidR="009D5888" w:rsidRPr="00205C60">
              <w:rPr>
                <w:rFonts w:ascii="Verdana" w:hAnsi="Verdana"/>
                <w:sz w:val="22"/>
                <w:szCs w:val="22"/>
                <w:lang w:val="es-CR"/>
              </w:rPr>
              <w:t>,</w:t>
            </w:r>
            <w:r w:rsidR="00C06AB6" w:rsidRPr="00205C60">
              <w:rPr>
                <w:rFonts w:ascii="Verdana" w:hAnsi="Verdana"/>
                <w:sz w:val="22"/>
                <w:szCs w:val="22"/>
                <w:lang w:val="es-CR"/>
              </w:rPr>
              <w:t>6</w:t>
            </w:r>
            <w:r w:rsidRPr="00205C60">
              <w:rPr>
                <w:rFonts w:ascii="Verdana" w:hAnsi="Verdana"/>
                <w:sz w:val="22"/>
                <w:szCs w:val="22"/>
                <w:lang w:val="es-CR"/>
              </w:rPr>
              <w:t>4</w:t>
            </w:r>
          </w:p>
        </w:tc>
        <w:tc>
          <w:tcPr>
            <w:tcW w:w="310" w:type="dxa"/>
            <w:vAlign w:val="bottom"/>
          </w:tcPr>
          <w:p w14:paraId="3CA7EC29" w14:textId="77777777" w:rsidR="009D5888" w:rsidRPr="00205C60" w:rsidRDefault="009D5888" w:rsidP="00B1483C">
            <w:pPr>
              <w:pStyle w:val="tab5"/>
              <w:ind w:left="0" w:firstLine="0"/>
              <w:jc w:val="right"/>
              <w:rPr>
                <w:rFonts w:ascii="Verdana" w:hAnsi="Verdana"/>
                <w:sz w:val="22"/>
                <w:szCs w:val="22"/>
                <w:lang w:val="es-CR"/>
              </w:rPr>
            </w:pPr>
          </w:p>
        </w:tc>
        <w:tc>
          <w:tcPr>
            <w:tcW w:w="1035" w:type="dxa"/>
            <w:tcBorders>
              <w:bottom w:val="double" w:sz="4" w:space="0" w:color="auto"/>
            </w:tcBorders>
            <w:vAlign w:val="bottom"/>
          </w:tcPr>
          <w:p w14:paraId="3CA7EC2A" w14:textId="71E7290D" w:rsidR="009D5888" w:rsidRPr="00205C60" w:rsidRDefault="00C06AB6" w:rsidP="00B1483C">
            <w:pPr>
              <w:pStyle w:val="tab5"/>
              <w:ind w:left="0" w:firstLine="0"/>
              <w:jc w:val="right"/>
              <w:rPr>
                <w:rFonts w:ascii="Verdana" w:hAnsi="Verdana"/>
                <w:sz w:val="22"/>
                <w:szCs w:val="22"/>
                <w:lang w:val="es-CR"/>
              </w:rPr>
            </w:pPr>
            <w:r w:rsidRPr="00205C60">
              <w:rPr>
                <w:rFonts w:ascii="Verdana" w:hAnsi="Verdana"/>
                <w:sz w:val="22"/>
                <w:szCs w:val="22"/>
                <w:lang w:val="es-CR"/>
              </w:rPr>
              <w:t>6</w:t>
            </w:r>
            <w:r w:rsidR="00972216" w:rsidRPr="00205C60">
              <w:rPr>
                <w:rFonts w:ascii="Verdana" w:hAnsi="Verdana"/>
                <w:sz w:val="22"/>
                <w:szCs w:val="22"/>
                <w:lang w:val="es-CR"/>
              </w:rPr>
              <w:t>42</w:t>
            </w:r>
            <w:r w:rsidR="009D5888" w:rsidRPr="00205C60">
              <w:rPr>
                <w:rFonts w:ascii="Verdana" w:hAnsi="Verdana"/>
                <w:sz w:val="22"/>
                <w:szCs w:val="22"/>
                <w:lang w:val="es-CR"/>
              </w:rPr>
              <w:t>,</w:t>
            </w:r>
            <w:r w:rsidR="00972216" w:rsidRPr="00205C60">
              <w:rPr>
                <w:rFonts w:ascii="Verdana" w:hAnsi="Verdana"/>
                <w:sz w:val="22"/>
                <w:szCs w:val="22"/>
                <w:lang w:val="es-CR"/>
              </w:rPr>
              <w:t>0</w:t>
            </w:r>
            <w:r w:rsidRPr="00205C60">
              <w:rPr>
                <w:rFonts w:ascii="Verdana" w:hAnsi="Verdana"/>
                <w:sz w:val="22"/>
                <w:szCs w:val="22"/>
                <w:lang w:val="es-CR"/>
              </w:rPr>
              <w:t>2</w:t>
            </w:r>
          </w:p>
        </w:tc>
        <w:tc>
          <w:tcPr>
            <w:tcW w:w="414" w:type="dxa"/>
            <w:vAlign w:val="bottom"/>
          </w:tcPr>
          <w:p w14:paraId="3CA7EC2B" w14:textId="77777777" w:rsidR="009D5888" w:rsidRPr="00205C60" w:rsidRDefault="009D5888" w:rsidP="00B1483C">
            <w:pPr>
              <w:pStyle w:val="tab5"/>
              <w:ind w:left="0" w:firstLine="0"/>
              <w:jc w:val="right"/>
              <w:rPr>
                <w:rFonts w:ascii="Verdana" w:hAnsi="Verdana"/>
                <w:sz w:val="22"/>
                <w:szCs w:val="22"/>
                <w:lang w:val="es-CR"/>
              </w:rPr>
            </w:pPr>
          </w:p>
        </w:tc>
        <w:tc>
          <w:tcPr>
            <w:tcW w:w="1035" w:type="dxa"/>
            <w:tcBorders>
              <w:bottom w:val="double" w:sz="4" w:space="0" w:color="auto"/>
            </w:tcBorders>
            <w:vAlign w:val="bottom"/>
          </w:tcPr>
          <w:p w14:paraId="3CA7EC2C" w14:textId="126BDBB8" w:rsidR="009D5888" w:rsidRPr="00205C60" w:rsidRDefault="00C06AB6" w:rsidP="00B1483C">
            <w:pPr>
              <w:pStyle w:val="tab5"/>
              <w:ind w:left="0" w:firstLine="0"/>
              <w:jc w:val="right"/>
              <w:rPr>
                <w:rFonts w:ascii="Verdana" w:hAnsi="Verdana"/>
                <w:sz w:val="22"/>
                <w:szCs w:val="22"/>
                <w:lang w:val="es-CR"/>
              </w:rPr>
            </w:pPr>
            <w:r w:rsidRPr="00205C60">
              <w:rPr>
                <w:rFonts w:ascii="Verdana" w:hAnsi="Verdana"/>
                <w:sz w:val="22"/>
                <w:szCs w:val="22"/>
                <w:lang w:val="es-CR"/>
              </w:rPr>
              <w:t>6</w:t>
            </w:r>
            <w:r w:rsidR="00972216" w:rsidRPr="00205C60">
              <w:rPr>
                <w:rFonts w:ascii="Verdana" w:hAnsi="Verdana"/>
                <w:sz w:val="22"/>
                <w:szCs w:val="22"/>
                <w:lang w:val="es-CR"/>
              </w:rPr>
              <w:t>42</w:t>
            </w:r>
            <w:r w:rsidR="009D5888" w:rsidRPr="00205C60">
              <w:rPr>
                <w:rFonts w:ascii="Verdana" w:hAnsi="Verdana"/>
                <w:sz w:val="22"/>
                <w:szCs w:val="22"/>
                <w:lang w:val="es-CR"/>
              </w:rPr>
              <w:t>,</w:t>
            </w:r>
            <w:r w:rsidR="00972216" w:rsidRPr="00205C60">
              <w:rPr>
                <w:rFonts w:ascii="Verdana" w:hAnsi="Verdana"/>
                <w:sz w:val="22"/>
                <w:szCs w:val="22"/>
                <w:lang w:val="es-CR"/>
              </w:rPr>
              <w:t>66</w:t>
            </w:r>
          </w:p>
        </w:tc>
      </w:tr>
    </w:tbl>
    <w:p w14:paraId="3CA7EC2E" w14:textId="77777777" w:rsidR="009D5888" w:rsidRPr="00205C60" w:rsidRDefault="009D5888" w:rsidP="009D5888">
      <w:pPr>
        <w:rPr>
          <w:rFonts w:ascii="Verdana" w:eastAsia="Calibri" w:hAnsi="Verdana"/>
          <w:sz w:val="22"/>
          <w:szCs w:val="22"/>
          <w:lang w:val="es-CR"/>
        </w:rPr>
      </w:pPr>
    </w:p>
    <w:p w14:paraId="3CA7EC2F" w14:textId="39031EC0" w:rsidR="009D5888" w:rsidRPr="00205C60" w:rsidRDefault="0068401B" w:rsidP="0068401B">
      <w:pPr>
        <w:pStyle w:val="parrafo"/>
        <w:ind w:left="560" w:firstLine="0"/>
        <w:rPr>
          <w:rFonts w:ascii="Verdana" w:hAnsi="Verdana" w:cs="Arial"/>
          <w:sz w:val="22"/>
          <w:szCs w:val="22"/>
          <w:u w:val="none"/>
          <w:lang w:val="es-CR"/>
        </w:rPr>
      </w:pPr>
      <w:r w:rsidRPr="00205C60">
        <w:rPr>
          <w:rFonts w:ascii="Verdana" w:hAnsi="Verdana" w:cs="Arial"/>
          <w:sz w:val="22"/>
          <w:szCs w:val="22"/>
          <w:u w:val="none"/>
          <w:lang w:val="es-CR"/>
        </w:rPr>
        <w:t>Como resultado de las transacciones en moneda extranjera y de la valuación de los activos y pasivos monetarios denominados en moneda extranjera, durante el año terminado el 31 de diciembre del 202</w:t>
      </w:r>
      <w:r w:rsidR="00050065" w:rsidRPr="00205C60">
        <w:rPr>
          <w:rFonts w:ascii="Verdana" w:hAnsi="Verdana" w:cs="Arial"/>
          <w:sz w:val="22"/>
          <w:szCs w:val="22"/>
          <w:u w:val="none"/>
          <w:lang w:val="es-CR"/>
        </w:rPr>
        <w:t>2</w:t>
      </w:r>
      <w:r w:rsidRPr="00205C60">
        <w:rPr>
          <w:rFonts w:ascii="Verdana" w:hAnsi="Verdana" w:cs="Arial"/>
          <w:sz w:val="22"/>
          <w:szCs w:val="22"/>
          <w:u w:val="none"/>
          <w:lang w:val="es-CR"/>
        </w:rPr>
        <w:t xml:space="preserve"> se reconoció un gasto neto por diferencias de cambio por un monto de </w:t>
      </w:r>
      <w:r w:rsidR="00C73C4B" w:rsidRPr="00205C60">
        <w:rPr>
          <w:rFonts w:ascii="Verdana" w:hAnsi="Verdana" w:cs="Arial"/>
          <w:sz w:val="22"/>
          <w:szCs w:val="22"/>
          <w:u w:val="none"/>
          <w:lang w:val="es-419"/>
        </w:rPr>
        <w:t xml:space="preserve">₡ </w:t>
      </w:r>
      <w:r w:rsidR="00635778" w:rsidRPr="00205C60">
        <w:rPr>
          <w:rFonts w:ascii="Verdana" w:hAnsi="Verdana" w:cs="Arial"/>
          <w:sz w:val="22"/>
          <w:szCs w:val="22"/>
          <w:u w:val="none"/>
          <w:lang w:val="es-CR"/>
        </w:rPr>
        <w:t>120</w:t>
      </w:r>
      <w:r w:rsidRPr="00205C60">
        <w:rPr>
          <w:rFonts w:ascii="Verdana" w:hAnsi="Verdana" w:cs="Arial"/>
          <w:sz w:val="22"/>
          <w:szCs w:val="22"/>
          <w:u w:val="none"/>
          <w:lang w:val="es-CR"/>
        </w:rPr>
        <w:t>.</w:t>
      </w:r>
      <w:r w:rsidR="00635778" w:rsidRPr="00205C60">
        <w:rPr>
          <w:rFonts w:ascii="Verdana" w:hAnsi="Verdana" w:cs="Arial"/>
          <w:sz w:val="22"/>
          <w:szCs w:val="22"/>
          <w:u w:val="none"/>
          <w:lang w:val="es-CR"/>
        </w:rPr>
        <w:t>14</w:t>
      </w:r>
      <w:r w:rsidRPr="00205C60">
        <w:rPr>
          <w:rFonts w:ascii="Verdana" w:hAnsi="Verdana" w:cs="Arial"/>
          <w:sz w:val="22"/>
          <w:szCs w:val="22"/>
          <w:u w:val="none"/>
          <w:lang w:val="es-CR"/>
        </w:rPr>
        <w:t>9</w:t>
      </w:r>
      <w:r w:rsidR="009C34EB" w:rsidRPr="00205C60">
        <w:rPr>
          <w:rFonts w:ascii="Verdana" w:hAnsi="Verdana" w:cs="Arial"/>
          <w:sz w:val="22"/>
          <w:szCs w:val="22"/>
          <w:u w:val="none"/>
          <w:lang w:val="es-CR"/>
        </w:rPr>
        <w:t xml:space="preserve"> (¢2.534.219 en el 2021)</w:t>
      </w:r>
      <w:r w:rsidR="005964B0" w:rsidRPr="00205C60">
        <w:rPr>
          <w:rFonts w:ascii="Verdana" w:hAnsi="Verdana" w:cs="Arial"/>
          <w:sz w:val="22"/>
          <w:szCs w:val="22"/>
          <w:u w:val="none"/>
          <w:lang w:val="es-CR"/>
        </w:rPr>
        <w:t>, el cual estuvo muy por debajo del gasto generado en el 2021,</w:t>
      </w:r>
      <w:r w:rsidRPr="00205C60">
        <w:rPr>
          <w:rFonts w:ascii="Verdana" w:hAnsi="Verdana" w:cs="Arial"/>
          <w:sz w:val="22"/>
          <w:szCs w:val="22"/>
          <w:u w:val="none"/>
          <w:lang w:val="es-CR"/>
        </w:rPr>
        <w:t xml:space="preserve"> </w:t>
      </w:r>
      <w:r w:rsidR="005964B0" w:rsidRPr="00205C60">
        <w:rPr>
          <w:rFonts w:ascii="Verdana" w:hAnsi="Verdana" w:cs="Arial"/>
          <w:sz w:val="22"/>
          <w:szCs w:val="22"/>
          <w:u w:val="none"/>
          <w:lang w:val="es-CR"/>
        </w:rPr>
        <w:t>dicho monto se</w:t>
      </w:r>
      <w:r w:rsidRPr="00205C60">
        <w:rPr>
          <w:rFonts w:ascii="Verdana" w:hAnsi="Verdana" w:cs="Arial"/>
          <w:sz w:val="22"/>
          <w:szCs w:val="22"/>
          <w:u w:val="none"/>
          <w:lang w:val="es-CR"/>
        </w:rPr>
        <w:t xml:space="preserve"> presenta en el estado de resultados y otro resultado integral.</w:t>
      </w:r>
    </w:p>
    <w:p w14:paraId="13946C17" w14:textId="4003777C" w:rsidR="007956EB" w:rsidRPr="00205C60" w:rsidRDefault="007956EB" w:rsidP="0068401B">
      <w:pPr>
        <w:pStyle w:val="parrafo"/>
        <w:ind w:left="560" w:firstLine="0"/>
        <w:rPr>
          <w:rFonts w:ascii="Verdana" w:hAnsi="Verdana" w:cs="Arial"/>
          <w:sz w:val="22"/>
          <w:szCs w:val="22"/>
          <w:u w:val="none"/>
          <w:lang w:val="es-CR"/>
        </w:rPr>
      </w:pPr>
    </w:p>
    <w:p w14:paraId="39050FE5" w14:textId="77777777" w:rsidR="0068401B" w:rsidRPr="00205C60" w:rsidRDefault="0068401B" w:rsidP="009D5888">
      <w:pPr>
        <w:pStyle w:val="parrafo"/>
        <w:ind w:left="1440" w:hanging="720"/>
        <w:rPr>
          <w:rFonts w:ascii="Verdana" w:hAnsi="Verdana"/>
          <w:sz w:val="22"/>
          <w:szCs w:val="22"/>
          <w:u w:val="none"/>
          <w:lang w:val="es-CR"/>
        </w:rPr>
      </w:pPr>
    </w:p>
    <w:p w14:paraId="3CA7EC32" w14:textId="3838BF4B" w:rsidR="0098425F" w:rsidRPr="00205C60" w:rsidRDefault="0098425F" w:rsidP="0098425F">
      <w:pPr>
        <w:ind w:left="1080" w:hanging="360"/>
        <w:rPr>
          <w:rFonts w:ascii="Verdana" w:hAnsi="Verdana" w:cs="Arial"/>
          <w:b/>
          <w:i/>
          <w:sz w:val="22"/>
          <w:szCs w:val="22"/>
          <w:u w:val="single"/>
          <w:lang w:val="es-CR"/>
        </w:rPr>
      </w:pPr>
      <w:r w:rsidRPr="00205C60">
        <w:rPr>
          <w:rFonts w:ascii="Verdana" w:hAnsi="Verdana" w:cs="Arial"/>
          <w:b/>
          <w:i/>
          <w:sz w:val="22"/>
          <w:szCs w:val="22"/>
          <w:u w:val="single"/>
          <w:lang w:val="es-CR"/>
        </w:rPr>
        <w:t>Análisis de sensibilidad</w:t>
      </w:r>
    </w:p>
    <w:p w14:paraId="740F64F4" w14:textId="0DA0D423" w:rsidR="005153B3" w:rsidRPr="00205C60" w:rsidRDefault="005153B3" w:rsidP="0098425F">
      <w:pPr>
        <w:ind w:left="1080" w:hanging="360"/>
        <w:rPr>
          <w:rFonts w:ascii="Verdana" w:hAnsi="Verdana" w:cs="Arial"/>
          <w:b/>
          <w:i/>
          <w:sz w:val="22"/>
          <w:szCs w:val="22"/>
          <w:u w:val="single"/>
          <w:lang w:val="es-CR"/>
        </w:rPr>
      </w:pPr>
    </w:p>
    <w:p w14:paraId="7DAC2F7E" w14:textId="1D941F40" w:rsidR="005153B3" w:rsidRPr="00205C60" w:rsidRDefault="005153B3" w:rsidP="005153B3">
      <w:pPr>
        <w:tabs>
          <w:tab w:val="left" w:pos="5060"/>
        </w:tabs>
        <w:jc w:val="both"/>
        <w:rPr>
          <w:rFonts w:ascii="Verdana" w:hAnsi="Verdana" w:cs="Arial"/>
          <w:sz w:val="22"/>
          <w:szCs w:val="22"/>
          <w:lang w:val="es-CR"/>
        </w:rPr>
      </w:pPr>
      <w:r w:rsidRPr="00205C60">
        <w:rPr>
          <w:rFonts w:ascii="Verdana" w:hAnsi="Verdana" w:cs="Arial"/>
          <w:sz w:val="22"/>
          <w:szCs w:val="22"/>
          <w:lang w:val="es-CR"/>
        </w:rPr>
        <w:t>Un 10% de fortalecimiento del US dólar con respecto al colón costarricense al 31 de diciembre del 202</w:t>
      </w:r>
      <w:r w:rsidR="00691A67" w:rsidRPr="00205C60">
        <w:rPr>
          <w:rFonts w:ascii="Verdana" w:hAnsi="Verdana" w:cs="Arial"/>
          <w:sz w:val="22"/>
          <w:szCs w:val="22"/>
          <w:lang w:val="es-CR"/>
        </w:rPr>
        <w:t>2</w:t>
      </w:r>
      <w:r w:rsidRPr="00205C60">
        <w:rPr>
          <w:rFonts w:ascii="Verdana" w:hAnsi="Verdana" w:cs="Arial"/>
          <w:sz w:val="22"/>
          <w:szCs w:val="22"/>
          <w:lang w:val="es-CR"/>
        </w:rPr>
        <w:t xml:space="preserve">, habría disminuido los resultados del año terminado en esa fecha en </w:t>
      </w:r>
      <w:r w:rsidR="00DA4643" w:rsidRPr="00205C60">
        <w:rPr>
          <w:rFonts w:ascii="Verdana" w:hAnsi="Verdana" w:cs="Arial"/>
          <w:sz w:val="22"/>
          <w:szCs w:val="22"/>
        </w:rPr>
        <w:t xml:space="preserve">₡ </w:t>
      </w:r>
      <w:r w:rsidR="00691A67" w:rsidRPr="00205C60">
        <w:rPr>
          <w:rFonts w:ascii="Verdana" w:hAnsi="Verdana" w:cs="Arial"/>
          <w:sz w:val="22"/>
          <w:szCs w:val="22"/>
          <w:lang w:val="es-CR"/>
        </w:rPr>
        <w:t>834.544</w:t>
      </w:r>
      <w:r w:rsidRPr="00205C60">
        <w:rPr>
          <w:rFonts w:ascii="Verdana" w:hAnsi="Verdana" w:cs="Arial"/>
          <w:sz w:val="22"/>
          <w:szCs w:val="22"/>
          <w:lang w:val="es-CR"/>
        </w:rPr>
        <w:t xml:space="preserve"> (</w:t>
      </w:r>
      <w:r w:rsidR="00DA4643" w:rsidRPr="00205C60">
        <w:rPr>
          <w:rFonts w:ascii="Verdana" w:hAnsi="Verdana" w:cs="Arial"/>
          <w:sz w:val="22"/>
          <w:szCs w:val="22"/>
        </w:rPr>
        <w:t xml:space="preserve">₡ </w:t>
      </w:r>
      <w:r w:rsidR="00691A67" w:rsidRPr="00205C60">
        <w:rPr>
          <w:rFonts w:ascii="Verdana" w:hAnsi="Verdana" w:cs="Arial"/>
          <w:sz w:val="22"/>
          <w:szCs w:val="22"/>
          <w:lang w:val="es-CR"/>
        </w:rPr>
        <w:t>1</w:t>
      </w:r>
      <w:r w:rsidRPr="00205C60">
        <w:rPr>
          <w:rFonts w:ascii="Verdana" w:hAnsi="Verdana" w:cs="Arial"/>
          <w:sz w:val="22"/>
          <w:szCs w:val="22"/>
          <w:lang w:val="es-CR"/>
        </w:rPr>
        <w:t>.</w:t>
      </w:r>
      <w:r w:rsidR="00691A67" w:rsidRPr="00205C60">
        <w:rPr>
          <w:rFonts w:ascii="Verdana" w:hAnsi="Verdana" w:cs="Arial"/>
          <w:sz w:val="22"/>
          <w:szCs w:val="22"/>
          <w:lang w:val="es-CR"/>
        </w:rPr>
        <w:t>966</w:t>
      </w:r>
      <w:r w:rsidRPr="00205C60">
        <w:rPr>
          <w:rFonts w:ascii="Verdana" w:hAnsi="Verdana" w:cs="Arial"/>
          <w:sz w:val="22"/>
          <w:szCs w:val="22"/>
          <w:lang w:val="es-CR"/>
        </w:rPr>
        <w:t>.6</w:t>
      </w:r>
      <w:r w:rsidR="00691A67" w:rsidRPr="00205C60">
        <w:rPr>
          <w:rFonts w:ascii="Verdana" w:hAnsi="Verdana" w:cs="Arial"/>
          <w:sz w:val="22"/>
          <w:szCs w:val="22"/>
          <w:lang w:val="es-CR"/>
        </w:rPr>
        <w:t>04</w:t>
      </w:r>
      <w:r w:rsidRPr="00205C60">
        <w:rPr>
          <w:rFonts w:ascii="Verdana" w:hAnsi="Verdana" w:cs="Arial"/>
          <w:sz w:val="22"/>
          <w:szCs w:val="22"/>
          <w:lang w:val="es-CR"/>
        </w:rPr>
        <w:t xml:space="preserve"> en el 202</w:t>
      </w:r>
      <w:r w:rsidR="00691A67" w:rsidRPr="00205C60">
        <w:rPr>
          <w:rFonts w:ascii="Verdana" w:hAnsi="Verdana" w:cs="Arial"/>
          <w:sz w:val="22"/>
          <w:szCs w:val="22"/>
          <w:lang w:val="es-CR"/>
        </w:rPr>
        <w:t>1</w:t>
      </w:r>
      <w:r w:rsidRPr="00205C60">
        <w:rPr>
          <w:rFonts w:ascii="Verdana" w:hAnsi="Verdana" w:cs="Arial"/>
          <w:sz w:val="22"/>
          <w:szCs w:val="22"/>
          <w:lang w:val="es-CR"/>
        </w:rPr>
        <w:t xml:space="preserve">). Este análisis supone que todas las otras variables, particularmente las tasas de </w:t>
      </w:r>
      <w:r w:rsidR="00AA043A" w:rsidRPr="00205C60">
        <w:rPr>
          <w:rFonts w:ascii="Verdana" w:hAnsi="Verdana" w:cs="Arial"/>
          <w:sz w:val="22"/>
          <w:szCs w:val="22"/>
          <w:lang w:val="es-CR"/>
        </w:rPr>
        <w:t>interés</w:t>
      </w:r>
      <w:r w:rsidRPr="00205C60">
        <w:rPr>
          <w:rFonts w:ascii="Verdana" w:hAnsi="Verdana" w:cs="Arial"/>
          <w:sz w:val="22"/>
          <w:szCs w:val="22"/>
          <w:lang w:val="es-CR"/>
        </w:rPr>
        <w:t xml:space="preserve"> se mantienen constantes. El análisis se ha realizado con los mismos criterios en el periodo 202</w:t>
      </w:r>
      <w:r w:rsidR="009C34EB" w:rsidRPr="00205C60">
        <w:rPr>
          <w:rFonts w:ascii="Verdana" w:hAnsi="Verdana" w:cs="Arial"/>
          <w:sz w:val="22"/>
          <w:szCs w:val="22"/>
          <w:lang w:val="es-CR"/>
        </w:rPr>
        <w:t>1</w:t>
      </w:r>
      <w:r w:rsidRPr="00205C60">
        <w:rPr>
          <w:rFonts w:ascii="Verdana" w:hAnsi="Verdana" w:cs="Arial"/>
          <w:sz w:val="22"/>
          <w:szCs w:val="22"/>
          <w:lang w:val="es-CR"/>
        </w:rPr>
        <w:t xml:space="preserve">. </w:t>
      </w:r>
    </w:p>
    <w:p w14:paraId="73B0CC00" w14:textId="77777777" w:rsidR="005153B3" w:rsidRPr="00205C60" w:rsidRDefault="005153B3" w:rsidP="005153B3">
      <w:pPr>
        <w:tabs>
          <w:tab w:val="left" w:pos="5060"/>
        </w:tabs>
        <w:jc w:val="both"/>
        <w:rPr>
          <w:rFonts w:ascii="Verdana" w:hAnsi="Verdana" w:cs="Arial"/>
          <w:sz w:val="22"/>
          <w:szCs w:val="22"/>
          <w:lang w:val="es-CR"/>
        </w:rPr>
      </w:pPr>
    </w:p>
    <w:p w14:paraId="6DF700FA" w14:textId="4349A50B" w:rsidR="005153B3" w:rsidRPr="00205C60" w:rsidRDefault="005153B3" w:rsidP="005153B3">
      <w:pPr>
        <w:tabs>
          <w:tab w:val="left" w:pos="5060"/>
        </w:tabs>
        <w:jc w:val="both"/>
        <w:rPr>
          <w:rFonts w:ascii="Verdana" w:hAnsi="Verdana" w:cs="Arial"/>
          <w:sz w:val="22"/>
          <w:szCs w:val="22"/>
          <w:lang w:val="es-CR"/>
        </w:rPr>
      </w:pPr>
      <w:r w:rsidRPr="00205C60">
        <w:rPr>
          <w:rFonts w:ascii="Verdana" w:hAnsi="Verdana" w:cs="Arial"/>
          <w:sz w:val="22"/>
          <w:szCs w:val="22"/>
          <w:lang w:val="es-CR"/>
        </w:rPr>
        <w:lastRenderedPageBreak/>
        <w:t>Un 10% de debilitamiento del US dólar con respecto a la moneda al 31 de diciembre del 202</w:t>
      </w:r>
      <w:r w:rsidR="00755655" w:rsidRPr="00205C60">
        <w:rPr>
          <w:rFonts w:ascii="Verdana" w:hAnsi="Verdana" w:cs="Arial"/>
          <w:sz w:val="22"/>
          <w:szCs w:val="22"/>
          <w:lang w:val="es-CR"/>
        </w:rPr>
        <w:t>2</w:t>
      </w:r>
      <w:r w:rsidRPr="00205C60">
        <w:rPr>
          <w:rFonts w:ascii="Verdana" w:hAnsi="Verdana" w:cs="Arial"/>
          <w:sz w:val="22"/>
          <w:szCs w:val="22"/>
          <w:lang w:val="es-CR"/>
        </w:rPr>
        <w:t xml:space="preserve"> y del 202</w:t>
      </w:r>
      <w:r w:rsidR="00755655" w:rsidRPr="00205C60">
        <w:rPr>
          <w:rFonts w:ascii="Verdana" w:hAnsi="Verdana" w:cs="Arial"/>
          <w:sz w:val="22"/>
          <w:szCs w:val="22"/>
          <w:lang w:val="es-CR"/>
        </w:rPr>
        <w:t>1</w:t>
      </w:r>
      <w:r w:rsidRPr="00205C60">
        <w:rPr>
          <w:rFonts w:ascii="Verdana" w:hAnsi="Verdana" w:cs="Arial"/>
          <w:sz w:val="22"/>
          <w:szCs w:val="22"/>
          <w:lang w:val="es-CR"/>
        </w:rPr>
        <w:t xml:space="preserve">. habría tenido el efecto opuesto considerando que el resto de </w:t>
      </w:r>
      <w:r w:rsidR="00855CAA" w:rsidRPr="00205C60">
        <w:rPr>
          <w:rFonts w:ascii="Verdana" w:hAnsi="Verdana" w:cs="Arial"/>
          <w:sz w:val="22"/>
          <w:szCs w:val="22"/>
          <w:lang w:val="es-CR"/>
        </w:rPr>
        <w:t>las variables</w:t>
      </w:r>
      <w:r w:rsidRPr="00205C60">
        <w:rPr>
          <w:rFonts w:ascii="Verdana" w:hAnsi="Verdana" w:cs="Arial"/>
          <w:sz w:val="22"/>
          <w:szCs w:val="22"/>
          <w:lang w:val="es-CR"/>
        </w:rPr>
        <w:t xml:space="preserve"> permanecen constantes.</w:t>
      </w:r>
    </w:p>
    <w:p w14:paraId="3CA7EC33" w14:textId="77777777" w:rsidR="0098425F" w:rsidRPr="00205C60" w:rsidRDefault="0098425F" w:rsidP="0098425F">
      <w:pPr>
        <w:pStyle w:val="parrafo"/>
        <w:ind w:left="0" w:firstLine="0"/>
        <w:rPr>
          <w:rFonts w:ascii="Verdana" w:hAnsi="Verdana"/>
          <w:sz w:val="22"/>
          <w:szCs w:val="22"/>
          <w:u w:val="none"/>
          <w:lang w:val="es-CR"/>
        </w:rPr>
      </w:pPr>
    </w:p>
    <w:p w14:paraId="2CBEE10A" w14:textId="31CC1367" w:rsidR="00F66DA1" w:rsidRPr="00205C60" w:rsidRDefault="00F66DA1" w:rsidP="00453107">
      <w:pPr>
        <w:pStyle w:val="parrafo"/>
        <w:ind w:left="0" w:firstLine="0"/>
        <w:rPr>
          <w:rFonts w:ascii="Verdana" w:hAnsi="Verdana" w:cs="Arial"/>
          <w:sz w:val="22"/>
          <w:szCs w:val="22"/>
          <w:u w:val="none"/>
          <w:lang w:val="es-CR"/>
        </w:rPr>
      </w:pPr>
    </w:p>
    <w:p w14:paraId="3CA7EC39" w14:textId="77777777" w:rsidR="009D5888" w:rsidRPr="00205C60" w:rsidRDefault="006B3E99" w:rsidP="00882F32">
      <w:pPr>
        <w:pStyle w:val="Prrafodelista"/>
        <w:numPr>
          <w:ilvl w:val="0"/>
          <w:numId w:val="27"/>
        </w:numPr>
        <w:rPr>
          <w:rFonts w:ascii="Verdana" w:hAnsi="Verdana" w:cs="Arial"/>
          <w:b/>
          <w:sz w:val="22"/>
          <w:szCs w:val="22"/>
        </w:rPr>
      </w:pPr>
      <w:r w:rsidRPr="00205C60">
        <w:rPr>
          <w:rFonts w:ascii="Verdana" w:hAnsi="Verdana" w:cs="Arial"/>
          <w:b/>
          <w:sz w:val="22"/>
          <w:szCs w:val="22"/>
        </w:rPr>
        <w:t xml:space="preserve">Exposición al riesgo de tasa de interés:  </w:t>
      </w:r>
    </w:p>
    <w:p w14:paraId="3CA7EC3B" w14:textId="59A92EB2" w:rsidR="006B3E99" w:rsidRPr="00205C60" w:rsidRDefault="006B3E99" w:rsidP="007956EB">
      <w:pPr>
        <w:pStyle w:val="Prrafodelista"/>
        <w:ind w:left="1066"/>
        <w:rPr>
          <w:rFonts w:ascii="Verdana" w:hAnsi="Verdana" w:cs="Arial"/>
          <w:b/>
          <w:sz w:val="22"/>
          <w:szCs w:val="22"/>
        </w:rPr>
      </w:pPr>
      <w:r w:rsidRPr="00205C60">
        <w:rPr>
          <w:rFonts w:ascii="Verdana" w:hAnsi="Verdana" w:cs="Arial"/>
          <w:b/>
          <w:sz w:val="22"/>
          <w:szCs w:val="22"/>
        </w:rPr>
        <w:t xml:space="preserve"> </w:t>
      </w:r>
    </w:p>
    <w:p w14:paraId="3CA7EC3C" w14:textId="77777777" w:rsidR="006B3E99" w:rsidRPr="00205C60" w:rsidRDefault="006B3E99" w:rsidP="006B3E99">
      <w:pPr>
        <w:tabs>
          <w:tab w:val="left" w:pos="1440"/>
          <w:tab w:val="left" w:pos="1800"/>
          <w:tab w:val="right" w:pos="6660"/>
          <w:tab w:val="right" w:pos="8460"/>
        </w:tabs>
        <w:autoSpaceDE w:val="0"/>
        <w:autoSpaceDN w:val="0"/>
        <w:adjustRightInd w:val="0"/>
        <w:ind w:left="1440" w:hanging="720"/>
        <w:rPr>
          <w:rFonts w:ascii="Verdana" w:hAnsi="Verdana" w:cs="Arial"/>
          <w:b/>
          <w:sz w:val="22"/>
          <w:szCs w:val="22"/>
          <w:u w:val="single"/>
          <w:lang w:val="es-CR"/>
        </w:rPr>
      </w:pPr>
      <w:r w:rsidRPr="00205C60">
        <w:rPr>
          <w:rFonts w:ascii="Verdana" w:hAnsi="Verdana" w:cs="Arial"/>
          <w:b/>
          <w:sz w:val="22"/>
          <w:szCs w:val="22"/>
          <w:u w:val="single"/>
          <w:lang w:val="es-CR"/>
        </w:rPr>
        <w:t>Riesgo de tasa de interés</w:t>
      </w:r>
    </w:p>
    <w:p w14:paraId="3CA7EC3D" w14:textId="77777777" w:rsidR="00986E2D" w:rsidRPr="00205C60" w:rsidRDefault="00986E2D" w:rsidP="006B3E99">
      <w:pPr>
        <w:tabs>
          <w:tab w:val="left" w:pos="1440"/>
          <w:tab w:val="left" w:pos="1800"/>
          <w:tab w:val="right" w:pos="6660"/>
          <w:tab w:val="right" w:pos="8460"/>
        </w:tabs>
        <w:autoSpaceDE w:val="0"/>
        <w:autoSpaceDN w:val="0"/>
        <w:adjustRightInd w:val="0"/>
        <w:ind w:left="1440" w:hanging="720"/>
        <w:rPr>
          <w:rFonts w:ascii="Verdana" w:hAnsi="Verdana" w:cs="Arial"/>
          <w:b/>
          <w:sz w:val="22"/>
          <w:szCs w:val="22"/>
          <w:u w:val="single"/>
          <w:lang w:val="es-CR"/>
        </w:rPr>
      </w:pPr>
    </w:p>
    <w:p w14:paraId="3CB75D44" w14:textId="7930D7F1" w:rsidR="00E46393" w:rsidRPr="00205C60" w:rsidRDefault="00E46393" w:rsidP="009609DF">
      <w:pPr>
        <w:tabs>
          <w:tab w:val="left" w:pos="1440"/>
          <w:tab w:val="left" w:pos="1800"/>
          <w:tab w:val="right" w:pos="6660"/>
          <w:tab w:val="right" w:pos="8460"/>
        </w:tabs>
        <w:autoSpaceDE w:val="0"/>
        <w:autoSpaceDN w:val="0"/>
        <w:adjustRightInd w:val="0"/>
        <w:jc w:val="both"/>
        <w:rPr>
          <w:rFonts w:ascii="Verdana" w:hAnsi="Verdana" w:cs="Arial"/>
          <w:sz w:val="22"/>
          <w:szCs w:val="22"/>
          <w:lang w:val="es-CR"/>
        </w:rPr>
      </w:pPr>
      <w:r w:rsidRPr="00205C60">
        <w:rPr>
          <w:rFonts w:ascii="Verdana" w:hAnsi="Verdana" w:cs="Arial"/>
          <w:sz w:val="22"/>
          <w:szCs w:val="22"/>
          <w:lang w:val="es-CR"/>
        </w:rPr>
        <w:t>Es el riesgo de que el valor de mercado o los flujos futuros de efectivo de un instrumento financiero fluctúen como resultado de cambios en las tasas de interés de mercado. La Compañía mantiene activos y pasivos importantes, los cuales están sujetos a variaciones en las tasas de interés. La Compañía no cuenta con una política de cobertura para este riesgo.</w:t>
      </w:r>
    </w:p>
    <w:p w14:paraId="3CA7EC40" w14:textId="77777777" w:rsidR="00496CDC" w:rsidRPr="00205C60" w:rsidRDefault="00496CDC" w:rsidP="006B3E99">
      <w:pPr>
        <w:tabs>
          <w:tab w:val="left" w:pos="1440"/>
          <w:tab w:val="left" w:pos="1800"/>
          <w:tab w:val="right" w:pos="6660"/>
          <w:tab w:val="right" w:pos="8460"/>
        </w:tabs>
        <w:autoSpaceDE w:val="0"/>
        <w:autoSpaceDN w:val="0"/>
        <w:adjustRightInd w:val="0"/>
        <w:ind w:left="1440" w:hanging="720"/>
        <w:rPr>
          <w:rFonts w:ascii="Verdana" w:hAnsi="Verdana"/>
          <w:sz w:val="22"/>
          <w:szCs w:val="22"/>
          <w:lang w:val="es-CR"/>
        </w:rPr>
      </w:pPr>
    </w:p>
    <w:p w14:paraId="3CA7EC41" w14:textId="77777777" w:rsidR="0098425F" w:rsidRPr="00205C60" w:rsidRDefault="0098425F" w:rsidP="0098425F">
      <w:pPr>
        <w:tabs>
          <w:tab w:val="left" w:pos="1440"/>
          <w:tab w:val="left" w:pos="1800"/>
          <w:tab w:val="right" w:pos="6660"/>
          <w:tab w:val="right" w:pos="8460"/>
        </w:tabs>
        <w:autoSpaceDE w:val="0"/>
        <w:autoSpaceDN w:val="0"/>
        <w:adjustRightInd w:val="0"/>
        <w:ind w:left="1440" w:hanging="720"/>
        <w:rPr>
          <w:rFonts w:ascii="Verdana" w:hAnsi="Verdana" w:cs="Arial"/>
          <w:b/>
          <w:i/>
          <w:sz w:val="22"/>
          <w:szCs w:val="22"/>
          <w:u w:val="single"/>
          <w:lang w:val="es-CR"/>
        </w:rPr>
      </w:pPr>
      <w:r w:rsidRPr="00205C60">
        <w:rPr>
          <w:rFonts w:ascii="Verdana" w:hAnsi="Verdana" w:cs="Arial"/>
          <w:b/>
          <w:i/>
          <w:sz w:val="22"/>
          <w:szCs w:val="22"/>
          <w:u w:val="single"/>
          <w:lang w:val="es-CR"/>
        </w:rPr>
        <w:t>Exposición al riesgo de tasa de interés</w:t>
      </w:r>
    </w:p>
    <w:p w14:paraId="3CA7EC43" w14:textId="77777777" w:rsidR="0098425F" w:rsidRPr="00205C60" w:rsidRDefault="0098425F" w:rsidP="0098425F">
      <w:pPr>
        <w:tabs>
          <w:tab w:val="left" w:pos="1440"/>
          <w:tab w:val="left" w:pos="1800"/>
          <w:tab w:val="right" w:pos="6660"/>
          <w:tab w:val="right" w:pos="8460"/>
        </w:tabs>
        <w:autoSpaceDE w:val="0"/>
        <w:autoSpaceDN w:val="0"/>
        <w:adjustRightInd w:val="0"/>
        <w:ind w:left="1440" w:hanging="720"/>
        <w:rPr>
          <w:rFonts w:ascii="Verdana" w:hAnsi="Verdana"/>
          <w:sz w:val="22"/>
          <w:szCs w:val="22"/>
          <w:lang w:val="es-CR"/>
        </w:rPr>
      </w:pPr>
    </w:p>
    <w:p w14:paraId="05C3D8B7" w14:textId="4BD4D65D" w:rsidR="00F12D14" w:rsidRPr="00205C60" w:rsidRDefault="00F12D14" w:rsidP="009F4854">
      <w:pPr>
        <w:tabs>
          <w:tab w:val="left" w:pos="1440"/>
          <w:tab w:val="left" w:pos="1800"/>
          <w:tab w:val="right" w:pos="6660"/>
          <w:tab w:val="right" w:pos="8460"/>
        </w:tabs>
        <w:autoSpaceDE w:val="0"/>
        <w:autoSpaceDN w:val="0"/>
        <w:adjustRightInd w:val="0"/>
        <w:rPr>
          <w:rFonts w:ascii="Verdana" w:hAnsi="Verdana" w:cs="Arial"/>
          <w:sz w:val="22"/>
          <w:szCs w:val="22"/>
          <w:lang w:val="es-CR"/>
        </w:rPr>
      </w:pPr>
      <w:r w:rsidRPr="00205C60">
        <w:rPr>
          <w:rFonts w:ascii="Verdana" w:hAnsi="Verdana" w:cs="Arial"/>
          <w:sz w:val="22"/>
          <w:szCs w:val="22"/>
          <w:lang w:val="es-CR"/>
        </w:rPr>
        <w:t>A la fecha de los estados financieros</w:t>
      </w:r>
      <w:r w:rsidR="00B76C4B" w:rsidRPr="00205C60">
        <w:rPr>
          <w:rFonts w:ascii="Verdana" w:hAnsi="Verdana" w:cs="Arial"/>
          <w:sz w:val="22"/>
          <w:szCs w:val="22"/>
          <w:lang w:val="es-CR"/>
        </w:rPr>
        <w:t>,</w:t>
      </w:r>
      <w:r w:rsidRPr="00205C60">
        <w:rPr>
          <w:rFonts w:ascii="Verdana" w:hAnsi="Verdana" w:cs="Arial"/>
          <w:sz w:val="22"/>
          <w:szCs w:val="22"/>
          <w:lang w:val="es-CR"/>
        </w:rPr>
        <w:t xml:space="preserve"> el perfil de las tasas de interés relativos a los instrumentos financieros es como sigue:</w:t>
      </w:r>
    </w:p>
    <w:p w14:paraId="7AD0A551" w14:textId="31631F1F" w:rsidR="00130225" w:rsidRPr="00205C60" w:rsidRDefault="00130225" w:rsidP="009F4854">
      <w:pPr>
        <w:tabs>
          <w:tab w:val="left" w:pos="1440"/>
          <w:tab w:val="left" w:pos="1800"/>
          <w:tab w:val="right" w:pos="6660"/>
          <w:tab w:val="right" w:pos="8460"/>
        </w:tabs>
        <w:autoSpaceDE w:val="0"/>
        <w:autoSpaceDN w:val="0"/>
        <w:adjustRightInd w:val="0"/>
        <w:rPr>
          <w:rFonts w:ascii="Verdana" w:hAnsi="Verdana" w:cs="Arial"/>
          <w:sz w:val="22"/>
          <w:szCs w:val="22"/>
          <w:lang w:val="es-CR"/>
        </w:rPr>
      </w:pPr>
    </w:p>
    <w:p w14:paraId="577DFF6B" w14:textId="17BCA0C3" w:rsidR="00531548" w:rsidRPr="00205C60" w:rsidRDefault="00531548" w:rsidP="009F4854">
      <w:pPr>
        <w:tabs>
          <w:tab w:val="left" w:pos="1440"/>
          <w:tab w:val="left" w:pos="1800"/>
          <w:tab w:val="right" w:pos="6660"/>
          <w:tab w:val="right" w:pos="8460"/>
        </w:tabs>
        <w:autoSpaceDE w:val="0"/>
        <w:autoSpaceDN w:val="0"/>
        <w:adjustRightInd w:val="0"/>
        <w:rPr>
          <w:rFonts w:ascii="Verdana" w:hAnsi="Verdana" w:cs="Arial"/>
          <w:sz w:val="22"/>
          <w:szCs w:val="22"/>
          <w:lang w:val="es-CR"/>
        </w:rPr>
      </w:pPr>
    </w:p>
    <w:tbl>
      <w:tblPr>
        <w:tblW w:w="8280" w:type="dxa"/>
        <w:tblInd w:w="360" w:type="dxa"/>
        <w:tblCellMar>
          <w:left w:w="0" w:type="dxa"/>
          <w:right w:w="0" w:type="dxa"/>
        </w:tblCellMar>
        <w:tblLook w:val="04A0" w:firstRow="1" w:lastRow="0" w:firstColumn="1" w:lastColumn="0" w:noHBand="0" w:noVBand="1"/>
      </w:tblPr>
      <w:tblGrid>
        <w:gridCol w:w="3654"/>
        <w:gridCol w:w="680"/>
        <w:gridCol w:w="316"/>
        <w:gridCol w:w="1704"/>
        <w:gridCol w:w="222"/>
        <w:gridCol w:w="1704"/>
      </w:tblGrid>
      <w:tr w:rsidR="00E042B6" w:rsidRPr="00205C60" w14:paraId="3CA7EC4B" w14:textId="77777777" w:rsidTr="007956EB">
        <w:trPr>
          <w:trHeight w:val="20"/>
        </w:trPr>
        <w:tc>
          <w:tcPr>
            <w:tcW w:w="3654" w:type="dxa"/>
            <w:vAlign w:val="center"/>
          </w:tcPr>
          <w:p w14:paraId="3CA7EC47" w14:textId="77777777" w:rsidR="00E042B6" w:rsidRPr="00205C60" w:rsidRDefault="00E042B6" w:rsidP="00B1483C">
            <w:pPr>
              <w:ind w:left="576"/>
              <w:jc w:val="center"/>
              <w:rPr>
                <w:rFonts w:ascii="Verdana" w:eastAsia="Calibri" w:hAnsi="Verdana"/>
                <w:sz w:val="22"/>
                <w:szCs w:val="22"/>
                <w:lang w:val="es-CR"/>
              </w:rPr>
            </w:pPr>
          </w:p>
        </w:tc>
        <w:tc>
          <w:tcPr>
            <w:tcW w:w="680" w:type="dxa"/>
            <w:vAlign w:val="bottom"/>
            <w:hideMark/>
          </w:tcPr>
          <w:p w14:paraId="3CA7EC48" w14:textId="77777777" w:rsidR="00E042B6" w:rsidRPr="00205C60" w:rsidRDefault="00E042B6" w:rsidP="00B1483C">
            <w:pPr>
              <w:pStyle w:val="Nota10"/>
              <w:jc w:val="center"/>
              <w:rPr>
                <w:rFonts w:ascii="Verdana" w:hAnsi="Verdana"/>
                <w:snapToGrid w:val="0"/>
                <w:sz w:val="22"/>
                <w:szCs w:val="22"/>
                <w:u w:val="single"/>
                <w:lang w:val="es-CR"/>
              </w:rPr>
            </w:pPr>
          </w:p>
        </w:tc>
        <w:tc>
          <w:tcPr>
            <w:tcW w:w="316" w:type="dxa"/>
            <w:vAlign w:val="bottom"/>
          </w:tcPr>
          <w:p w14:paraId="3CA7EC49" w14:textId="77777777" w:rsidR="00E042B6" w:rsidRPr="00205C60" w:rsidRDefault="00E042B6" w:rsidP="00B1483C">
            <w:pPr>
              <w:pStyle w:val="Nota10"/>
              <w:jc w:val="center"/>
              <w:rPr>
                <w:rFonts w:ascii="Verdana" w:hAnsi="Verdana"/>
                <w:snapToGrid w:val="0"/>
                <w:sz w:val="22"/>
                <w:szCs w:val="22"/>
                <w:lang w:val="es-CR"/>
              </w:rPr>
            </w:pPr>
          </w:p>
        </w:tc>
        <w:tc>
          <w:tcPr>
            <w:tcW w:w="3630" w:type="dxa"/>
            <w:gridSpan w:val="3"/>
            <w:vAlign w:val="bottom"/>
            <w:hideMark/>
          </w:tcPr>
          <w:p w14:paraId="3CA7EC4A" w14:textId="77777777" w:rsidR="00E042B6" w:rsidRPr="00205C60" w:rsidRDefault="00E042B6" w:rsidP="00B1483C">
            <w:pPr>
              <w:jc w:val="center"/>
              <w:rPr>
                <w:rFonts w:ascii="Verdana" w:eastAsia="Calibri" w:hAnsi="Verdana"/>
                <w:sz w:val="22"/>
                <w:szCs w:val="22"/>
                <w:u w:val="single"/>
                <w:lang w:val="es-CR"/>
              </w:rPr>
            </w:pPr>
            <w:r w:rsidRPr="00205C60">
              <w:rPr>
                <w:rFonts w:ascii="Verdana" w:eastAsia="Calibri" w:hAnsi="Verdana"/>
                <w:sz w:val="22"/>
                <w:szCs w:val="22"/>
                <w:u w:val="single"/>
                <w:lang w:val="es-CR"/>
              </w:rPr>
              <w:t>31 de diciembre del</w:t>
            </w:r>
          </w:p>
        </w:tc>
      </w:tr>
      <w:tr w:rsidR="00E042B6" w:rsidRPr="00205C60" w14:paraId="3CA7EC52" w14:textId="77777777" w:rsidTr="007956EB">
        <w:trPr>
          <w:trHeight w:val="20"/>
        </w:trPr>
        <w:tc>
          <w:tcPr>
            <w:tcW w:w="3654" w:type="dxa"/>
            <w:vAlign w:val="center"/>
          </w:tcPr>
          <w:p w14:paraId="3CA7EC4C" w14:textId="77777777" w:rsidR="00E042B6" w:rsidRPr="00205C60" w:rsidRDefault="00E042B6" w:rsidP="00B1483C">
            <w:pPr>
              <w:ind w:left="576"/>
              <w:jc w:val="center"/>
              <w:rPr>
                <w:rFonts w:ascii="Verdana" w:eastAsia="Calibri" w:hAnsi="Verdana"/>
                <w:sz w:val="22"/>
                <w:szCs w:val="22"/>
                <w:lang w:val="es-CR"/>
              </w:rPr>
            </w:pPr>
          </w:p>
        </w:tc>
        <w:tc>
          <w:tcPr>
            <w:tcW w:w="680" w:type="dxa"/>
            <w:vAlign w:val="bottom"/>
            <w:hideMark/>
          </w:tcPr>
          <w:p w14:paraId="3CA7EC4D" w14:textId="77777777" w:rsidR="00E042B6" w:rsidRPr="00205C60" w:rsidRDefault="00E042B6" w:rsidP="00B1483C">
            <w:pPr>
              <w:pStyle w:val="Nota10"/>
              <w:jc w:val="center"/>
              <w:rPr>
                <w:rFonts w:ascii="Verdana" w:hAnsi="Verdana"/>
                <w:snapToGrid w:val="0"/>
                <w:sz w:val="22"/>
                <w:szCs w:val="22"/>
                <w:u w:val="single"/>
                <w:lang w:val="es-CR"/>
              </w:rPr>
            </w:pPr>
            <w:r w:rsidRPr="00205C60">
              <w:rPr>
                <w:rFonts w:ascii="Verdana" w:hAnsi="Verdana"/>
                <w:snapToGrid w:val="0"/>
                <w:sz w:val="22"/>
                <w:szCs w:val="22"/>
                <w:u w:val="single"/>
                <w:lang w:val="es-CR"/>
              </w:rPr>
              <w:t>Nota</w:t>
            </w:r>
          </w:p>
        </w:tc>
        <w:tc>
          <w:tcPr>
            <w:tcW w:w="316" w:type="dxa"/>
            <w:vAlign w:val="bottom"/>
          </w:tcPr>
          <w:p w14:paraId="3CA7EC4E" w14:textId="77777777" w:rsidR="00E042B6" w:rsidRPr="00205C60" w:rsidRDefault="00E042B6" w:rsidP="00B1483C">
            <w:pPr>
              <w:pStyle w:val="Nota10"/>
              <w:jc w:val="center"/>
              <w:rPr>
                <w:rFonts w:ascii="Verdana" w:hAnsi="Verdana"/>
                <w:snapToGrid w:val="0"/>
                <w:sz w:val="22"/>
                <w:szCs w:val="22"/>
                <w:lang w:val="es-CR"/>
              </w:rPr>
            </w:pPr>
          </w:p>
        </w:tc>
        <w:tc>
          <w:tcPr>
            <w:tcW w:w="1704" w:type="dxa"/>
            <w:vAlign w:val="bottom"/>
          </w:tcPr>
          <w:p w14:paraId="3CA7EC4F" w14:textId="6B3AC5CB" w:rsidR="00E042B6" w:rsidRPr="00205C60" w:rsidRDefault="00E042B6" w:rsidP="00B1483C">
            <w:pPr>
              <w:jc w:val="center"/>
              <w:rPr>
                <w:rFonts w:ascii="Verdana" w:eastAsia="Calibri" w:hAnsi="Verdana"/>
                <w:sz w:val="22"/>
                <w:szCs w:val="22"/>
                <w:u w:val="single"/>
                <w:lang w:val="es-CR"/>
              </w:rPr>
            </w:pPr>
            <w:r w:rsidRPr="00205C60">
              <w:rPr>
                <w:rFonts w:ascii="Verdana" w:eastAsia="Calibri" w:hAnsi="Verdana"/>
                <w:sz w:val="22"/>
                <w:szCs w:val="22"/>
                <w:u w:val="single"/>
                <w:lang w:val="es-CR"/>
              </w:rPr>
              <w:t>202</w:t>
            </w:r>
            <w:r w:rsidR="000B01C7" w:rsidRPr="00205C60">
              <w:rPr>
                <w:rFonts w:ascii="Verdana" w:eastAsia="Calibri" w:hAnsi="Verdana"/>
                <w:sz w:val="22"/>
                <w:szCs w:val="22"/>
                <w:u w:val="single"/>
                <w:lang w:val="es-CR"/>
              </w:rPr>
              <w:t>2</w:t>
            </w:r>
          </w:p>
        </w:tc>
        <w:tc>
          <w:tcPr>
            <w:tcW w:w="222" w:type="dxa"/>
            <w:vAlign w:val="bottom"/>
          </w:tcPr>
          <w:p w14:paraId="3CA7EC50" w14:textId="77777777" w:rsidR="00E042B6" w:rsidRPr="00205C60" w:rsidRDefault="00E042B6" w:rsidP="00B1483C">
            <w:pPr>
              <w:jc w:val="center"/>
              <w:rPr>
                <w:rFonts w:ascii="Verdana" w:eastAsia="Calibri" w:hAnsi="Verdana"/>
                <w:sz w:val="22"/>
                <w:szCs w:val="22"/>
                <w:u w:val="single"/>
                <w:lang w:val="es-CR"/>
              </w:rPr>
            </w:pPr>
          </w:p>
        </w:tc>
        <w:tc>
          <w:tcPr>
            <w:tcW w:w="1704" w:type="dxa"/>
            <w:vAlign w:val="bottom"/>
            <w:hideMark/>
          </w:tcPr>
          <w:p w14:paraId="3CA7EC51" w14:textId="046CC6F9" w:rsidR="00E042B6" w:rsidRPr="00205C60" w:rsidRDefault="00E042B6" w:rsidP="00B1483C">
            <w:pPr>
              <w:jc w:val="center"/>
              <w:rPr>
                <w:rFonts w:ascii="Verdana" w:eastAsia="Calibri" w:hAnsi="Verdana"/>
                <w:sz w:val="22"/>
                <w:szCs w:val="22"/>
                <w:u w:val="single"/>
                <w:lang w:val="es-CR"/>
              </w:rPr>
            </w:pPr>
            <w:r w:rsidRPr="00205C60">
              <w:rPr>
                <w:rFonts w:ascii="Verdana" w:eastAsia="Calibri" w:hAnsi="Verdana"/>
                <w:sz w:val="22"/>
                <w:szCs w:val="22"/>
                <w:u w:val="single"/>
                <w:lang w:val="es-CR"/>
              </w:rPr>
              <w:t>20</w:t>
            </w:r>
            <w:r w:rsidR="00A9736B" w:rsidRPr="00205C60">
              <w:rPr>
                <w:rFonts w:ascii="Verdana" w:eastAsia="Calibri" w:hAnsi="Verdana"/>
                <w:sz w:val="22"/>
                <w:szCs w:val="22"/>
                <w:u w:val="single"/>
                <w:lang w:val="es-CR"/>
              </w:rPr>
              <w:t>2</w:t>
            </w:r>
            <w:r w:rsidR="000B01C7" w:rsidRPr="00205C60">
              <w:rPr>
                <w:rFonts w:ascii="Verdana" w:eastAsia="Calibri" w:hAnsi="Verdana"/>
                <w:sz w:val="22"/>
                <w:szCs w:val="22"/>
                <w:u w:val="single"/>
                <w:lang w:val="es-CR"/>
              </w:rPr>
              <w:t>1</w:t>
            </w:r>
          </w:p>
        </w:tc>
      </w:tr>
      <w:tr w:rsidR="00E042B6" w:rsidRPr="00205C60" w14:paraId="3CA7EC59" w14:textId="77777777" w:rsidTr="007956EB">
        <w:trPr>
          <w:trHeight w:val="20"/>
        </w:trPr>
        <w:tc>
          <w:tcPr>
            <w:tcW w:w="3654" w:type="dxa"/>
            <w:vAlign w:val="center"/>
          </w:tcPr>
          <w:p w14:paraId="3CA7EC53" w14:textId="77777777" w:rsidR="00E042B6" w:rsidRPr="00205C60" w:rsidRDefault="00E042B6" w:rsidP="00B1483C">
            <w:pPr>
              <w:ind w:left="1080" w:hanging="720"/>
              <w:rPr>
                <w:rFonts w:ascii="Verdana" w:eastAsia="Calibri" w:hAnsi="Verdana"/>
                <w:sz w:val="22"/>
                <w:szCs w:val="22"/>
                <w:u w:val="single"/>
                <w:lang w:val="es-CR"/>
              </w:rPr>
            </w:pPr>
            <w:r w:rsidRPr="00205C60">
              <w:rPr>
                <w:rFonts w:ascii="Verdana" w:eastAsia="Calibri" w:hAnsi="Verdana"/>
                <w:sz w:val="22"/>
                <w:szCs w:val="22"/>
                <w:u w:val="single"/>
                <w:lang w:val="es-CR"/>
              </w:rPr>
              <w:t>Instrumentos de tasa fija:</w:t>
            </w:r>
          </w:p>
        </w:tc>
        <w:tc>
          <w:tcPr>
            <w:tcW w:w="680" w:type="dxa"/>
            <w:vAlign w:val="bottom"/>
          </w:tcPr>
          <w:p w14:paraId="3CA7EC54" w14:textId="77777777" w:rsidR="00E042B6" w:rsidRPr="00205C60" w:rsidRDefault="00E042B6" w:rsidP="00B1483C">
            <w:pPr>
              <w:pStyle w:val="Nota10"/>
              <w:jc w:val="center"/>
              <w:rPr>
                <w:rFonts w:ascii="Verdana" w:hAnsi="Verdana"/>
                <w:snapToGrid w:val="0"/>
                <w:sz w:val="22"/>
                <w:szCs w:val="22"/>
                <w:lang w:val="es-CR"/>
              </w:rPr>
            </w:pPr>
          </w:p>
        </w:tc>
        <w:tc>
          <w:tcPr>
            <w:tcW w:w="316" w:type="dxa"/>
            <w:vAlign w:val="bottom"/>
            <w:hideMark/>
          </w:tcPr>
          <w:p w14:paraId="3CA7EC55" w14:textId="77777777" w:rsidR="00E042B6" w:rsidRPr="00205C60" w:rsidRDefault="00E042B6" w:rsidP="00B1483C">
            <w:pPr>
              <w:jc w:val="center"/>
              <w:rPr>
                <w:rFonts w:ascii="Verdana" w:eastAsia="Calibri" w:hAnsi="Verdana"/>
                <w:sz w:val="22"/>
                <w:szCs w:val="22"/>
                <w:lang w:val="es-CR"/>
              </w:rPr>
            </w:pPr>
          </w:p>
        </w:tc>
        <w:tc>
          <w:tcPr>
            <w:tcW w:w="1704" w:type="dxa"/>
            <w:vAlign w:val="bottom"/>
          </w:tcPr>
          <w:p w14:paraId="3CA7EC56" w14:textId="77777777" w:rsidR="00E042B6" w:rsidRPr="00205C60" w:rsidRDefault="00E042B6" w:rsidP="00B1483C">
            <w:pPr>
              <w:ind w:right="85"/>
              <w:jc w:val="right"/>
              <w:rPr>
                <w:rFonts w:ascii="Verdana" w:eastAsia="Calibri" w:hAnsi="Verdana"/>
                <w:sz w:val="22"/>
                <w:szCs w:val="22"/>
                <w:lang w:val="es-CR"/>
              </w:rPr>
            </w:pPr>
          </w:p>
        </w:tc>
        <w:tc>
          <w:tcPr>
            <w:tcW w:w="222" w:type="dxa"/>
            <w:vAlign w:val="bottom"/>
          </w:tcPr>
          <w:p w14:paraId="3CA7EC57" w14:textId="77777777" w:rsidR="00E042B6" w:rsidRPr="00205C60" w:rsidRDefault="00E042B6" w:rsidP="00B1483C">
            <w:pPr>
              <w:ind w:right="85"/>
              <w:jc w:val="right"/>
              <w:rPr>
                <w:rFonts w:ascii="Verdana" w:eastAsia="Calibri" w:hAnsi="Verdana"/>
                <w:sz w:val="22"/>
                <w:szCs w:val="22"/>
                <w:lang w:val="es-CR"/>
              </w:rPr>
            </w:pPr>
          </w:p>
        </w:tc>
        <w:tc>
          <w:tcPr>
            <w:tcW w:w="1704" w:type="dxa"/>
            <w:vAlign w:val="bottom"/>
          </w:tcPr>
          <w:p w14:paraId="3CA7EC58" w14:textId="77777777" w:rsidR="00E042B6" w:rsidRPr="00205C60" w:rsidRDefault="00E042B6" w:rsidP="00B1483C">
            <w:pPr>
              <w:ind w:right="85"/>
              <w:jc w:val="right"/>
              <w:rPr>
                <w:rFonts w:ascii="Verdana" w:eastAsia="Calibri" w:hAnsi="Verdana"/>
                <w:sz w:val="22"/>
                <w:szCs w:val="22"/>
                <w:lang w:val="es-CR"/>
              </w:rPr>
            </w:pPr>
          </w:p>
        </w:tc>
      </w:tr>
      <w:tr w:rsidR="00E042B6" w:rsidRPr="00205C60" w14:paraId="3CA7EC60" w14:textId="77777777" w:rsidTr="007956EB">
        <w:trPr>
          <w:trHeight w:val="20"/>
        </w:trPr>
        <w:tc>
          <w:tcPr>
            <w:tcW w:w="3654" w:type="dxa"/>
            <w:vAlign w:val="center"/>
          </w:tcPr>
          <w:p w14:paraId="3CA7EC5A" w14:textId="77777777" w:rsidR="00E042B6" w:rsidRPr="00205C60" w:rsidRDefault="00E042B6" w:rsidP="00B1483C">
            <w:pPr>
              <w:ind w:left="1080" w:hanging="450"/>
              <w:rPr>
                <w:rFonts w:ascii="Verdana" w:hAnsi="Verdana"/>
                <w:sz w:val="22"/>
                <w:szCs w:val="22"/>
                <w:lang w:val="es-CR"/>
              </w:rPr>
            </w:pPr>
            <w:r w:rsidRPr="00205C60">
              <w:rPr>
                <w:rFonts w:ascii="Verdana" w:hAnsi="Verdana"/>
                <w:sz w:val="22"/>
                <w:szCs w:val="22"/>
                <w:lang w:val="es-CR"/>
              </w:rPr>
              <w:t>Efectivo</w:t>
            </w:r>
            <w:r w:rsidRPr="00205C60">
              <w:rPr>
                <w:rFonts w:ascii="Verdana" w:hAnsi="Verdana"/>
                <w:strike/>
                <w:sz w:val="22"/>
                <w:szCs w:val="22"/>
                <w:lang w:val="es-CR"/>
              </w:rPr>
              <w:t xml:space="preserve"> </w:t>
            </w:r>
          </w:p>
        </w:tc>
        <w:tc>
          <w:tcPr>
            <w:tcW w:w="680" w:type="dxa"/>
            <w:vAlign w:val="bottom"/>
          </w:tcPr>
          <w:p w14:paraId="3CA7EC5B" w14:textId="493B413F" w:rsidR="00E042B6" w:rsidRPr="00205C60" w:rsidRDefault="00E042B6" w:rsidP="00B1483C">
            <w:pPr>
              <w:jc w:val="center"/>
              <w:rPr>
                <w:rFonts w:ascii="Verdana" w:eastAsia="Calibri" w:hAnsi="Verdana"/>
                <w:sz w:val="22"/>
                <w:szCs w:val="22"/>
                <w:lang w:val="es-CR"/>
              </w:rPr>
            </w:pPr>
            <w:r w:rsidRPr="00205C60">
              <w:rPr>
                <w:rFonts w:ascii="Verdana" w:eastAsia="Calibri" w:hAnsi="Verdana"/>
                <w:sz w:val="22"/>
                <w:szCs w:val="22"/>
                <w:lang w:val="es-CR"/>
              </w:rPr>
              <w:t>1</w:t>
            </w:r>
            <w:r w:rsidR="002C23B0" w:rsidRPr="00205C60">
              <w:rPr>
                <w:rFonts w:ascii="Verdana" w:eastAsia="Calibri" w:hAnsi="Verdana"/>
                <w:sz w:val="22"/>
                <w:szCs w:val="22"/>
                <w:lang w:val="es-CR"/>
              </w:rPr>
              <w:t>2</w:t>
            </w:r>
          </w:p>
        </w:tc>
        <w:tc>
          <w:tcPr>
            <w:tcW w:w="316" w:type="dxa"/>
            <w:vAlign w:val="bottom"/>
          </w:tcPr>
          <w:p w14:paraId="3CA7EC5C" w14:textId="77777777" w:rsidR="00E042B6" w:rsidRPr="00205C60" w:rsidRDefault="00E042B6" w:rsidP="00B1483C">
            <w:pPr>
              <w:jc w:val="center"/>
              <w:rPr>
                <w:rFonts w:ascii="Verdana" w:eastAsia="Calibri" w:hAnsi="Verdana"/>
                <w:sz w:val="22"/>
                <w:szCs w:val="22"/>
                <w:lang w:val="es-CR"/>
              </w:rPr>
            </w:pPr>
            <w:r w:rsidRPr="00205C60">
              <w:rPr>
                <w:rFonts w:ascii="Verdana" w:hAnsi="Verdana"/>
                <w:sz w:val="22"/>
                <w:szCs w:val="22"/>
                <w:lang w:val="es-CR"/>
              </w:rPr>
              <w:t>¢</w:t>
            </w:r>
          </w:p>
        </w:tc>
        <w:tc>
          <w:tcPr>
            <w:tcW w:w="1704" w:type="dxa"/>
            <w:vAlign w:val="bottom"/>
          </w:tcPr>
          <w:p w14:paraId="3CA7EC5D" w14:textId="1FF9205C" w:rsidR="00E042B6" w:rsidRPr="00205C60" w:rsidRDefault="002C23B0" w:rsidP="00B1483C">
            <w:pPr>
              <w:ind w:right="85"/>
              <w:jc w:val="right"/>
              <w:rPr>
                <w:rFonts w:ascii="Verdana" w:eastAsia="Calibri" w:hAnsi="Verdana"/>
                <w:sz w:val="22"/>
                <w:szCs w:val="22"/>
                <w:lang w:val="es-CR"/>
              </w:rPr>
            </w:pPr>
            <w:r w:rsidRPr="00205C60">
              <w:rPr>
                <w:rFonts w:ascii="Verdana" w:eastAsia="Calibri" w:hAnsi="Verdana"/>
                <w:sz w:val="22"/>
                <w:szCs w:val="22"/>
                <w:lang w:val="es-CR"/>
              </w:rPr>
              <w:t>1</w:t>
            </w:r>
            <w:r w:rsidR="00A9736B" w:rsidRPr="00205C60">
              <w:rPr>
                <w:rFonts w:ascii="Verdana" w:eastAsia="Calibri" w:hAnsi="Verdana"/>
                <w:sz w:val="22"/>
                <w:szCs w:val="22"/>
                <w:lang w:val="es-CR"/>
              </w:rPr>
              <w:t>.</w:t>
            </w:r>
            <w:r w:rsidRPr="00205C60">
              <w:rPr>
                <w:rFonts w:ascii="Verdana" w:eastAsia="Calibri" w:hAnsi="Verdana"/>
                <w:sz w:val="22"/>
                <w:szCs w:val="22"/>
                <w:lang w:val="es-CR"/>
              </w:rPr>
              <w:t>001</w:t>
            </w:r>
            <w:r w:rsidR="00A9736B" w:rsidRPr="00205C60">
              <w:rPr>
                <w:rFonts w:ascii="Verdana" w:eastAsia="Calibri" w:hAnsi="Verdana"/>
                <w:sz w:val="22"/>
                <w:szCs w:val="22"/>
                <w:lang w:val="es-CR"/>
              </w:rPr>
              <w:t>.</w:t>
            </w:r>
            <w:r w:rsidRPr="00205C60">
              <w:rPr>
                <w:rFonts w:ascii="Verdana" w:eastAsia="Calibri" w:hAnsi="Verdana"/>
                <w:sz w:val="22"/>
                <w:szCs w:val="22"/>
                <w:lang w:val="es-CR"/>
              </w:rPr>
              <w:t>829</w:t>
            </w:r>
          </w:p>
        </w:tc>
        <w:tc>
          <w:tcPr>
            <w:tcW w:w="222" w:type="dxa"/>
            <w:vAlign w:val="bottom"/>
          </w:tcPr>
          <w:p w14:paraId="3CA7EC5E" w14:textId="77777777" w:rsidR="00E042B6" w:rsidRPr="00205C60" w:rsidRDefault="00E042B6" w:rsidP="00B1483C">
            <w:pPr>
              <w:ind w:right="85"/>
              <w:jc w:val="right"/>
              <w:rPr>
                <w:rFonts w:ascii="Verdana" w:eastAsia="Calibri" w:hAnsi="Verdana"/>
                <w:sz w:val="22"/>
                <w:szCs w:val="22"/>
                <w:lang w:val="es-CR"/>
              </w:rPr>
            </w:pPr>
          </w:p>
        </w:tc>
        <w:tc>
          <w:tcPr>
            <w:tcW w:w="1704" w:type="dxa"/>
            <w:vAlign w:val="bottom"/>
          </w:tcPr>
          <w:p w14:paraId="3CA7EC5F" w14:textId="2C9DD4A5" w:rsidR="00E042B6" w:rsidRPr="00205C60" w:rsidRDefault="000B01C7" w:rsidP="00B1483C">
            <w:pPr>
              <w:ind w:right="85"/>
              <w:jc w:val="right"/>
              <w:rPr>
                <w:rFonts w:ascii="Verdana" w:eastAsia="Calibri" w:hAnsi="Verdana"/>
                <w:sz w:val="22"/>
                <w:szCs w:val="22"/>
                <w:lang w:val="es-CR"/>
              </w:rPr>
            </w:pPr>
            <w:r w:rsidRPr="00205C60">
              <w:rPr>
                <w:rFonts w:ascii="Verdana" w:eastAsia="Calibri" w:hAnsi="Verdana"/>
                <w:sz w:val="22"/>
                <w:szCs w:val="22"/>
                <w:lang w:val="es-CR"/>
              </w:rPr>
              <w:t>608.513</w:t>
            </w:r>
          </w:p>
        </w:tc>
      </w:tr>
      <w:tr w:rsidR="00E042B6" w:rsidRPr="00205C60" w14:paraId="3CA7EC67" w14:textId="77777777" w:rsidTr="007956EB">
        <w:trPr>
          <w:trHeight w:val="20"/>
        </w:trPr>
        <w:tc>
          <w:tcPr>
            <w:tcW w:w="3654" w:type="dxa"/>
            <w:vAlign w:val="center"/>
          </w:tcPr>
          <w:p w14:paraId="3CA7EC61" w14:textId="77777777" w:rsidR="00E042B6" w:rsidRPr="00205C60" w:rsidRDefault="00E042B6" w:rsidP="00B1483C">
            <w:pPr>
              <w:ind w:left="1080" w:hanging="450"/>
              <w:rPr>
                <w:rFonts w:ascii="Verdana" w:eastAsia="Calibri" w:hAnsi="Verdana"/>
                <w:sz w:val="22"/>
                <w:szCs w:val="22"/>
                <w:lang w:val="es-CR"/>
              </w:rPr>
            </w:pPr>
            <w:r w:rsidRPr="00205C60">
              <w:rPr>
                <w:rFonts w:ascii="Verdana" w:eastAsia="Calibri" w:hAnsi="Verdana"/>
                <w:sz w:val="22"/>
                <w:szCs w:val="22"/>
                <w:lang w:val="es-CR"/>
              </w:rPr>
              <w:t xml:space="preserve">Deuda </w:t>
            </w:r>
          </w:p>
        </w:tc>
        <w:tc>
          <w:tcPr>
            <w:tcW w:w="680" w:type="dxa"/>
            <w:vAlign w:val="bottom"/>
          </w:tcPr>
          <w:p w14:paraId="3CA7EC62" w14:textId="77777777" w:rsidR="00E042B6" w:rsidRPr="00205C60" w:rsidRDefault="00E042B6" w:rsidP="00B1483C">
            <w:pPr>
              <w:jc w:val="center"/>
              <w:rPr>
                <w:rFonts w:ascii="Verdana" w:eastAsia="Calibri" w:hAnsi="Verdana"/>
                <w:sz w:val="22"/>
                <w:szCs w:val="22"/>
                <w:lang w:val="es-CR"/>
              </w:rPr>
            </w:pPr>
            <w:r w:rsidRPr="00205C60">
              <w:rPr>
                <w:rFonts w:ascii="Verdana" w:eastAsia="Calibri" w:hAnsi="Verdana"/>
                <w:sz w:val="22"/>
                <w:szCs w:val="22"/>
                <w:lang w:val="es-CR"/>
              </w:rPr>
              <w:t>18</w:t>
            </w:r>
          </w:p>
        </w:tc>
        <w:tc>
          <w:tcPr>
            <w:tcW w:w="316" w:type="dxa"/>
            <w:vAlign w:val="bottom"/>
          </w:tcPr>
          <w:p w14:paraId="3CA7EC63" w14:textId="77777777" w:rsidR="00E042B6" w:rsidRPr="00205C60" w:rsidRDefault="00E042B6" w:rsidP="00B1483C">
            <w:pPr>
              <w:jc w:val="center"/>
              <w:rPr>
                <w:rFonts w:ascii="Verdana" w:eastAsia="Calibri" w:hAnsi="Verdana"/>
                <w:sz w:val="22"/>
                <w:szCs w:val="22"/>
                <w:lang w:val="es-CR"/>
              </w:rPr>
            </w:pPr>
          </w:p>
        </w:tc>
        <w:tc>
          <w:tcPr>
            <w:tcW w:w="1704" w:type="dxa"/>
            <w:vAlign w:val="bottom"/>
          </w:tcPr>
          <w:p w14:paraId="3CA7EC64" w14:textId="7452C40D" w:rsidR="00E042B6" w:rsidRPr="00205C60" w:rsidRDefault="00E042B6" w:rsidP="00B1483C">
            <w:pPr>
              <w:ind w:right="85"/>
              <w:jc w:val="right"/>
              <w:rPr>
                <w:rFonts w:ascii="Verdana" w:eastAsia="Calibri" w:hAnsi="Verdana"/>
                <w:sz w:val="22"/>
                <w:szCs w:val="22"/>
                <w:lang w:val="es-CR"/>
              </w:rPr>
            </w:pPr>
            <w:r w:rsidRPr="00205C60">
              <w:rPr>
                <w:rFonts w:ascii="Verdana" w:eastAsia="Calibri" w:hAnsi="Verdana"/>
                <w:sz w:val="22"/>
                <w:szCs w:val="22"/>
                <w:lang w:val="es-CR"/>
              </w:rPr>
              <w:t>(</w:t>
            </w:r>
            <w:r w:rsidR="002C23B0" w:rsidRPr="00205C60">
              <w:rPr>
                <w:rFonts w:ascii="Verdana" w:eastAsia="Calibri" w:hAnsi="Verdana"/>
                <w:sz w:val="22"/>
                <w:szCs w:val="22"/>
                <w:lang w:val="es-CR"/>
              </w:rPr>
              <w:t>7</w:t>
            </w:r>
            <w:r w:rsidR="00A9736B" w:rsidRPr="00205C60">
              <w:rPr>
                <w:rFonts w:ascii="Verdana" w:eastAsia="Calibri" w:hAnsi="Verdana"/>
                <w:sz w:val="22"/>
                <w:szCs w:val="22"/>
                <w:lang w:val="es-CR"/>
              </w:rPr>
              <w:t>.</w:t>
            </w:r>
            <w:r w:rsidR="002C23B0" w:rsidRPr="00205C60">
              <w:rPr>
                <w:rFonts w:ascii="Verdana" w:eastAsia="Calibri" w:hAnsi="Verdana"/>
                <w:sz w:val="22"/>
                <w:szCs w:val="22"/>
                <w:lang w:val="es-CR"/>
              </w:rPr>
              <w:t>991</w:t>
            </w:r>
            <w:r w:rsidR="00A9736B" w:rsidRPr="00205C60">
              <w:rPr>
                <w:rFonts w:ascii="Verdana" w:eastAsia="Calibri" w:hAnsi="Verdana"/>
                <w:sz w:val="22"/>
                <w:szCs w:val="22"/>
                <w:lang w:val="es-CR"/>
              </w:rPr>
              <w:t>.</w:t>
            </w:r>
            <w:r w:rsidR="002C23B0" w:rsidRPr="00205C60">
              <w:rPr>
                <w:rFonts w:ascii="Verdana" w:eastAsia="Calibri" w:hAnsi="Verdana"/>
                <w:sz w:val="22"/>
                <w:szCs w:val="22"/>
                <w:lang w:val="es-CR"/>
              </w:rPr>
              <w:t>365</w:t>
            </w:r>
            <w:r w:rsidRPr="00205C60">
              <w:rPr>
                <w:rFonts w:ascii="Verdana" w:eastAsia="Calibri" w:hAnsi="Verdana"/>
                <w:sz w:val="22"/>
                <w:szCs w:val="22"/>
                <w:lang w:val="es-CR"/>
              </w:rPr>
              <w:t>)</w:t>
            </w:r>
          </w:p>
        </w:tc>
        <w:tc>
          <w:tcPr>
            <w:tcW w:w="222" w:type="dxa"/>
            <w:vAlign w:val="bottom"/>
          </w:tcPr>
          <w:p w14:paraId="3CA7EC65" w14:textId="77777777" w:rsidR="00E042B6" w:rsidRPr="00205C60" w:rsidRDefault="00E042B6" w:rsidP="00B1483C">
            <w:pPr>
              <w:ind w:right="85"/>
              <w:jc w:val="right"/>
              <w:rPr>
                <w:rFonts w:ascii="Verdana" w:eastAsia="Calibri" w:hAnsi="Verdana"/>
                <w:sz w:val="22"/>
                <w:szCs w:val="22"/>
                <w:lang w:val="es-CR"/>
              </w:rPr>
            </w:pPr>
          </w:p>
        </w:tc>
        <w:tc>
          <w:tcPr>
            <w:tcW w:w="1704" w:type="dxa"/>
            <w:vAlign w:val="bottom"/>
          </w:tcPr>
          <w:p w14:paraId="3CA7EC66" w14:textId="11F79DAF" w:rsidR="00E042B6" w:rsidRPr="00205C60" w:rsidRDefault="00E042B6" w:rsidP="00B1483C">
            <w:pPr>
              <w:ind w:right="85"/>
              <w:jc w:val="right"/>
              <w:rPr>
                <w:rFonts w:ascii="Verdana" w:eastAsia="Calibri" w:hAnsi="Verdana"/>
                <w:sz w:val="22"/>
                <w:szCs w:val="22"/>
                <w:lang w:val="es-CR"/>
              </w:rPr>
            </w:pPr>
            <w:r w:rsidRPr="00205C60">
              <w:rPr>
                <w:rFonts w:ascii="Verdana" w:eastAsia="Calibri" w:hAnsi="Verdana"/>
                <w:sz w:val="22"/>
                <w:szCs w:val="22"/>
                <w:lang w:val="es-CR"/>
              </w:rPr>
              <w:t>(</w:t>
            </w:r>
            <w:r w:rsidR="000B01C7" w:rsidRPr="00205C60">
              <w:rPr>
                <w:rFonts w:ascii="Verdana" w:eastAsia="Calibri" w:hAnsi="Verdana"/>
                <w:sz w:val="22"/>
                <w:szCs w:val="22"/>
                <w:lang w:val="es-CR"/>
              </w:rPr>
              <w:t>20</w:t>
            </w:r>
            <w:r w:rsidR="00150A60" w:rsidRPr="00205C60">
              <w:rPr>
                <w:rFonts w:ascii="Verdana" w:eastAsia="Calibri" w:hAnsi="Verdana"/>
                <w:sz w:val="22"/>
                <w:szCs w:val="22"/>
                <w:lang w:val="es-CR"/>
              </w:rPr>
              <w:t>.</w:t>
            </w:r>
            <w:r w:rsidR="000B01C7" w:rsidRPr="00205C60">
              <w:rPr>
                <w:rFonts w:ascii="Verdana" w:eastAsia="Calibri" w:hAnsi="Verdana"/>
                <w:sz w:val="22"/>
                <w:szCs w:val="22"/>
                <w:lang w:val="es-CR"/>
              </w:rPr>
              <w:t>747</w:t>
            </w:r>
            <w:r w:rsidR="00150A60" w:rsidRPr="00205C60">
              <w:rPr>
                <w:rFonts w:ascii="Verdana" w:eastAsia="Calibri" w:hAnsi="Verdana"/>
                <w:sz w:val="22"/>
                <w:szCs w:val="22"/>
                <w:lang w:val="es-CR"/>
              </w:rPr>
              <w:t>.</w:t>
            </w:r>
            <w:r w:rsidR="000B01C7" w:rsidRPr="00205C60">
              <w:rPr>
                <w:rFonts w:ascii="Verdana" w:eastAsia="Calibri" w:hAnsi="Verdana"/>
                <w:sz w:val="22"/>
                <w:szCs w:val="22"/>
                <w:lang w:val="es-CR"/>
              </w:rPr>
              <w:t>074</w:t>
            </w:r>
            <w:r w:rsidRPr="00205C60">
              <w:rPr>
                <w:rFonts w:ascii="Verdana" w:eastAsia="Calibri" w:hAnsi="Verdana"/>
                <w:sz w:val="22"/>
                <w:szCs w:val="22"/>
                <w:lang w:val="es-CR"/>
              </w:rPr>
              <w:t>)</w:t>
            </w:r>
          </w:p>
        </w:tc>
      </w:tr>
      <w:tr w:rsidR="00E042B6" w:rsidRPr="00205C60" w14:paraId="3CA7EC6E" w14:textId="77777777" w:rsidTr="007956EB">
        <w:trPr>
          <w:trHeight w:val="20"/>
        </w:trPr>
        <w:tc>
          <w:tcPr>
            <w:tcW w:w="3654" w:type="dxa"/>
            <w:vAlign w:val="center"/>
          </w:tcPr>
          <w:p w14:paraId="3CA7EC68" w14:textId="77777777" w:rsidR="00E042B6" w:rsidRPr="00205C60" w:rsidRDefault="00E042B6" w:rsidP="00B1483C">
            <w:pPr>
              <w:ind w:left="1080" w:hanging="720"/>
              <w:rPr>
                <w:rFonts w:ascii="Verdana" w:eastAsia="Calibri" w:hAnsi="Verdana"/>
                <w:sz w:val="22"/>
                <w:szCs w:val="22"/>
                <w:u w:val="single"/>
                <w:lang w:val="es-CR"/>
              </w:rPr>
            </w:pPr>
          </w:p>
        </w:tc>
        <w:tc>
          <w:tcPr>
            <w:tcW w:w="680" w:type="dxa"/>
            <w:vAlign w:val="bottom"/>
          </w:tcPr>
          <w:p w14:paraId="3CA7EC69" w14:textId="77777777" w:rsidR="00E042B6" w:rsidRPr="00205C60" w:rsidRDefault="00E042B6" w:rsidP="00B1483C">
            <w:pPr>
              <w:jc w:val="center"/>
              <w:rPr>
                <w:rFonts w:ascii="Verdana" w:eastAsia="Calibri" w:hAnsi="Verdana"/>
                <w:sz w:val="22"/>
                <w:szCs w:val="22"/>
                <w:lang w:val="es-CR"/>
              </w:rPr>
            </w:pPr>
          </w:p>
        </w:tc>
        <w:tc>
          <w:tcPr>
            <w:tcW w:w="316" w:type="dxa"/>
            <w:vAlign w:val="bottom"/>
          </w:tcPr>
          <w:p w14:paraId="3CA7EC6A" w14:textId="77777777" w:rsidR="00E042B6" w:rsidRPr="00205C60" w:rsidRDefault="00E042B6" w:rsidP="00B1483C">
            <w:pPr>
              <w:jc w:val="center"/>
              <w:rPr>
                <w:rFonts w:ascii="Verdana" w:eastAsia="Calibri" w:hAnsi="Verdana"/>
                <w:sz w:val="22"/>
                <w:szCs w:val="22"/>
                <w:lang w:val="es-CR"/>
              </w:rPr>
            </w:pPr>
          </w:p>
        </w:tc>
        <w:tc>
          <w:tcPr>
            <w:tcW w:w="1704" w:type="dxa"/>
            <w:tcBorders>
              <w:top w:val="single" w:sz="4" w:space="0" w:color="auto"/>
              <w:bottom w:val="double" w:sz="4" w:space="0" w:color="auto"/>
            </w:tcBorders>
            <w:vAlign w:val="bottom"/>
          </w:tcPr>
          <w:p w14:paraId="3CA7EC6B" w14:textId="5318E1C2" w:rsidR="00E042B6" w:rsidRPr="00205C60" w:rsidRDefault="00E042B6" w:rsidP="00B1483C">
            <w:pPr>
              <w:ind w:right="85"/>
              <w:jc w:val="right"/>
              <w:rPr>
                <w:rFonts w:ascii="Verdana" w:eastAsia="Calibri" w:hAnsi="Verdana"/>
                <w:sz w:val="22"/>
                <w:szCs w:val="22"/>
                <w:lang w:val="es-CR"/>
              </w:rPr>
            </w:pPr>
            <w:r w:rsidRPr="00205C60">
              <w:rPr>
                <w:rFonts w:ascii="Verdana" w:eastAsia="Calibri" w:hAnsi="Verdana"/>
                <w:sz w:val="22"/>
                <w:szCs w:val="22"/>
                <w:lang w:val="es-CR"/>
              </w:rPr>
              <w:t>(</w:t>
            </w:r>
            <w:r w:rsidR="002C23B0" w:rsidRPr="00205C60">
              <w:rPr>
                <w:rFonts w:ascii="Verdana" w:eastAsia="Calibri" w:hAnsi="Verdana"/>
                <w:sz w:val="22"/>
                <w:szCs w:val="22"/>
                <w:lang w:val="es-CR"/>
              </w:rPr>
              <w:t>6</w:t>
            </w:r>
            <w:r w:rsidR="00A9736B" w:rsidRPr="00205C60">
              <w:rPr>
                <w:rFonts w:ascii="Verdana" w:eastAsia="Calibri" w:hAnsi="Verdana"/>
                <w:sz w:val="22"/>
                <w:szCs w:val="22"/>
                <w:lang w:val="es-CR"/>
              </w:rPr>
              <w:t>.</w:t>
            </w:r>
            <w:r w:rsidR="002C23B0" w:rsidRPr="00205C60">
              <w:rPr>
                <w:rFonts w:ascii="Verdana" w:eastAsia="Calibri" w:hAnsi="Verdana"/>
                <w:sz w:val="22"/>
                <w:szCs w:val="22"/>
                <w:lang w:val="es-CR"/>
              </w:rPr>
              <w:t>9</w:t>
            </w:r>
            <w:r w:rsidR="00A9736B" w:rsidRPr="00205C60">
              <w:rPr>
                <w:rFonts w:ascii="Verdana" w:eastAsia="Calibri" w:hAnsi="Verdana"/>
                <w:sz w:val="22"/>
                <w:szCs w:val="22"/>
                <w:lang w:val="es-CR"/>
              </w:rPr>
              <w:t>8</w:t>
            </w:r>
            <w:r w:rsidR="002C23B0" w:rsidRPr="00205C60">
              <w:rPr>
                <w:rFonts w:ascii="Verdana" w:eastAsia="Calibri" w:hAnsi="Verdana"/>
                <w:sz w:val="22"/>
                <w:szCs w:val="22"/>
                <w:lang w:val="es-CR"/>
              </w:rPr>
              <w:t>9</w:t>
            </w:r>
            <w:r w:rsidR="00A9736B" w:rsidRPr="00205C60">
              <w:rPr>
                <w:rFonts w:ascii="Verdana" w:eastAsia="Calibri" w:hAnsi="Verdana"/>
                <w:sz w:val="22"/>
                <w:szCs w:val="22"/>
                <w:lang w:val="es-CR"/>
              </w:rPr>
              <w:t>.</w:t>
            </w:r>
            <w:r w:rsidR="002C23B0" w:rsidRPr="00205C60">
              <w:rPr>
                <w:rFonts w:ascii="Verdana" w:eastAsia="Calibri" w:hAnsi="Verdana"/>
                <w:sz w:val="22"/>
                <w:szCs w:val="22"/>
                <w:lang w:val="es-CR"/>
              </w:rPr>
              <w:t>536</w:t>
            </w:r>
            <w:r w:rsidRPr="00205C60">
              <w:rPr>
                <w:rFonts w:ascii="Verdana" w:eastAsia="Calibri" w:hAnsi="Verdana"/>
                <w:sz w:val="22"/>
                <w:szCs w:val="22"/>
                <w:lang w:val="es-CR"/>
              </w:rPr>
              <w:t>)</w:t>
            </w:r>
          </w:p>
        </w:tc>
        <w:tc>
          <w:tcPr>
            <w:tcW w:w="222" w:type="dxa"/>
            <w:vAlign w:val="bottom"/>
          </w:tcPr>
          <w:p w14:paraId="3CA7EC6C" w14:textId="77777777" w:rsidR="00E042B6" w:rsidRPr="00205C60" w:rsidRDefault="00E042B6" w:rsidP="00B1483C">
            <w:pPr>
              <w:ind w:right="85"/>
              <w:jc w:val="right"/>
              <w:rPr>
                <w:rFonts w:ascii="Verdana" w:eastAsia="Calibri" w:hAnsi="Verdana"/>
                <w:sz w:val="22"/>
                <w:szCs w:val="22"/>
                <w:lang w:val="es-CR"/>
              </w:rPr>
            </w:pPr>
          </w:p>
        </w:tc>
        <w:tc>
          <w:tcPr>
            <w:tcW w:w="1704" w:type="dxa"/>
            <w:tcBorders>
              <w:top w:val="single" w:sz="4" w:space="0" w:color="auto"/>
              <w:bottom w:val="double" w:sz="4" w:space="0" w:color="auto"/>
            </w:tcBorders>
            <w:vAlign w:val="bottom"/>
          </w:tcPr>
          <w:p w14:paraId="3CA7EC6D" w14:textId="617CFF80" w:rsidR="00E042B6" w:rsidRPr="00205C60" w:rsidRDefault="00E042B6" w:rsidP="00B1483C">
            <w:pPr>
              <w:ind w:right="85"/>
              <w:jc w:val="right"/>
              <w:rPr>
                <w:rFonts w:ascii="Verdana" w:eastAsia="Calibri" w:hAnsi="Verdana"/>
                <w:sz w:val="22"/>
                <w:szCs w:val="22"/>
                <w:lang w:val="es-CR"/>
              </w:rPr>
            </w:pPr>
            <w:r w:rsidRPr="00205C60">
              <w:rPr>
                <w:rFonts w:ascii="Verdana" w:eastAsia="Calibri" w:hAnsi="Verdana"/>
                <w:sz w:val="22"/>
                <w:szCs w:val="22"/>
                <w:lang w:val="es-CR"/>
              </w:rPr>
              <w:t>(</w:t>
            </w:r>
            <w:r w:rsidR="000B01C7" w:rsidRPr="00205C60">
              <w:rPr>
                <w:rFonts w:ascii="Verdana" w:eastAsia="Calibri" w:hAnsi="Verdana"/>
                <w:sz w:val="22"/>
                <w:szCs w:val="22"/>
                <w:lang w:val="es-CR"/>
              </w:rPr>
              <w:t>20</w:t>
            </w:r>
            <w:r w:rsidR="00150A60" w:rsidRPr="00205C60">
              <w:rPr>
                <w:rFonts w:ascii="Verdana" w:eastAsia="Calibri" w:hAnsi="Verdana"/>
                <w:sz w:val="22"/>
                <w:szCs w:val="22"/>
                <w:lang w:val="es-CR"/>
              </w:rPr>
              <w:t>.</w:t>
            </w:r>
            <w:r w:rsidR="000B01C7" w:rsidRPr="00205C60">
              <w:rPr>
                <w:rFonts w:ascii="Verdana" w:eastAsia="Calibri" w:hAnsi="Verdana"/>
                <w:sz w:val="22"/>
                <w:szCs w:val="22"/>
                <w:lang w:val="es-CR"/>
              </w:rPr>
              <w:t>138</w:t>
            </w:r>
            <w:r w:rsidR="00150A60" w:rsidRPr="00205C60">
              <w:rPr>
                <w:rFonts w:ascii="Verdana" w:eastAsia="Calibri" w:hAnsi="Verdana"/>
                <w:sz w:val="22"/>
                <w:szCs w:val="22"/>
                <w:lang w:val="es-CR"/>
              </w:rPr>
              <w:t>.</w:t>
            </w:r>
            <w:r w:rsidR="000B01C7" w:rsidRPr="00205C60">
              <w:rPr>
                <w:rFonts w:ascii="Verdana" w:eastAsia="Calibri" w:hAnsi="Verdana"/>
                <w:sz w:val="22"/>
                <w:szCs w:val="22"/>
                <w:lang w:val="es-CR"/>
              </w:rPr>
              <w:t>561</w:t>
            </w:r>
            <w:r w:rsidRPr="00205C60">
              <w:rPr>
                <w:rFonts w:ascii="Verdana" w:eastAsia="Calibri" w:hAnsi="Verdana"/>
                <w:sz w:val="22"/>
                <w:szCs w:val="22"/>
                <w:lang w:val="es-CR"/>
              </w:rPr>
              <w:t>)</w:t>
            </w:r>
          </w:p>
        </w:tc>
      </w:tr>
      <w:tr w:rsidR="00E042B6" w:rsidRPr="00205C60" w14:paraId="3CA7EC75" w14:textId="77777777" w:rsidTr="007956EB">
        <w:trPr>
          <w:trHeight w:val="20"/>
        </w:trPr>
        <w:tc>
          <w:tcPr>
            <w:tcW w:w="3654" w:type="dxa"/>
            <w:vAlign w:val="center"/>
          </w:tcPr>
          <w:p w14:paraId="3CA7EC6F" w14:textId="77777777" w:rsidR="00E042B6" w:rsidRPr="00205C60" w:rsidRDefault="00E042B6" w:rsidP="00B1483C">
            <w:pPr>
              <w:ind w:left="1080" w:hanging="720"/>
              <w:rPr>
                <w:rFonts w:ascii="Verdana" w:hAnsi="Verdana"/>
                <w:sz w:val="22"/>
                <w:szCs w:val="22"/>
                <w:lang w:val="es-CR"/>
              </w:rPr>
            </w:pPr>
            <w:r w:rsidRPr="00205C60">
              <w:rPr>
                <w:rFonts w:ascii="Verdana" w:eastAsia="Calibri" w:hAnsi="Verdana"/>
                <w:sz w:val="22"/>
                <w:szCs w:val="22"/>
                <w:u w:val="single"/>
                <w:lang w:val="es-CR"/>
              </w:rPr>
              <w:t>Instrumentos de tasa variable:</w:t>
            </w:r>
          </w:p>
        </w:tc>
        <w:tc>
          <w:tcPr>
            <w:tcW w:w="680" w:type="dxa"/>
            <w:vAlign w:val="bottom"/>
          </w:tcPr>
          <w:p w14:paraId="3CA7EC70" w14:textId="77777777" w:rsidR="00E042B6" w:rsidRPr="00205C60" w:rsidRDefault="00E042B6" w:rsidP="00B1483C">
            <w:pPr>
              <w:jc w:val="center"/>
              <w:rPr>
                <w:rFonts w:ascii="Verdana" w:eastAsia="Calibri" w:hAnsi="Verdana"/>
                <w:sz w:val="22"/>
                <w:szCs w:val="22"/>
                <w:lang w:val="es-CR"/>
              </w:rPr>
            </w:pPr>
          </w:p>
        </w:tc>
        <w:tc>
          <w:tcPr>
            <w:tcW w:w="316" w:type="dxa"/>
            <w:vAlign w:val="bottom"/>
          </w:tcPr>
          <w:p w14:paraId="3CA7EC71" w14:textId="77777777" w:rsidR="00E042B6" w:rsidRPr="00205C60" w:rsidRDefault="00E042B6" w:rsidP="00B1483C">
            <w:pPr>
              <w:jc w:val="center"/>
              <w:rPr>
                <w:rFonts w:ascii="Verdana" w:eastAsia="Calibri" w:hAnsi="Verdana"/>
                <w:sz w:val="22"/>
                <w:szCs w:val="22"/>
                <w:lang w:val="es-CR"/>
              </w:rPr>
            </w:pPr>
          </w:p>
        </w:tc>
        <w:tc>
          <w:tcPr>
            <w:tcW w:w="1704" w:type="dxa"/>
            <w:tcBorders>
              <w:top w:val="double" w:sz="4" w:space="0" w:color="auto"/>
            </w:tcBorders>
            <w:vAlign w:val="bottom"/>
          </w:tcPr>
          <w:p w14:paraId="3CA7EC72" w14:textId="77777777" w:rsidR="00E042B6" w:rsidRPr="00205C60" w:rsidRDefault="00E042B6" w:rsidP="00B1483C">
            <w:pPr>
              <w:ind w:right="85"/>
              <w:jc w:val="right"/>
              <w:rPr>
                <w:rFonts w:ascii="Verdana" w:eastAsia="Calibri" w:hAnsi="Verdana"/>
                <w:sz w:val="22"/>
                <w:szCs w:val="22"/>
                <w:lang w:val="es-CR"/>
              </w:rPr>
            </w:pPr>
          </w:p>
        </w:tc>
        <w:tc>
          <w:tcPr>
            <w:tcW w:w="222" w:type="dxa"/>
            <w:vAlign w:val="bottom"/>
          </w:tcPr>
          <w:p w14:paraId="3CA7EC73" w14:textId="77777777" w:rsidR="00E042B6" w:rsidRPr="00205C60" w:rsidRDefault="00E042B6" w:rsidP="00B1483C">
            <w:pPr>
              <w:ind w:right="85"/>
              <w:jc w:val="right"/>
              <w:rPr>
                <w:rFonts w:ascii="Verdana" w:eastAsia="Calibri" w:hAnsi="Verdana"/>
                <w:sz w:val="22"/>
                <w:szCs w:val="22"/>
                <w:lang w:val="es-CR"/>
              </w:rPr>
            </w:pPr>
          </w:p>
        </w:tc>
        <w:tc>
          <w:tcPr>
            <w:tcW w:w="1704" w:type="dxa"/>
            <w:tcBorders>
              <w:top w:val="double" w:sz="4" w:space="0" w:color="auto"/>
            </w:tcBorders>
            <w:vAlign w:val="bottom"/>
          </w:tcPr>
          <w:p w14:paraId="3CA7EC74" w14:textId="77777777" w:rsidR="00E042B6" w:rsidRPr="00205C60" w:rsidRDefault="00E042B6" w:rsidP="00B1483C">
            <w:pPr>
              <w:ind w:right="85"/>
              <w:jc w:val="right"/>
              <w:rPr>
                <w:rFonts w:ascii="Verdana" w:eastAsia="Calibri" w:hAnsi="Verdana"/>
                <w:sz w:val="22"/>
                <w:szCs w:val="22"/>
                <w:lang w:val="es-CR"/>
              </w:rPr>
            </w:pPr>
          </w:p>
        </w:tc>
      </w:tr>
      <w:tr w:rsidR="000B01C7" w:rsidRPr="00205C60" w14:paraId="4E2F5558" w14:textId="77777777" w:rsidTr="007956EB">
        <w:trPr>
          <w:trHeight w:val="20"/>
        </w:trPr>
        <w:tc>
          <w:tcPr>
            <w:tcW w:w="3654" w:type="dxa"/>
            <w:vAlign w:val="center"/>
          </w:tcPr>
          <w:p w14:paraId="504B2520" w14:textId="5362AD92" w:rsidR="000B01C7" w:rsidRPr="00205C60" w:rsidRDefault="000B01C7" w:rsidP="000B01C7">
            <w:pPr>
              <w:ind w:left="1080" w:hanging="720"/>
              <w:rPr>
                <w:rFonts w:ascii="Verdana" w:eastAsia="Calibri" w:hAnsi="Verdana"/>
                <w:sz w:val="22"/>
                <w:szCs w:val="22"/>
                <w:u w:val="single"/>
                <w:lang w:val="es-CR"/>
              </w:rPr>
            </w:pPr>
            <w:r w:rsidRPr="00205C60">
              <w:rPr>
                <w:rFonts w:ascii="Verdana" w:hAnsi="Verdana"/>
                <w:sz w:val="22"/>
                <w:szCs w:val="22"/>
                <w:lang w:val="es-CR"/>
              </w:rPr>
              <w:t xml:space="preserve">   Efectivo</w:t>
            </w:r>
            <w:r w:rsidRPr="00205C60">
              <w:rPr>
                <w:rFonts w:ascii="Verdana" w:hAnsi="Verdana"/>
                <w:strike/>
                <w:sz w:val="22"/>
                <w:szCs w:val="22"/>
                <w:lang w:val="es-CR"/>
              </w:rPr>
              <w:t xml:space="preserve"> </w:t>
            </w:r>
          </w:p>
        </w:tc>
        <w:tc>
          <w:tcPr>
            <w:tcW w:w="680" w:type="dxa"/>
            <w:vAlign w:val="bottom"/>
          </w:tcPr>
          <w:p w14:paraId="6DDC1749" w14:textId="6643515C" w:rsidR="000B01C7" w:rsidRPr="00205C60" w:rsidRDefault="000B01C7" w:rsidP="000B01C7">
            <w:pPr>
              <w:jc w:val="center"/>
              <w:rPr>
                <w:rFonts w:ascii="Verdana" w:eastAsia="Calibri" w:hAnsi="Verdana"/>
                <w:sz w:val="22"/>
                <w:szCs w:val="22"/>
                <w:lang w:val="es-CR"/>
              </w:rPr>
            </w:pPr>
            <w:r w:rsidRPr="00205C60">
              <w:rPr>
                <w:rFonts w:ascii="Verdana" w:eastAsia="Calibri" w:hAnsi="Verdana"/>
                <w:sz w:val="22"/>
                <w:szCs w:val="22"/>
                <w:lang w:val="es-CR"/>
              </w:rPr>
              <w:t>12</w:t>
            </w:r>
          </w:p>
        </w:tc>
        <w:tc>
          <w:tcPr>
            <w:tcW w:w="316" w:type="dxa"/>
            <w:vAlign w:val="bottom"/>
          </w:tcPr>
          <w:p w14:paraId="2F76437B" w14:textId="3F952B3C" w:rsidR="000B01C7" w:rsidRPr="00205C60" w:rsidRDefault="000B01C7" w:rsidP="000B01C7">
            <w:pPr>
              <w:jc w:val="center"/>
              <w:rPr>
                <w:rFonts w:ascii="Verdana" w:eastAsia="Calibri" w:hAnsi="Verdana"/>
                <w:sz w:val="22"/>
                <w:szCs w:val="22"/>
                <w:lang w:val="es-CR"/>
              </w:rPr>
            </w:pPr>
            <w:r w:rsidRPr="00205C60">
              <w:rPr>
                <w:rFonts w:ascii="Verdana" w:hAnsi="Verdana"/>
                <w:sz w:val="22"/>
                <w:szCs w:val="22"/>
                <w:lang w:val="es-CR"/>
              </w:rPr>
              <w:t>¢</w:t>
            </w:r>
          </w:p>
        </w:tc>
        <w:tc>
          <w:tcPr>
            <w:tcW w:w="1704" w:type="dxa"/>
            <w:tcBorders>
              <w:top w:val="double" w:sz="4" w:space="0" w:color="auto"/>
            </w:tcBorders>
            <w:vAlign w:val="bottom"/>
          </w:tcPr>
          <w:p w14:paraId="6707982D" w14:textId="68828BE7" w:rsidR="000B01C7" w:rsidRPr="00205C60" w:rsidRDefault="00365AC3" w:rsidP="000B01C7">
            <w:pPr>
              <w:ind w:right="85"/>
              <w:jc w:val="right"/>
              <w:rPr>
                <w:rFonts w:ascii="Verdana" w:eastAsia="Calibri" w:hAnsi="Verdana"/>
                <w:sz w:val="22"/>
                <w:szCs w:val="22"/>
                <w:lang w:val="es-CR"/>
              </w:rPr>
            </w:pPr>
            <w:r w:rsidRPr="00205C60">
              <w:rPr>
                <w:rFonts w:ascii="Verdana" w:eastAsia="Calibri" w:hAnsi="Verdana"/>
                <w:sz w:val="22"/>
                <w:szCs w:val="22"/>
                <w:lang w:val="es-CR"/>
              </w:rPr>
              <w:t>23</w:t>
            </w:r>
            <w:r w:rsidR="000B01C7" w:rsidRPr="00205C60">
              <w:rPr>
                <w:rFonts w:ascii="Verdana" w:eastAsia="Calibri" w:hAnsi="Verdana"/>
                <w:sz w:val="22"/>
                <w:szCs w:val="22"/>
                <w:lang w:val="es-CR"/>
              </w:rPr>
              <w:t>.</w:t>
            </w:r>
            <w:r w:rsidRPr="00205C60">
              <w:rPr>
                <w:rFonts w:ascii="Verdana" w:eastAsia="Calibri" w:hAnsi="Verdana"/>
                <w:sz w:val="22"/>
                <w:szCs w:val="22"/>
                <w:lang w:val="es-CR"/>
              </w:rPr>
              <w:t>103</w:t>
            </w:r>
            <w:r w:rsidR="000B01C7" w:rsidRPr="00205C60">
              <w:rPr>
                <w:rFonts w:ascii="Verdana" w:eastAsia="Calibri" w:hAnsi="Verdana"/>
                <w:sz w:val="22"/>
                <w:szCs w:val="22"/>
                <w:lang w:val="es-CR"/>
              </w:rPr>
              <w:t>.</w:t>
            </w:r>
            <w:r w:rsidRPr="00205C60">
              <w:rPr>
                <w:rFonts w:ascii="Verdana" w:eastAsia="Calibri" w:hAnsi="Verdana"/>
                <w:sz w:val="22"/>
                <w:szCs w:val="22"/>
                <w:lang w:val="es-CR"/>
              </w:rPr>
              <w:t>748</w:t>
            </w:r>
          </w:p>
        </w:tc>
        <w:tc>
          <w:tcPr>
            <w:tcW w:w="222" w:type="dxa"/>
            <w:vAlign w:val="bottom"/>
          </w:tcPr>
          <w:p w14:paraId="2965F607" w14:textId="77777777" w:rsidR="000B01C7" w:rsidRPr="00205C60" w:rsidRDefault="000B01C7" w:rsidP="000B01C7">
            <w:pPr>
              <w:ind w:right="85"/>
              <w:jc w:val="right"/>
              <w:rPr>
                <w:rFonts w:ascii="Verdana" w:eastAsia="Calibri" w:hAnsi="Verdana"/>
                <w:sz w:val="22"/>
                <w:szCs w:val="22"/>
                <w:lang w:val="es-CR"/>
              </w:rPr>
            </w:pPr>
          </w:p>
        </w:tc>
        <w:tc>
          <w:tcPr>
            <w:tcW w:w="1704" w:type="dxa"/>
            <w:tcBorders>
              <w:top w:val="double" w:sz="4" w:space="0" w:color="auto"/>
            </w:tcBorders>
            <w:vAlign w:val="bottom"/>
          </w:tcPr>
          <w:p w14:paraId="479C31CD" w14:textId="042CD0FC" w:rsidR="000B01C7" w:rsidRPr="00205C60" w:rsidRDefault="009F4939" w:rsidP="000B01C7">
            <w:pPr>
              <w:ind w:right="85"/>
              <w:jc w:val="right"/>
              <w:rPr>
                <w:rFonts w:ascii="Verdana" w:eastAsia="Calibri" w:hAnsi="Verdana"/>
                <w:sz w:val="22"/>
                <w:szCs w:val="22"/>
                <w:lang w:val="es-CR"/>
              </w:rPr>
            </w:pPr>
            <w:r w:rsidRPr="00205C60">
              <w:rPr>
                <w:rFonts w:ascii="Verdana" w:eastAsia="Calibri" w:hAnsi="Verdana"/>
                <w:sz w:val="22"/>
                <w:szCs w:val="22"/>
                <w:lang w:val="es-CR"/>
              </w:rPr>
              <w:t>8</w:t>
            </w:r>
            <w:r w:rsidR="000B01C7" w:rsidRPr="00205C60">
              <w:rPr>
                <w:rFonts w:ascii="Verdana" w:eastAsia="Calibri" w:hAnsi="Verdana"/>
                <w:sz w:val="22"/>
                <w:szCs w:val="22"/>
                <w:lang w:val="es-CR"/>
              </w:rPr>
              <w:t>.</w:t>
            </w:r>
            <w:r w:rsidRPr="00205C60">
              <w:rPr>
                <w:rFonts w:ascii="Verdana" w:eastAsia="Calibri" w:hAnsi="Verdana"/>
                <w:sz w:val="22"/>
                <w:szCs w:val="22"/>
                <w:lang w:val="es-CR"/>
              </w:rPr>
              <w:t>557</w:t>
            </w:r>
            <w:r w:rsidR="000B01C7" w:rsidRPr="00205C60">
              <w:rPr>
                <w:rFonts w:ascii="Verdana" w:eastAsia="Calibri" w:hAnsi="Verdana"/>
                <w:sz w:val="22"/>
                <w:szCs w:val="22"/>
                <w:lang w:val="es-CR"/>
              </w:rPr>
              <w:t>.</w:t>
            </w:r>
            <w:r w:rsidRPr="00205C60">
              <w:rPr>
                <w:rFonts w:ascii="Verdana" w:eastAsia="Calibri" w:hAnsi="Verdana"/>
                <w:sz w:val="22"/>
                <w:szCs w:val="22"/>
                <w:lang w:val="es-CR"/>
              </w:rPr>
              <w:t>910</w:t>
            </w:r>
          </w:p>
        </w:tc>
      </w:tr>
      <w:tr w:rsidR="00E042B6" w:rsidRPr="00205C60" w14:paraId="3CA7EC7C" w14:textId="77777777" w:rsidTr="009F4939">
        <w:trPr>
          <w:trHeight w:val="20"/>
        </w:trPr>
        <w:tc>
          <w:tcPr>
            <w:tcW w:w="3654" w:type="dxa"/>
            <w:vAlign w:val="center"/>
          </w:tcPr>
          <w:p w14:paraId="3CA7EC76" w14:textId="77777777" w:rsidR="00E042B6" w:rsidRPr="00205C60" w:rsidRDefault="00E042B6" w:rsidP="00B1483C">
            <w:pPr>
              <w:ind w:left="1080" w:hanging="450"/>
              <w:rPr>
                <w:rFonts w:ascii="Verdana" w:eastAsia="Calibri" w:hAnsi="Verdana"/>
                <w:sz w:val="22"/>
                <w:szCs w:val="22"/>
                <w:lang w:val="es-CR"/>
              </w:rPr>
            </w:pPr>
            <w:r w:rsidRPr="00205C60">
              <w:rPr>
                <w:rFonts w:ascii="Verdana" w:eastAsia="Calibri" w:hAnsi="Verdana"/>
                <w:sz w:val="22"/>
                <w:szCs w:val="22"/>
                <w:lang w:val="es-CR"/>
              </w:rPr>
              <w:t xml:space="preserve">Deuda </w:t>
            </w:r>
          </w:p>
        </w:tc>
        <w:tc>
          <w:tcPr>
            <w:tcW w:w="680" w:type="dxa"/>
            <w:vAlign w:val="bottom"/>
          </w:tcPr>
          <w:p w14:paraId="3CA7EC77" w14:textId="77777777" w:rsidR="00E042B6" w:rsidRPr="00205C60" w:rsidRDefault="00E042B6" w:rsidP="00B1483C">
            <w:pPr>
              <w:jc w:val="center"/>
              <w:rPr>
                <w:rFonts w:ascii="Verdana" w:eastAsia="Calibri" w:hAnsi="Verdana"/>
                <w:sz w:val="22"/>
                <w:szCs w:val="22"/>
                <w:lang w:val="es-CR"/>
              </w:rPr>
            </w:pPr>
            <w:r w:rsidRPr="00205C60">
              <w:rPr>
                <w:rFonts w:ascii="Verdana" w:eastAsia="Calibri" w:hAnsi="Verdana"/>
                <w:sz w:val="22"/>
                <w:szCs w:val="22"/>
                <w:lang w:val="es-CR"/>
              </w:rPr>
              <w:t>18</w:t>
            </w:r>
          </w:p>
        </w:tc>
        <w:tc>
          <w:tcPr>
            <w:tcW w:w="316" w:type="dxa"/>
            <w:vAlign w:val="bottom"/>
          </w:tcPr>
          <w:p w14:paraId="3CA7EC78" w14:textId="77777777" w:rsidR="00E042B6" w:rsidRPr="00205C60" w:rsidRDefault="00E042B6" w:rsidP="00B1483C">
            <w:pPr>
              <w:jc w:val="center"/>
              <w:rPr>
                <w:rFonts w:ascii="Verdana" w:eastAsia="Calibri" w:hAnsi="Verdana"/>
                <w:sz w:val="22"/>
                <w:szCs w:val="22"/>
                <w:lang w:val="es-CR"/>
              </w:rPr>
            </w:pPr>
            <w:r w:rsidRPr="00205C60">
              <w:rPr>
                <w:rFonts w:ascii="Verdana" w:hAnsi="Verdana"/>
                <w:sz w:val="22"/>
                <w:szCs w:val="22"/>
                <w:lang w:val="es-CR"/>
              </w:rPr>
              <w:t>¢</w:t>
            </w:r>
          </w:p>
        </w:tc>
        <w:tc>
          <w:tcPr>
            <w:tcW w:w="1704" w:type="dxa"/>
            <w:vAlign w:val="bottom"/>
          </w:tcPr>
          <w:p w14:paraId="3CA7EC79" w14:textId="3666CF08" w:rsidR="00E042B6" w:rsidRPr="00205C60" w:rsidRDefault="00E042B6" w:rsidP="00B1483C">
            <w:pPr>
              <w:ind w:right="85"/>
              <w:jc w:val="right"/>
              <w:rPr>
                <w:rFonts w:ascii="Verdana" w:eastAsia="Calibri" w:hAnsi="Verdana"/>
                <w:sz w:val="22"/>
                <w:szCs w:val="22"/>
                <w:u w:val="single"/>
                <w:lang w:val="es-CR"/>
              </w:rPr>
            </w:pPr>
            <w:r w:rsidRPr="00205C60">
              <w:rPr>
                <w:rFonts w:ascii="Verdana" w:eastAsia="Calibri" w:hAnsi="Verdana"/>
                <w:sz w:val="22"/>
                <w:szCs w:val="22"/>
                <w:u w:val="single"/>
                <w:lang w:val="es-CR"/>
              </w:rPr>
              <w:t>(</w:t>
            </w:r>
            <w:r w:rsidR="00150A60" w:rsidRPr="00205C60">
              <w:rPr>
                <w:rFonts w:ascii="Verdana" w:eastAsia="Calibri" w:hAnsi="Verdana"/>
                <w:sz w:val="22"/>
                <w:szCs w:val="22"/>
                <w:u w:val="single"/>
                <w:lang w:val="es-CR"/>
              </w:rPr>
              <w:t>1</w:t>
            </w:r>
            <w:r w:rsidR="00365AC3" w:rsidRPr="00205C60">
              <w:rPr>
                <w:rFonts w:ascii="Verdana" w:eastAsia="Calibri" w:hAnsi="Verdana"/>
                <w:sz w:val="22"/>
                <w:szCs w:val="22"/>
                <w:u w:val="single"/>
                <w:lang w:val="es-CR"/>
              </w:rPr>
              <w:t>56</w:t>
            </w:r>
            <w:r w:rsidR="00150A60" w:rsidRPr="00205C60">
              <w:rPr>
                <w:rFonts w:ascii="Verdana" w:eastAsia="Calibri" w:hAnsi="Verdana"/>
                <w:sz w:val="22"/>
                <w:szCs w:val="22"/>
                <w:u w:val="single"/>
                <w:lang w:val="es-CR"/>
              </w:rPr>
              <w:t>.</w:t>
            </w:r>
            <w:r w:rsidR="00365AC3" w:rsidRPr="00205C60">
              <w:rPr>
                <w:rFonts w:ascii="Verdana" w:eastAsia="Calibri" w:hAnsi="Verdana"/>
                <w:sz w:val="22"/>
                <w:szCs w:val="22"/>
                <w:u w:val="single"/>
                <w:lang w:val="es-CR"/>
              </w:rPr>
              <w:t>627</w:t>
            </w:r>
            <w:r w:rsidR="00150A60" w:rsidRPr="00205C60">
              <w:rPr>
                <w:rFonts w:ascii="Verdana" w:eastAsia="Calibri" w:hAnsi="Verdana"/>
                <w:sz w:val="22"/>
                <w:szCs w:val="22"/>
                <w:u w:val="single"/>
                <w:lang w:val="es-CR"/>
              </w:rPr>
              <w:t>.</w:t>
            </w:r>
            <w:r w:rsidR="00365AC3" w:rsidRPr="00205C60">
              <w:rPr>
                <w:rFonts w:ascii="Verdana" w:eastAsia="Calibri" w:hAnsi="Verdana"/>
                <w:sz w:val="22"/>
                <w:szCs w:val="22"/>
                <w:u w:val="single"/>
                <w:lang w:val="es-CR"/>
              </w:rPr>
              <w:t>687</w:t>
            </w:r>
            <w:r w:rsidRPr="00205C60">
              <w:rPr>
                <w:rFonts w:ascii="Verdana" w:eastAsia="Calibri" w:hAnsi="Verdana"/>
                <w:sz w:val="22"/>
                <w:szCs w:val="22"/>
                <w:u w:val="single"/>
                <w:lang w:val="es-CR"/>
              </w:rPr>
              <w:t>)</w:t>
            </w:r>
          </w:p>
        </w:tc>
        <w:tc>
          <w:tcPr>
            <w:tcW w:w="222" w:type="dxa"/>
            <w:vAlign w:val="bottom"/>
          </w:tcPr>
          <w:p w14:paraId="3CA7EC7A" w14:textId="77777777" w:rsidR="00E042B6" w:rsidRPr="00205C60" w:rsidRDefault="00E042B6" w:rsidP="00B1483C">
            <w:pPr>
              <w:ind w:right="85"/>
              <w:jc w:val="right"/>
              <w:rPr>
                <w:rFonts w:ascii="Verdana" w:eastAsia="Calibri" w:hAnsi="Verdana"/>
                <w:sz w:val="22"/>
                <w:szCs w:val="22"/>
                <w:u w:val="single"/>
                <w:lang w:val="es-CR"/>
              </w:rPr>
            </w:pPr>
          </w:p>
        </w:tc>
        <w:tc>
          <w:tcPr>
            <w:tcW w:w="1704" w:type="dxa"/>
            <w:vAlign w:val="bottom"/>
          </w:tcPr>
          <w:p w14:paraId="3CA7EC7B" w14:textId="08A697D6" w:rsidR="00E042B6" w:rsidRPr="00205C60" w:rsidRDefault="00E042B6" w:rsidP="00B1483C">
            <w:pPr>
              <w:ind w:right="85"/>
              <w:jc w:val="right"/>
              <w:rPr>
                <w:rFonts w:ascii="Verdana" w:eastAsia="Calibri" w:hAnsi="Verdana"/>
                <w:sz w:val="22"/>
                <w:szCs w:val="22"/>
                <w:u w:val="single"/>
                <w:lang w:val="es-CR"/>
              </w:rPr>
            </w:pPr>
            <w:r w:rsidRPr="00205C60">
              <w:rPr>
                <w:rFonts w:ascii="Verdana" w:eastAsia="Calibri" w:hAnsi="Verdana"/>
                <w:sz w:val="22"/>
                <w:szCs w:val="22"/>
                <w:u w:val="single"/>
                <w:lang w:val="es-CR"/>
              </w:rPr>
              <w:t>(</w:t>
            </w:r>
            <w:r w:rsidR="00150A60" w:rsidRPr="00205C60">
              <w:rPr>
                <w:rFonts w:ascii="Verdana" w:eastAsia="Calibri" w:hAnsi="Verdana"/>
                <w:sz w:val="22"/>
                <w:szCs w:val="22"/>
                <w:u w:val="single"/>
                <w:lang w:val="es-CR"/>
              </w:rPr>
              <w:t>1</w:t>
            </w:r>
            <w:r w:rsidR="009F4939" w:rsidRPr="00205C60">
              <w:rPr>
                <w:rFonts w:ascii="Verdana" w:eastAsia="Calibri" w:hAnsi="Verdana"/>
                <w:sz w:val="22"/>
                <w:szCs w:val="22"/>
                <w:u w:val="single"/>
                <w:lang w:val="es-CR"/>
              </w:rPr>
              <w:t>63</w:t>
            </w:r>
            <w:r w:rsidR="00150A60" w:rsidRPr="00205C60">
              <w:rPr>
                <w:rFonts w:ascii="Verdana" w:eastAsia="Calibri" w:hAnsi="Verdana"/>
                <w:sz w:val="22"/>
                <w:szCs w:val="22"/>
                <w:u w:val="single"/>
                <w:lang w:val="es-CR"/>
              </w:rPr>
              <w:t>.</w:t>
            </w:r>
            <w:r w:rsidR="009F4939" w:rsidRPr="00205C60">
              <w:rPr>
                <w:rFonts w:ascii="Verdana" w:eastAsia="Calibri" w:hAnsi="Verdana"/>
                <w:sz w:val="22"/>
                <w:szCs w:val="22"/>
                <w:u w:val="single"/>
                <w:lang w:val="es-CR"/>
              </w:rPr>
              <w:t>445</w:t>
            </w:r>
            <w:r w:rsidR="00150A60" w:rsidRPr="00205C60">
              <w:rPr>
                <w:rFonts w:ascii="Verdana" w:eastAsia="Calibri" w:hAnsi="Verdana"/>
                <w:sz w:val="22"/>
                <w:szCs w:val="22"/>
                <w:u w:val="single"/>
                <w:lang w:val="es-CR"/>
              </w:rPr>
              <w:t>.</w:t>
            </w:r>
            <w:r w:rsidR="009F4939" w:rsidRPr="00205C60">
              <w:rPr>
                <w:rFonts w:ascii="Verdana" w:eastAsia="Calibri" w:hAnsi="Verdana"/>
                <w:sz w:val="22"/>
                <w:szCs w:val="22"/>
                <w:u w:val="single"/>
                <w:lang w:val="es-CR"/>
              </w:rPr>
              <w:t>042</w:t>
            </w:r>
            <w:r w:rsidRPr="00205C60">
              <w:rPr>
                <w:rFonts w:ascii="Verdana" w:eastAsia="Calibri" w:hAnsi="Verdana"/>
                <w:sz w:val="22"/>
                <w:szCs w:val="22"/>
                <w:u w:val="single"/>
                <w:lang w:val="es-CR"/>
              </w:rPr>
              <w:t>)</w:t>
            </w:r>
          </w:p>
        </w:tc>
      </w:tr>
      <w:tr w:rsidR="009F4939" w:rsidRPr="00205C60" w14:paraId="3B149671" w14:textId="77777777" w:rsidTr="007956EB">
        <w:trPr>
          <w:trHeight w:val="20"/>
        </w:trPr>
        <w:tc>
          <w:tcPr>
            <w:tcW w:w="3654" w:type="dxa"/>
            <w:vAlign w:val="center"/>
          </w:tcPr>
          <w:p w14:paraId="4F843A41" w14:textId="77777777" w:rsidR="009F4939" w:rsidRPr="00205C60" w:rsidRDefault="009F4939" w:rsidP="009F4939">
            <w:pPr>
              <w:ind w:left="1080" w:hanging="450"/>
              <w:rPr>
                <w:rFonts w:ascii="Verdana" w:eastAsia="Calibri" w:hAnsi="Verdana"/>
                <w:sz w:val="22"/>
                <w:szCs w:val="22"/>
                <w:lang w:val="es-CR"/>
              </w:rPr>
            </w:pPr>
          </w:p>
        </w:tc>
        <w:tc>
          <w:tcPr>
            <w:tcW w:w="680" w:type="dxa"/>
            <w:vAlign w:val="bottom"/>
          </w:tcPr>
          <w:p w14:paraId="1EBBB717" w14:textId="77777777" w:rsidR="009F4939" w:rsidRPr="00205C60" w:rsidRDefault="009F4939" w:rsidP="009F4939">
            <w:pPr>
              <w:jc w:val="center"/>
              <w:rPr>
                <w:rFonts w:ascii="Verdana" w:eastAsia="Calibri" w:hAnsi="Verdana"/>
                <w:sz w:val="22"/>
                <w:szCs w:val="22"/>
                <w:lang w:val="es-CR"/>
              </w:rPr>
            </w:pPr>
          </w:p>
        </w:tc>
        <w:tc>
          <w:tcPr>
            <w:tcW w:w="316" w:type="dxa"/>
            <w:vAlign w:val="bottom"/>
          </w:tcPr>
          <w:p w14:paraId="226BC147" w14:textId="77777777" w:rsidR="009F4939" w:rsidRPr="00205C60" w:rsidRDefault="009F4939" w:rsidP="009F4939">
            <w:pPr>
              <w:jc w:val="center"/>
              <w:rPr>
                <w:rFonts w:ascii="Verdana" w:hAnsi="Verdana"/>
                <w:sz w:val="22"/>
                <w:szCs w:val="22"/>
                <w:lang w:val="es-CR"/>
              </w:rPr>
            </w:pPr>
          </w:p>
        </w:tc>
        <w:tc>
          <w:tcPr>
            <w:tcW w:w="1704" w:type="dxa"/>
            <w:tcBorders>
              <w:bottom w:val="double" w:sz="4" w:space="0" w:color="auto"/>
            </w:tcBorders>
            <w:vAlign w:val="bottom"/>
          </w:tcPr>
          <w:p w14:paraId="1AE2850E" w14:textId="38B0255E" w:rsidR="009F4939" w:rsidRPr="00205C60" w:rsidRDefault="009F4939" w:rsidP="009F4939">
            <w:pPr>
              <w:ind w:right="85"/>
              <w:jc w:val="right"/>
              <w:rPr>
                <w:rFonts w:ascii="Verdana" w:eastAsia="Calibri" w:hAnsi="Verdana"/>
                <w:sz w:val="22"/>
                <w:szCs w:val="22"/>
                <w:lang w:val="es-CR"/>
              </w:rPr>
            </w:pPr>
            <w:r w:rsidRPr="00205C60">
              <w:rPr>
                <w:rFonts w:ascii="Verdana" w:eastAsia="Calibri" w:hAnsi="Verdana"/>
                <w:sz w:val="22"/>
                <w:szCs w:val="22"/>
                <w:lang w:val="es-CR"/>
              </w:rPr>
              <w:t>(1</w:t>
            </w:r>
            <w:r w:rsidR="0097343C" w:rsidRPr="00205C60">
              <w:rPr>
                <w:rFonts w:ascii="Verdana" w:eastAsia="Calibri" w:hAnsi="Verdana"/>
                <w:sz w:val="22"/>
                <w:szCs w:val="22"/>
                <w:lang w:val="es-CR"/>
              </w:rPr>
              <w:t>33</w:t>
            </w:r>
            <w:r w:rsidRPr="00205C60">
              <w:rPr>
                <w:rFonts w:ascii="Verdana" w:eastAsia="Calibri" w:hAnsi="Verdana"/>
                <w:sz w:val="22"/>
                <w:szCs w:val="22"/>
                <w:lang w:val="es-CR"/>
              </w:rPr>
              <w:t>.</w:t>
            </w:r>
            <w:r w:rsidR="0097343C" w:rsidRPr="00205C60">
              <w:rPr>
                <w:rFonts w:ascii="Verdana" w:eastAsia="Calibri" w:hAnsi="Verdana"/>
                <w:sz w:val="22"/>
                <w:szCs w:val="22"/>
                <w:lang w:val="es-CR"/>
              </w:rPr>
              <w:t>523</w:t>
            </w:r>
            <w:r w:rsidRPr="00205C60">
              <w:rPr>
                <w:rFonts w:ascii="Verdana" w:eastAsia="Calibri" w:hAnsi="Verdana"/>
                <w:sz w:val="22"/>
                <w:szCs w:val="22"/>
                <w:lang w:val="es-CR"/>
              </w:rPr>
              <w:t>.</w:t>
            </w:r>
            <w:r w:rsidR="0097343C" w:rsidRPr="00205C60">
              <w:rPr>
                <w:rFonts w:ascii="Verdana" w:eastAsia="Calibri" w:hAnsi="Verdana"/>
                <w:sz w:val="22"/>
                <w:szCs w:val="22"/>
                <w:lang w:val="es-CR"/>
              </w:rPr>
              <w:t>939</w:t>
            </w:r>
            <w:r w:rsidRPr="00205C60">
              <w:rPr>
                <w:rFonts w:ascii="Verdana" w:eastAsia="Calibri" w:hAnsi="Verdana"/>
                <w:sz w:val="22"/>
                <w:szCs w:val="22"/>
                <w:lang w:val="es-CR"/>
              </w:rPr>
              <w:t>)</w:t>
            </w:r>
          </w:p>
        </w:tc>
        <w:tc>
          <w:tcPr>
            <w:tcW w:w="222" w:type="dxa"/>
            <w:vAlign w:val="bottom"/>
          </w:tcPr>
          <w:p w14:paraId="7F172FC4" w14:textId="77777777" w:rsidR="009F4939" w:rsidRPr="00205C60" w:rsidRDefault="009F4939" w:rsidP="009F4939">
            <w:pPr>
              <w:ind w:right="85"/>
              <w:jc w:val="right"/>
              <w:rPr>
                <w:rFonts w:ascii="Verdana" w:eastAsia="Calibri" w:hAnsi="Verdana"/>
                <w:sz w:val="22"/>
                <w:szCs w:val="22"/>
                <w:lang w:val="es-CR"/>
              </w:rPr>
            </w:pPr>
          </w:p>
        </w:tc>
        <w:tc>
          <w:tcPr>
            <w:tcW w:w="1704" w:type="dxa"/>
            <w:tcBorders>
              <w:bottom w:val="double" w:sz="4" w:space="0" w:color="auto"/>
            </w:tcBorders>
            <w:vAlign w:val="bottom"/>
          </w:tcPr>
          <w:p w14:paraId="37906F8F" w14:textId="71BA1319" w:rsidR="009F4939" w:rsidRPr="00205C60" w:rsidRDefault="009F4939" w:rsidP="0097343C">
            <w:pPr>
              <w:ind w:right="85"/>
              <w:jc w:val="right"/>
              <w:rPr>
                <w:rFonts w:ascii="Verdana" w:eastAsia="Calibri" w:hAnsi="Verdana"/>
                <w:sz w:val="22"/>
                <w:szCs w:val="22"/>
                <w:lang w:val="es-CR"/>
              </w:rPr>
            </w:pPr>
            <w:r w:rsidRPr="00205C60">
              <w:rPr>
                <w:rFonts w:ascii="Verdana" w:eastAsia="Calibri" w:hAnsi="Verdana"/>
                <w:sz w:val="22"/>
                <w:szCs w:val="22"/>
                <w:lang w:val="es-CR"/>
              </w:rPr>
              <w:t>(1</w:t>
            </w:r>
            <w:r w:rsidR="0097343C" w:rsidRPr="00205C60">
              <w:rPr>
                <w:rFonts w:ascii="Verdana" w:eastAsia="Calibri" w:hAnsi="Verdana"/>
                <w:sz w:val="22"/>
                <w:szCs w:val="22"/>
                <w:lang w:val="es-CR"/>
              </w:rPr>
              <w:t>54</w:t>
            </w:r>
            <w:r w:rsidRPr="00205C60">
              <w:rPr>
                <w:rFonts w:ascii="Verdana" w:eastAsia="Calibri" w:hAnsi="Verdana"/>
                <w:sz w:val="22"/>
                <w:szCs w:val="22"/>
                <w:lang w:val="es-CR"/>
              </w:rPr>
              <w:t>.</w:t>
            </w:r>
            <w:r w:rsidR="0097343C" w:rsidRPr="00205C60">
              <w:rPr>
                <w:rFonts w:ascii="Verdana" w:eastAsia="Calibri" w:hAnsi="Verdana"/>
                <w:sz w:val="22"/>
                <w:szCs w:val="22"/>
                <w:lang w:val="es-CR"/>
              </w:rPr>
              <w:t>887</w:t>
            </w:r>
            <w:r w:rsidRPr="00205C60">
              <w:rPr>
                <w:rFonts w:ascii="Verdana" w:eastAsia="Calibri" w:hAnsi="Verdana"/>
                <w:sz w:val="22"/>
                <w:szCs w:val="22"/>
                <w:lang w:val="es-CR"/>
              </w:rPr>
              <w:t>.</w:t>
            </w:r>
            <w:r w:rsidR="0097343C" w:rsidRPr="00205C60">
              <w:rPr>
                <w:rFonts w:ascii="Verdana" w:eastAsia="Calibri" w:hAnsi="Verdana"/>
                <w:sz w:val="22"/>
                <w:szCs w:val="22"/>
                <w:lang w:val="es-CR"/>
              </w:rPr>
              <w:t>13</w:t>
            </w:r>
            <w:r w:rsidRPr="00205C60">
              <w:rPr>
                <w:rFonts w:ascii="Verdana" w:eastAsia="Calibri" w:hAnsi="Verdana"/>
                <w:sz w:val="22"/>
                <w:szCs w:val="22"/>
                <w:lang w:val="es-CR"/>
              </w:rPr>
              <w:t>2)</w:t>
            </w:r>
          </w:p>
        </w:tc>
      </w:tr>
    </w:tbl>
    <w:p w14:paraId="3CA7EC7D" w14:textId="77777777" w:rsidR="00E042B6" w:rsidRPr="00205C60" w:rsidRDefault="00E042B6" w:rsidP="00E042B6">
      <w:pPr>
        <w:rPr>
          <w:rFonts w:ascii="Verdana" w:hAnsi="Verdana"/>
          <w:i/>
          <w:sz w:val="22"/>
          <w:szCs w:val="22"/>
          <w:lang w:val="es-CR"/>
        </w:rPr>
      </w:pPr>
    </w:p>
    <w:p w14:paraId="3CA7EC7E" w14:textId="22922CE9" w:rsidR="00E042B6" w:rsidRPr="00205C60" w:rsidRDefault="00E042B6" w:rsidP="0098425F">
      <w:pPr>
        <w:ind w:left="720"/>
        <w:rPr>
          <w:rFonts w:ascii="Verdana" w:hAnsi="Verdana" w:cs="Arial"/>
          <w:b/>
          <w:i/>
          <w:sz w:val="22"/>
          <w:szCs w:val="22"/>
          <w:lang w:val="es-CR"/>
        </w:rPr>
      </w:pPr>
    </w:p>
    <w:p w14:paraId="3CA7EC80" w14:textId="3709D211" w:rsidR="0098425F" w:rsidRPr="00205C60" w:rsidRDefault="0098425F" w:rsidP="0098425F">
      <w:pPr>
        <w:ind w:left="720"/>
        <w:rPr>
          <w:rFonts w:ascii="Verdana" w:hAnsi="Verdana" w:cs="Arial"/>
          <w:b/>
          <w:i/>
          <w:sz w:val="22"/>
          <w:szCs w:val="22"/>
          <w:lang w:val="es-CR"/>
        </w:rPr>
      </w:pPr>
      <w:r w:rsidRPr="00205C60">
        <w:rPr>
          <w:rFonts w:ascii="Verdana" w:hAnsi="Verdana" w:cs="Arial"/>
          <w:b/>
          <w:i/>
          <w:sz w:val="22"/>
          <w:szCs w:val="22"/>
          <w:lang w:val="es-CR"/>
        </w:rPr>
        <w:t>Análisis de sensibilidad para instrumentos de tasa fija</w:t>
      </w:r>
    </w:p>
    <w:p w14:paraId="3CA7EC81" w14:textId="77777777" w:rsidR="00B038FD" w:rsidRPr="00205C60" w:rsidRDefault="00B038FD" w:rsidP="0098425F">
      <w:pPr>
        <w:ind w:left="720"/>
        <w:rPr>
          <w:rFonts w:ascii="Verdana" w:hAnsi="Verdana" w:cs="Arial"/>
          <w:b/>
          <w:i/>
          <w:sz w:val="22"/>
          <w:szCs w:val="22"/>
          <w:lang w:val="es-CR"/>
        </w:rPr>
      </w:pPr>
    </w:p>
    <w:p w14:paraId="683DF0E8" w14:textId="0AE12A45" w:rsidR="005A208F" w:rsidRPr="00205C60" w:rsidRDefault="005A208F" w:rsidP="009D4ABC">
      <w:pPr>
        <w:pStyle w:val="Sangradetextonormal"/>
        <w:widowControl w:val="0"/>
        <w:ind w:left="0"/>
        <w:jc w:val="both"/>
        <w:rPr>
          <w:rFonts w:ascii="Verdana" w:hAnsi="Verdana" w:cs="Arial"/>
          <w:b w:val="0"/>
          <w:color w:val="auto"/>
          <w:sz w:val="22"/>
          <w:szCs w:val="22"/>
        </w:rPr>
      </w:pPr>
      <w:r w:rsidRPr="00205C60">
        <w:rPr>
          <w:rFonts w:ascii="Verdana" w:hAnsi="Verdana" w:cs="Arial"/>
          <w:b w:val="0"/>
          <w:color w:val="auto"/>
          <w:sz w:val="22"/>
          <w:szCs w:val="22"/>
        </w:rPr>
        <w:t>Una variación de 1 punto porcentual en las tasas de interés a la fecha de reporte habría aumentado (disminuido) el patrimonio y el resultado en los montos mostrados en la tabla más adelante. Este análisis asume que todas las otras variables, en particular el tipo de cambio, se mantienen constantes.</w:t>
      </w:r>
      <w:r w:rsidR="00DB7D7D">
        <w:rPr>
          <w:rFonts w:ascii="Verdana" w:hAnsi="Verdana" w:cs="Arial"/>
          <w:b w:val="0"/>
          <w:color w:val="auto"/>
          <w:sz w:val="22"/>
          <w:szCs w:val="22"/>
        </w:rPr>
        <w:t xml:space="preserve">       </w:t>
      </w:r>
    </w:p>
    <w:p w14:paraId="26EF789B" w14:textId="4BF28EB3" w:rsidR="005A208F" w:rsidRPr="00205C60" w:rsidRDefault="005A208F" w:rsidP="009D4ABC">
      <w:pPr>
        <w:pStyle w:val="Sangradetextonormal"/>
        <w:widowControl w:val="0"/>
        <w:ind w:left="0"/>
        <w:jc w:val="both"/>
        <w:rPr>
          <w:rFonts w:ascii="Verdana" w:hAnsi="Verdana" w:cs="Arial"/>
          <w:b w:val="0"/>
          <w:color w:val="auto"/>
          <w:sz w:val="22"/>
          <w:szCs w:val="22"/>
        </w:rPr>
      </w:pPr>
    </w:p>
    <w:p w14:paraId="3359524D" w14:textId="77777777" w:rsidR="005A208F" w:rsidRPr="00205C60" w:rsidRDefault="005A208F" w:rsidP="009D4ABC">
      <w:pPr>
        <w:pStyle w:val="Sangradetextonormal"/>
        <w:widowControl w:val="0"/>
        <w:ind w:left="0"/>
        <w:jc w:val="both"/>
        <w:rPr>
          <w:rFonts w:ascii="Verdana" w:hAnsi="Verdana" w:cs="Arial"/>
          <w:b w:val="0"/>
          <w:color w:val="auto"/>
          <w:sz w:val="22"/>
          <w:szCs w:val="22"/>
        </w:rPr>
      </w:pPr>
    </w:p>
    <w:tbl>
      <w:tblPr>
        <w:tblW w:w="10412" w:type="dxa"/>
        <w:tblInd w:w="-450" w:type="dxa"/>
        <w:tblLook w:val="04A0" w:firstRow="1" w:lastRow="0" w:firstColumn="1" w:lastColumn="0" w:noHBand="0" w:noVBand="1"/>
      </w:tblPr>
      <w:tblGrid>
        <w:gridCol w:w="3142"/>
        <w:gridCol w:w="356"/>
        <w:gridCol w:w="1555"/>
        <w:gridCol w:w="222"/>
        <w:gridCol w:w="1562"/>
        <w:gridCol w:w="236"/>
        <w:gridCol w:w="1555"/>
        <w:gridCol w:w="222"/>
        <w:gridCol w:w="1562"/>
      </w:tblGrid>
      <w:tr w:rsidR="00E042B6" w:rsidRPr="00205C60" w14:paraId="3CA7EC89" w14:textId="77777777" w:rsidTr="005A208F">
        <w:trPr>
          <w:trHeight w:val="255"/>
        </w:trPr>
        <w:tc>
          <w:tcPr>
            <w:tcW w:w="3142" w:type="dxa"/>
            <w:noWrap/>
            <w:vAlign w:val="bottom"/>
            <w:hideMark/>
          </w:tcPr>
          <w:p w14:paraId="3CA7EC84" w14:textId="77777777" w:rsidR="00E042B6" w:rsidRPr="00205C60" w:rsidRDefault="00E042B6" w:rsidP="00B1483C">
            <w:pPr>
              <w:rPr>
                <w:rFonts w:ascii="Verdana" w:hAnsi="Verdana"/>
                <w:sz w:val="22"/>
                <w:szCs w:val="22"/>
                <w:lang w:val="es-CR"/>
              </w:rPr>
            </w:pPr>
          </w:p>
        </w:tc>
        <w:tc>
          <w:tcPr>
            <w:tcW w:w="356" w:type="dxa"/>
            <w:noWrap/>
            <w:vAlign w:val="bottom"/>
            <w:hideMark/>
          </w:tcPr>
          <w:p w14:paraId="3CA7EC85" w14:textId="77777777" w:rsidR="00E042B6" w:rsidRPr="00205C60" w:rsidRDefault="00E042B6" w:rsidP="00B1483C">
            <w:pPr>
              <w:rPr>
                <w:rFonts w:ascii="Verdana" w:hAnsi="Verdana" w:cs="Calibri"/>
                <w:sz w:val="22"/>
                <w:szCs w:val="22"/>
              </w:rPr>
            </w:pPr>
          </w:p>
        </w:tc>
        <w:tc>
          <w:tcPr>
            <w:tcW w:w="3339" w:type="dxa"/>
            <w:gridSpan w:val="3"/>
            <w:noWrap/>
            <w:vAlign w:val="bottom"/>
            <w:hideMark/>
          </w:tcPr>
          <w:p w14:paraId="3CA7EC86" w14:textId="77777777" w:rsidR="00E042B6" w:rsidRPr="00205C60" w:rsidRDefault="00E042B6" w:rsidP="00B1483C">
            <w:pPr>
              <w:jc w:val="center"/>
              <w:rPr>
                <w:rFonts w:ascii="Verdana" w:hAnsi="Verdana"/>
                <w:color w:val="000000"/>
                <w:sz w:val="22"/>
                <w:szCs w:val="22"/>
                <w:u w:val="single"/>
              </w:rPr>
            </w:pPr>
            <w:r w:rsidRPr="00205C60">
              <w:rPr>
                <w:rFonts w:ascii="Verdana" w:hAnsi="Verdana"/>
                <w:color w:val="000000"/>
                <w:sz w:val="22"/>
                <w:szCs w:val="22"/>
                <w:u w:val="single"/>
              </w:rPr>
              <w:t>Resultados</w:t>
            </w:r>
          </w:p>
        </w:tc>
        <w:tc>
          <w:tcPr>
            <w:tcW w:w="236" w:type="dxa"/>
            <w:noWrap/>
            <w:vAlign w:val="bottom"/>
            <w:hideMark/>
          </w:tcPr>
          <w:p w14:paraId="3CA7EC87" w14:textId="77777777" w:rsidR="00E042B6" w:rsidRPr="00205C60" w:rsidRDefault="00E042B6" w:rsidP="00B1483C">
            <w:pPr>
              <w:rPr>
                <w:rFonts w:ascii="Verdana" w:hAnsi="Verdana"/>
                <w:color w:val="000000"/>
                <w:sz w:val="22"/>
                <w:szCs w:val="22"/>
                <w:u w:val="single"/>
              </w:rPr>
            </w:pPr>
          </w:p>
        </w:tc>
        <w:tc>
          <w:tcPr>
            <w:tcW w:w="3339" w:type="dxa"/>
            <w:gridSpan w:val="3"/>
            <w:noWrap/>
            <w:vAlign w:val="bottom"/>
            <w:hideMark/>
          </w:tcPr>
          <w:p w14:paraId="3CA7EC88" w14:textId="77777777" w:rsidR="00E042B6" w:rsidRPr="00205C60" w:rsidRDefault="00E042B6" w:rsidP="00B1483C">
            <w:pPr>
              <w:jc w:val="center"/>
              <w:rPr>
                <w:rFonts w:ascii="Verdana" w:hAnsi="Verdana"/>
                <w:color w:val="000000"/>
                <w:sz w:val="22"/>
                <w:szCs w:val="22"/>
                <w:u w:val="single"/>
              </w:rPr>
            </w:pPr>
            <w:r w:rsidRPr="00205C60">
              <w:rPr>
                <w:rFonts w:ascii="Verdana" w:hAnsi="Verdana"/>
                <w:color w:val="000000"/>
                <w:sz w:val="22"/>
                <w:szCs w:val="22"/>
                <w:u w:val="single"/>
              </w:rPr>
              <w:t>Patrimonio, neto</w:t>
            </w:r>
          </w:p>
        </w:tc>
      </w:tr>
      <w:tr w:rsidR="00E042B6" w:rsidRPr="00205C60" w14:paraId="3CA7EC93" w14:textId="77777777" w:rsidTr="005A208F">
        <w:trPr>
          <w:trHeight w:val="255"/>
        </w:trPr>
        <w:tc>
          <w:tcPr>
            <w:tcW w:w="3142" w:type="dxa"/>
            <w:noWrap/>
            <w:vAlign w:val="bottom"/>
            <w:hideMark/>
          </w:tcPr>
          <w:p w14:paraId="3CA7EC8A" w14:textId="416E32CE" w:rsidR="00E042B6" w:rsidRPr="00205C60" w:rsidRDefault="00E042B6" w:rsidP="00B1483C">
            <w:pPr>
              <w:rPr>
                <w:rFonts w:ascii="Verdana" w:hAnsi="Verdana"/>
                <w:color w:val="000000"/>
                <w:sz w:val="22"/>
                <w:szCs w:val="22"/>
                <w:u w:val="single"/>
              </w:rPr>
            </w:pPr>
            <w:r w:rsidRPr="00205C60">
              <w:rPr>
                <w:rFonts w:ascii="Verdana" w:hAnsi="Verdana"/>
                <w:color w:val="000000"/>
                <w:sz w:val="22"/>
                <w:szCs w:val="22"/>
                <w:u w:val="single"/>
              </w:rPr>
              <w:t>31 de diciembre del 202</w:t>
            </w:r>
            <w:r w:rsidR="00A03300" w:rsidRPr="00205C60">
              <w:rPr>
                <w:rFonts w:ascii="Verdana" w:hAnsi="Verdana"/>
                <w:color w:val="000000"/>
                <w:sz w:val="22"/>
                <w:szCs w:val="22"/>
                <w:u w:val="single"/>
              </w:rPr>
              <w:t>2</w:t>
            </w:r>
          </w:p>
        </w:tc>
        <w:tc>
          <w:tcPr>
            <w:tcW w:w="356" w:type="dxa"/>
            <w:noWrap/>
            <w:vAlign w:val="bottom"/>
            <w:hideMark/>
          </w:tcPr>
          <w:p w14:paraId="3CA7EC8B" w14:textId="77777777" w:rsidR="00E042B6" w:rsidRPr="00205C60" w:rsidRDefault="00E042B6" w:rsidP="00B1483C">
            <w:pPr>
              <w:rPr>
                <w:rFonts w:ascii="Verdana" w:hAnsi="Verdana"/>
                <w:color w:val="000000"/>
                <w:sz w:val="22"/>
                <w:szCs w:val="22"/>
                <w:u w:val="single"/>
              </w:rPr>
            </w:pPr>
          </w:p>
        </w:tc>
        <w:tc>
          <w:tcPr>
            <w:tcW w:w="1555" w:type="dxa"/>
            <w:noWrap/>
            <w:vAlign w:val="bottom"/>
            <w:hideMark/>
          </w:tcPr>
          <w:p w14:paraId="3CA7EC8C" w14:textId="77777777" w:rsidR="00E042B6" w:rsidRPr="00205C60" w:rsidRDefault="00E042B6" w:rsidP="00B1483C">
            <w:pPr>
              <w:jc w:val="center"/>
              <w:rPr>
                <w:rFonts w:ascii="Verdana" w:hAnsi="Verdana"/>
                <w:color w:val="000000"/>
                <w:sz w:val="22"/>
                <w:szCs w:val="22"/>
                <w:u w:val="single"/>
              </w:rPr>
            </w:pPr>
            <w:r w:rsidRPr="00205C60">
              <w:rPr>
                <w:rFonts w:ascii="Verdana" w:hAnsi="Verdana"/>
                <w:color w:val="000000"/>
                <w:sz w:val="22"/>
                <w:szCs w:val="22"/>
                <w:u w:val="single"/>
              </w:rPr>
              <w:t>Aumento</w:t>
            </w:r>
          </w:p>
        </w:tc>
        <w:tc>
          <w:tcPr>
            <w:tcW w:w="222" w:type="dxa"/>
            <w:noWrap/>
            <w:vAlign w:val="bottom"/>
            <w:hideMark/>
          </w:tcPr>
          <w:p w14:paraId="3CA7EC8D" w14:textId="77777777" w:rsidR="00E042B6" w:rsidRPr="00205C60" w:rsidRDefault="00E042B6" w:rsidP="00B1483C">
            <w:pPr>
              <w:rPr>
                <w:rFonts w:ascii="Verdana" w:hAnsi="Verdana"/>
                <w:color w:val="000000"/>
                <w:sz w:val="22"/>
                <w:szCs w:val="22"/>
                <w:u w:val="single"/>
              </w:rPr>
            </w:pPr>
          </w:p>
        </w:tc>
        <w:tc>
          <w:tcPr>
            <w:tcW w:w="1562" w:type="dxa"/>
            <w:noWrap/>
            <w:vAlign w:val="bottom"/>
            <w:hideMark/>
          </w:tcPr>
          <w:p w14:paraId="3CA7EC8E" w14:textId="77777777" w:rsidR="00E042B6" w:rsidRPr="00205C60" w:rsidRDefault="00E042B6" w:rsidP="00B1483C">
            <w:pPr>
              <w:jc w:val="center"/>
              <w:rPr>
                <w:rFonts w:ascii="Verdana" w:hAnsi="Verdana"/>
                <w:color w:val="000000"/>
                <w:sz w:val="22"/>
                <w:szCs w:val="22"/>
                <w:u w:val="single"/>
              </w:rPr>
            </w:pPr>
            <w:r w:rsidRPr="00205C60">
              <w:rPr>
                <w:rFonts w:ascii="Verdana" w:hAnsi="Verdana"/>
                <w:color w:val="000000"/>
                <w:sz w:val="22"/>
                <w:szCs w:val="22"/>
                <w:u w:val="single"/>
              </w:rPr>
              <w:t>Disminución</w:t>
            </w:r>
          </w:p>
        </w:tc>
        <w:tc>
          <w:tcPr>
            <w:tcW w:w="236" w:type="dxa"/>
            <w:noWrap/>
            <w:vAlign w:val="bottom"/>
            <w:hideMark/>
          </w:tcPr>
          <w:p w14:paraId="3CA7EC8F" w14:textId="77777777" w:rsidR="00E042B6" w:rsidRPr="00205C60" w:rsidRDefault="00E042B6" w:rsidP="00B1483C">
            <w:pPr>
              <w:rPr>
                <w:rFonts w:ascii="Verdana" w:hAnsi="Verdana"/>
                <w:color w:val="000000"/>
                <w:sz w:val="22"/>
                <w:szCs w:val="22"/>
                <w:u w:val="single"/>
              </w:rPr>
            </w:pPr>
          </w:p>
        </w:tc>
        <w:tc>
          <w:tcPr>
            <w:tcW w:w="1555" w:type="dxa"/>
            <w:noWrap/>
            <w:vAlign w:val="bottom"/>
            <w:hideMark/>
          </w:tcPr>
          <w:p w14:paraId="3CA7EC90" w14:textId="77777777" w:rsidR="00E042B6" w:rsidRPr="00205C60" w:rsidRDefault="00E042B6" w:rsidP="00B1483C">
            <w:pPr>
              <w:jc w:val="center"/>
              <w:rPr>
                <w:rFonts w:ascii="Verdana" w:hAnsi="Verdana"/>
                <w:color w:val="000000"/>
                <w:sz w:val="22"/>
                <w:szCs w:val="22"/>
                <w:u w:val="single"/>
              </w:rPr>
            </w:pPr>
            <w:r w:rsidRPr="00205C60">
              <w:rPr>
                <w:rFonts w:ascii="Verdana" w:hAnsi="Verdana"/>
                <w:color w:val="000000"/>
                <w:sz w:val="22"/>
                <w:szCs w:val="22"/>
                <w:u w:val="single"/>
              </w:rPr>
              <w:t>Aumento</w:t>
            </w:r>
          </w:p>
        </w:tc>
        <w:tc>
          <w:tcPr>
            <w:tcW w:w="222" w:type="dxa"/>
            <w:noWrap/>
            <w:vAlign w:val="bottom"/>
            <w:hideMark/>
          </w:tcPr>
          <w:p w14:paraId="3CA7EC91" w14:textId="77777777" w:rsidR="00E042B6" w:rsidRPr="00205C60" w:rsidRDefault="00E042B6" w:rsidP="00B1483C">
            <w:pPr>
              <w:rPr>
                <w:rFonts w:ascii="Verdana" w:hAnsi="Verdana"/>
                <w:color w:val="000000"/>
                <w:sz w:val="22"/>
                <w:szCs w:val="22"/>
                <w:u w:val="single"/>
              </w:rPr>
            </w:pPr>
          </w:p>
        </w:tc>
        <w:tc>
          <w:tcPr>
            <w:tcW w:w="1562" w:type="dxa"/>
            <w:noWrap/>
            <w:vAlign w:val="bottom"/>
            <w:hideMark/>
          </w:tcPr>
          <w:p w14:paraId="3CA7EC92" w14:textId="77777777" w:rsidR="00E042B6" w:rsidRPr="00205C60" w:rsidRDefault="00E042B6" w:rsidP="00B1483C">
            <w:pPr>
              <w:jc w:val="center"/>
              <w:rPr>
                <w:rFonts w:ascii="Verdana" w:hAnsi="Verdana"/>
                <w:color w:val="000000"/>
                <w:sz w:val="22"/>
                <w:szCs w:val="22"/>
                <w:u w:val="single"/>
              </w:rPr>
            </w:pPr>
            <w:r w:rsidRPr="00205C60">
              <w:rPr>
                <w:rFonts w:ascii="Verdana" w:hAnsi="Verdana"/>
                <w:color w:val="000000"/>
                <w:sz w:val="22"/>
                <w:szCs w:val="22"/>
                <w:u w:val="single"/>
              </w:rPr>
              <w:t>Disminución</w:t>
            </w:r>
          </w:p>
        </w:tc>
      </w:tr>
      <w:tr w:rsidR="00E042B6" w:rsidRPr="00205C60" w14:paraId="3CA7EC9D" w14:textId="77777777" w:rsidTr="005A208F">
        <w:trPr>
          <w:trHeight w:val="270"/>
        </w:trPr>
        <w:tc>
          <w:tcPr>
            <w:tcW w:w="3142" w:type="dxa"/>
            <w:noWrap/>
            <w:vAlign w:val="bottom"/>
            <w:hideMark/>
          </w:tcPr>
          <w:p w14:paraId="3CA7EC94" w14:textId="77777777" w:rsidR="00E042B6" w:rsidRPr="00205C60" w:rsidRDefault="00E042B6" w:rsidP="00B1483C">
            <w:pPr>
              <w:rPr>
                <w:rFonts w:ascii="Verdana" w:hAnsi="Verdana"/>
                <w:color w:val="000000"/>
                <w:sz w:val="22"/>
                <w:szCs w:val="22"/>
              </w:rPr>
            </w:pPr>
            <w:r w:rsidRPr="00205C60">
              <w:rPr>
                <w:rFonts w:ascii="Verdana" w:hAnsi="Verdana"/>
                <w:color w:val="000000"/>
                <w:sz w:val="22"/>
                <w:szCs w:val="22"/>
              </w:rPr>
              <w:t>Instrumentos de tasa fija</w:t>
            </w:r>
          </w:p>
        </w:tc>
        <w:tc>
          <w:tcPr>
            <w:tcW w:w="356" w:type="dxa"/>
            <w:noWrap/>
            <w:vAlign w:val="bottom"/>
            <w:hideMark/>
          </w:tcPr>
          <w:p w14:paraId="3CA7EC95" w14:textId="77777777" w:rsidR="00E042B6" w:rsidRPr="00205C60" w:rsidRDefault="00E042B6" w:rsidP="00B1483C">
            <w:pPr>
              <w:rPr>
                <w:rFonts w:ascii="Verdana" w:hAnsi="Verdana"/>
                <w:color w:val="000000"/>
                <w:sz w:val="22"/>
                <w:szCs w:val="22"/>
              </w:rPr>
            </w:pPr>
            <w:r w:rsidRPr="00205C60">
              <w:rPr>
                <w:rFonts w:ascii="Verdana" w:hAnsi="Verdana"/>
                <w:color w:val="000000"/>
                <w:sz w:val="22"/>
                <w:szCs w:val="22"/>
              </w:rPr>
              <w:t>¢</w:t>
            </w:r>
          </w:p>
        </w:tc>
        <w:tc>
          <w:tcPr>
            <w:tcW w:w="1555" w:type="dxa"/>
            <w:tcBorders>
              <w:top w:val="nil"/>
              <w:left w:val="nil"/>
              <w:bottom w:val="double" w:sz="6" w:space="0" w:color="auto"/>
              <w:right w:val="nil"/>
            </w:tcBorders>
            <w:noWrap/>
            <w:vAlign w:val="bottom"/>
          </w:tcPr>
          <w:p w14:paraId="3CA7EC96" w14:textId="76F337F8" w:rsidR="00E042B6" w:rsidRPr="00205C60" w:rsidRDefault="00E042B6" w:rsidP="00B1483C">
            <w:pPr>
              <w:jc w:val="right"/>
              <w:rPr>
                <w:rFonts w:ascii="Verdana" w:hAnsi="Verdana"/>
                <w:color w:val="000000"/>
                <w:sz w:val="22"/>
                <w:szCs w:val="22"/>
              </w:rPr>
            </w:pPr>
            <w:r w:rsidRPr="00205C60">
              <w:rPr>
                <w:rFonts w:ascii="Verdana" w:hAnsi="Verdana"/>
                <w:color w:val="000000"/>
                <w:sz w:val="22"/>
                <w:szCs w:val="22"/>
              </w:rPr>
              <w:t>(</w:t>
            </w:r>
            <w:r w:rsidR="00B50DF8" w:rsidRPr="00205C60">
              <w:rPr>
                <w:rFonts w:ascii="Verdana" w:hAnsi="Verdana"/>
                <w:color w:val="000000"/>
                <w:sz w:val="22"/>
                <w:szCs w:val="22"/>
              </w:rPr>
              <w:t>69</w:t>
            </w:r>
            <w:r w:rsidR="005A208F" w:rsidRPr="00205C60">
              <w:rPr>
                <w:rFonts w:ascii="Verdana" w:hAnsi="Verdana"/>
                <w:color w:val="000000"/>
                <w:sz w:val="22"/>
                <w:szCs w:val="22"/>
              </w:rPr>
              <w:t>.</w:t>
            </w:r>
            <w:r w:rsidR="00B50DF8" w:rsidRPr="00205C60">
              <w:rPr>
                <w:rFonts w:ascii="Verdana" w:hAnsi="Verdana"/>
                <w:color w:val="000000"/>
                <w:sz w:val="22"/>
                <w:szCs w:val="22"/>
              </w:rPr>
              <w:t>865</w:t>
            </w:r>
            <w:r w:rsidRPr="00205C60">
              <w:rPr>
                <w:rFonts w:ascii="Verdana" w:hAnsi="Verdana"/>
                <w:color w:val="000000"/>
                <w:sz w:val="22"/>
                <w:szCs w:val="22"/>
              </w:rPr>
              <w:t>)</w:t>
            </w:r>
          </w:p>
        </w:tc>
        <w:tc>
          <w:tcPr>
            <w:tcW w:w="222" w:type="dxa"/>
            <w:noWrap/>
            <w:vAlign w:val="bottom"/>
          </w:tcPr>
          <w:p w14:paraId="3CA7EC97" w14:textId="77777777" w:rsidR="00E042B6" w:rsidRPr="00205C60" w:rsidRDefault="00E042B6" w:rsidP="00B1483C">
            <w:pPr>
              <w:jc w:val="right"/>
              <w:rPr>
                <w:rFonts w:ascii="Verdana" w:hAnsi="Verdana"/>
                <w:color w:val="000000"/>
                <w:sz w:val="22"/>
                <w:szCs w:val="22"/>
              </w:rPr>
            </w:pPr>
          </w:p>
        </w:tc>
        <w:tc>
          <w:tcPr>
            <w:tcW w:w="1562" w:type="dxa"/>
            <w:tcBorders>
              <w:top w:val="nil"/>
              <w:left w:val="nil"/>
              <w:bottom w:val="double" w:sz="6" w:space="0" w:color="auto"/>
              <w:right w:val="nil"/>
            </w:tcBorders>
            <w:noWrap/>
            <w:vAlign w:val="bottom"/>
          </w:tcPr>
          <w:p w14:paraId="3CA7EC98" w14:textId="78CCE8FA" w:rsidR="00E042B6" w:rsidRPr="00205C60" w:rsidRDefault="00B50DF8" w:rsidP="00B1483C">
            <w:pPr>
              <w:jc w:val="right"/>
              <w:rPr>
                <w:rFonts w:ascii="Verdana" w:hAnsi="Verdana"/>
                <w:color w:val="000000"/>
                <w:sz w:val="22"/>
                <w:szCs w:val="22"/>
              </w:rPr>
            </w:pPr>
            <w:r w:rsidRPr="00205C60">
              <w:rPr>
                <w:rFonts w:ascii="Verdana" w:hAnsi="Verdana"/>
                <w:color w:val="000000"/>
                <w:sz w:val="22"/>
                <w:szCs w:val="22"/>
              </w:rPr>
              <w:t>69</w:t>
            </w:r>
            <w:r w:rsidR="005A208F" w:rsidRPr="00205C60">
              <w:rPr>
                <w:rFonts w:ascii="Verdana" w:hAnsi="Verdana"/>
                <w:color w:val="000000"/>
                <w:sz w:val="22"/>
                <w:szCs w:val="22"/>
              </w:rPr>
              <w:t>.</w:t>
            </w:r>
            <w:r w:rsidRPr="00205C60">
              <w:rPr>
                <w:rFonts w:ascii="Verdana" w:hAnsi="Verdana"/>
                <w:color w:val="000000"/>
                <w:sz w:val="22"/>
                <w:szCs w:val="22"/>
              </w:rPr>
              <w:t>895</w:t>
            </w:r>
          </w:p>
        </w:tc>
        <w:tc>
          <w:tcPr>
            <w:tcW w:w="236" w:type="dxa"/>
            <w:noWrap/>
            <w:vAlign w:val="bottom"/>
          </w:tcPr>
          <w:p w14:paraId="3CA7EC99" w14:textId="77777777" w:rsidR="00E042B6" w:rsidRPr="00205C60" w:rsidRDefault="00E042B6" w:rsidP="00B1483C">
            <w:pPr>
              <w:jc w:val="right"/>
              <w:rPr>
                <w:rFonts w:ascii="Verdana" w:hAnsi="Verdana"/>
                <w:color w:val="000000"/>
                <w:sz w:val="22"/>
                <w:szCs w:val="22"/>
              </w:rPr>
            </w:pPr>
          </w:p>
        </w:tc>
        <w:tc>
          <w:tcPr>
            <w:tcW w:w="1555" w:type="dxa"/>
            <w:tcBorders>
              <w:top w:val="nil"/>
              <w:left w:val="nil"/>
              <w:bottom w:val="double" w:sz="6" w:space="0" w:color="auto"/>
              <w:right w:val="nil"/>
            </w:tcBorders>
            <w:noWrap/>
            <w:vAlign w:val="bottom"/>
          </w:tcPr>
          <w:p w14:paraId="3CA7EC9A" w14:textId="55BE21A6" w:rsidR="00E042B6" w:rsidRPr="00205C60" w:rsidRDefault="00E042B6" w:rsidP="00B1483C">
            <w:pPr>
              <w:jc w:val="right"/>
              <w:rPr>
                <w:rFonts w:ascii="Verdana" w:hAnsi="Verdana"/>
                <w:color w:val="000000"/>
                <w:sz w:val="22"/>
                <w:szCs w:val="22"/>
              </w:rPr>
            </w:pPr>
            <w:r w:rsidRPr="00205C60">
              <w:rPr>
                <w:rFonts w:ascii="Verdana" w:hAnsi="Verdana"/>
                <w:color w:val="000000"/>
                <w:sz w:val="22"/>
                <w:szCs w:val="22"/>
              </w:rPr>
              <w:t>(</w:t>
            </w:r>
            <w:r w:rsidR="00B50DF8" w:rsidRPr="00205C60">
              <w:rPr>
                <w:rFonts w:ascii="Verdana" w:hAnsi="Verdana"/>
                <w:color w:val="000000"/>
                <w:sz w:val="22"/>
                <w:szCs w:val="22"/>
              </w:rPr>
              <w:t>69</w:t>
            </w:r>
            <w:r w:rsidR="005A208F" w:rsidRPr="00205C60">
              <w:rPr>
                <w:rFonts w:ascii="Verdana" w:hAnsi="Verdana"/>
                <w:color w:val="000000"/>
                <w:sz w:val="22"/>
                <w:szCs w:val="22"/>
              </w:rPr>
              <w:t>.</w:t>
            </w:r>
            <w:r w:rsidR="00B50DF8" w:rsidRPr="00205C60">
              <w:rPr>
                <w:rFonts w:ascii="Verdana" w:hAnsi="Verdana"/>
                <w:color w:val="000000"/>
                <w:sz w:val="22"/>
                <w:szCs w:val="22"/>
              </w:rPr>
              <w:t>895</w:t>
            </w:r>
            <w:r w:rsidRPr="00205C60">
              <w:rPr>
                <w:rFonts w:ascii="Verdana" w:hAnsi="Verdana"/>
                <w:color w:val="000000"/>
                <w:sz w:val="22"/>
                <w:szCs w:val="22"/>
              </w:rPr>
              <w:t>)</w:t>
            </w:r>
          </w:p>
        </w:tc>
        <w:tc>
          <w:tcPr>
            <w:tcW w:w="222" w:type="dxa"/>
            <w:noWrap/>
            <w:vAlign w:val="bottom"/>
          </w:tcPr>
          <w:p w14:paraId="3CA7EC9B" w14:textId="77777777" w:rsidR="00E042B6" w:rsidRPr="00205C60" w:rsidRDefault="00E042B6" w:rsidP="00B1483C">
            <w:pPr>
              <w:jc w:val="right"/>
              <w:rPr>
                <w:rFonts w:ascii="Verdana" w:hAnsi="Verdana"/>
                <w:color w:val="000000"/>
                <w:sz w:val="22"/>
                <w:szCs w:val="22"/>
              </w:rPr>
            </w:pPr>
          </w:p>
        </w:tc>
        <w:tc>
          <w:tcPr>
            <w:tcW w:w="1562" w:type="dxa"/>
            <w:tcBorders>
              <w:top w:val="nil"/>
              <w:left w:val="nil"/>
              <w:bottom w:val="double" w:sz="6" w:space="0" w:color="auto"/>
              <w:right w:val="nil"/>
            </w:tcBorders>
            <w:noWrap/>
            <w:vAlign w:val="bottom"/>
          </w:tcPr>
          <w:p w14:paraId="3CA7EC9C" w14:textId="69CE8295" w:rsidR="00E042B6" w:rsidRPr="00205C60" w:rsidRDefault="00B50DF8" w:rsidP="00B1483C">
            <w:pPr>
              <w:jc w:val="right"/>
              <w:rPr>
                <w:rFonts w:ascii="Verdana" w:hAnsi="Verdana"/>
                <w:color w:val="000000"/>
                <w:sz w:val="22"/>
                <w:szCs w:val="22"/>
              </w:rPr>
            </w:pPr>
            <w:r w:rsidRPr="00205C60">
              <w:rPr>
                <w:rFonts w:ascii="Verdana" w:hAnsi="Verdana"/>
                <w:color w:val="000000"/>
                <w:sz w:val="22"/>
                <w:szCs w:val="22"/>
              </w:rPr>
              <w:t>69</w:t>
            </w:r>
            <w:r w:rsidR="005A208F" w:rsidRPr="00205C60">
              <w:rPr>
                <w:rFonts w:ascii="Verdana" w:hAnsi="Verdana"/>
                <w:color w:val="000000"/>
                <w:sz w:val="22"/>
                <w:szCs w:val="22"/>
              </w:rPr>
              <w:t>.</w:t>
            </w:r>
            <w:r w:rsidRPr="00205C60">
              <w:rPr>
                <w:rFonts w:ascii="Verdana" w:hAnsi="Verdana"/>
                <w:color w:val="000000"/>
                <w:sz w:val="22"/>
                <w:szCs w:val="22"/>
              </w:rPr>
              <w:t>895</w:t>
            </w:r>
          </w:p>
        </w:tc>
      </w:tr>
      <w:tr w:rsidR="00E042B6" w:rsidRPr="00205C60" w14:paraId="3CA7ECA3" w14:textId="77777777" w:rsidTr="005A208F">
        <w:trPr>
          <w:trHeight w:val="255"/>
        </w:trPr>
        <w:tc>
          <w:tcPr>
            <w:tcW w:w="3142" w:type="dxa"/>
            <w:noWrap/>
            <w:vAlign w:val="bottom"/>
            <w:hideMark/>
          </w:tcPr>
          <w:p w14:paraId="3CA7EC9E" w14:textId="77777777" w:rsidR="00E042B6" w:rsidRPr="00205C60" w:rsidRDefault="00E042B6" w:rsidP="00B1483C">
            <w:pPr>
              <w:rPr>
                <w:rFonts w:ascii="Verdana" w:hAnsi="Verdana"/>
                <w:color w:val="000000"/>
                <w:sz w:val="22"/>
                <w:szCs w:val="22"/>
              </w:rPr>
            </w:pPr>
          </w:p>
        </w:tc>
        <w:tc>
          <w:tcPr>
            <w:tcW w:w="356" w:type="dxa"/>
            <w:noWrap/>
            <w:vAlign w:val="bottom"/>
            <w:hideMark/>
          </w:tcPr>
          <w:p w14:paraId="3CA7EC9F" w14:textId="77777777" w:rsidR="00E042B6" w:rsidRPr="00205C60" w:rsidRDefault="00E042B6" w:rsidP="00B1483C">
            <w:pPr>
              <w:rPr>
                <w:rFonts w:ascii="Verdana" w:hAnsi="Verdana" w:cs="Calibri"/>
                <w:sz w:val="22"/>
                <w:szCs w:val="22"/>
              </w:rPr>
            </w:pPr>
          </w:p>
        </w:tc>
        <w:tc>
          <w:tcPr>
            <w:tcW w:w="3339" w:type="dxa"/>
            <w:gridSpan w:val="3"/>
            <w:noWrap/>
            <w:vAlign w:val="bottom"/>
            <w:hideMark/>
          </w:tcPr>
          <w:p w14:paraId="3CA7ECA0" w14:textId="77777777" w:rsidR="00E042B6" w:rsidRPr="00205C60" w:rsidRDefault="00E042B6" w:rsidP="00B1483C">
            <w:pPr>
              <w:rPr>
                <w:rFonts w:ascii="Verdana" w:hAnsi="Verdana" w:cs="Calibri"/>
                <w:sz w:val="22"/>
                <w:szCs w:val="22"/>
              </w:rPr>
            </w:pPr>
          </w:p>
        </w:tc>
        <w:tc>
          <w:tcPr>
            <w:tcW w:w="236" w:type="dxa"/>
            <w:noWrap/>
            <w:vAlign w:val="bottom"/>
            <w:hideMark/>
          </w:tcPr>
          <w:p w14:paraId="3CA7ECA1" w14:textId="77777777" w:rsidR="00E042B6" w:rsidRPr="00205C60" w:rsidRDefault="00E042B6" w:rsidP="00B1483C">
            <w:pPr>
              <w:rPr>
                <w:rFonts w:ascii="Verdana" w:hAnsi="Verdana" w:cs="Calibri"/>
                <w:sz w:val="22"/>
                <w:szCs w:val="22"/>
              </w:rPr>
            </w:pPr>
          </w:p>
        </w:tc>
        <w:tc>
          <w:tcPr>
            <w:tcW w:w="3339" w:type="dxa"/>
            <w:gridSpan w:val="3"/>
            <w:noWrap/>
            <w:vAlign w:val="bottom"/>
            <w:hideMark/>
          </w:tcPr>
          <w:p w14:paraId="3CA7ECA2" w14:textId="77777777" w:rsidR="00E042B6" w:rsidRPr="00205C60" w:rsidRDefault="00E042B6" w:rsidP="00B1483C">
            <w:pPr>
              <w:rPr>
                <w:rFonts w:ascii="Verdana" w:hAnsi="Verdana" w:cs="Calibri"/>
                <w:sz w:val="22"/>
                <w:szCs w:val="22"/>
              </w:rPr>
            </w:pPr>
          </w:p>
        </w:tc>
      </w:tr>
      <w:tr w:rsidR="00E042B6" w:rsidRPr="00205C60" w14:paraId="3CA7ECA9" w14:textId="77777777" w:rsidTr="005A208F">
        <w:trPr>
          <w:trHeight w:val="255"/>
        </w:trPr>
        <w:tc>
          <w:tcPr>
            <w:tcW w:w="3142" w:type="dxa"/>
            <w:noWrap/>
            <w:vAlign w:val="bottom"/>
            <w:hideMark/>
          </w:tcPr>
          <w:p w14:paraId="3CA7ECA4" w14:textId="77777777" w:rsidR="00E042B6" w:rsidRPr="00205C60" w:rsidRDefault="00E042B6" w:rsidP="00B1483C">
            <w:pPr>
              <w:rPr>
                <w:rFonts w:ascii="Verdana" w:hAnsi="Verdana" w:cs="Calibri"/>
                <w:sz w:val="22"/>
                <w:szCs w:val="22"/>
              </w:rPr>
            </w:pPr>
          </w:p>
        </w:tc>
        <w:tc>
          <w:tcPr>
            <w:tcW w:w="356" w:type="dxa"/>
            <w:noWrap/>
            <w:vAlign w:val="bottom"/>
            <w:hideMark/>
          </w:tcPr>
          <w:p w14:paraId="3CA7ECA5" w14:textId="77777777" w:rsidR="00E042B6" w:rsidRPr="00205C60" w:rsidRDefault="00E042B6" w:rsidP="00B1483C">
            <w:pPr>
              <w:rPr>
                <w:rFonts w:ascii="Verdana" w:hAnsi="Verdana" w:cs="Calibri"/>
                <w:sz w:val="22"/>
                <w:szCs w:val="22"/>
              </w:rPr>
            </w:pPr>
          </w:p>
        </w:tc>
        <w:tc>
          <w:tcPr>
            <w:tcW w:w="3339" w:type="dxa"/>
            <w:gridSpan w:val="3"/>
            <w:noWrap/>
            <w:vAlign w:val="bottom"/>
            <w:hideMark/>
          </w:tcPr>
          <w:p w14:paraId="3CA7ECA6" w14:textId="77777777" w:rsidR="00E042B6" w:rsidRPr="00205C60" w:rsidRDefault="00E042B6" w:rsidP="00B1483C">
            <w:pPr>
              <w:jc w:val="center"/>
              <w:rPr>
                <w:rFonts w:ascii="Verdana" w:hAnsi="Verdana"/>
                <w:color w:val="000000"/>
                <w:sz w:val="22"/>
                <w:szCs w:val="22"/>
                <w:u w:val="single"/>
              </w:rPr>
            </w:pPr>
            <w:r w:rsidRPr="00205C60">
              <w:rPr>
                <w:rFonts w:ascii="Verdana" w:hAnsi="Verdana"/>
                <w:color w:val="000000"/>
                <w:sz w:val="22"/>
                <w:szCs w:val="22"/>
                <w:u w:val="single"/>
              </w:rPr>
              <w:t>Resultados</w:t>
            </w:r>
          </w:p>
        </w:tc>
        <w:tc>
          <w:tcPr>
            <w:tcW w:w="236" w:type="dxa"/>
            <w:noWrap/>
            <w:vAlign w:val="bottom"/>
            <w:hideMark/>
          </w:tcPr>
          <w:p w14:paraId="3CA7ECA7" w14:textId="77777777" w:rsidR="00E042B6" w:rsidRPr="00205C60" w:rsidRDefault="00E042B6" w:rsidP="00B1483C">
            <w:pPr>
              <w:rPr>
                <w:rFonts w:ascii="Verdana" w:hAnsi="Verdana"/>
                <w:color w:val="000000"/>
                <w:sz w:val="22"/>
                <w:szCs w:val="22"/>
                <w:u w:val="single"/>
              </w:rPr>
            </w:pPr>
          </w:p>
        </w:tc>
        <w:tc>
          <w:tcPr>
            <w:tcW w:w="3339" w:type="dxa"/>
            <w:gridSpan w:val="3"/>
            <w:noWrap/>
            <w:vAlign w:val="bottom"/>
            <w:hideMark/>
          </w:tcPr>
          <w:p w14:paraId="3CA7ECA8" w14:textId="77777777" w:rsidR="00E042B6" w:rsidRPr="00205C60" w:rsidRDefault="00E042B6" w:rsidP="00B1483C">
            <w:pPr>
              <w:jc w:val="center"/>
              <w:rPr>
                <w:rFonts w:ascii="Verdana" w:hAnsi="Verdana"/>
                <w:color w:val="000000"/>
                <w:sz w:val="22"/>
                <w:szCs w:val="22"/>
                <w:u w:val="single"/>
              </w:rPr>
            </w:pPr>
            <w:r w:rsidRPr="00205C60">
              <w:rPr>
                <w:rFonts w:ascii="Verdana" w:hAnsi="Verdana"/>
                <w:color w:val="000000"/>
                <w:sz w:val="22"/>
                <w:szCs w:val="22"/>
                <w:u w:val="single"/>
              </w:rPr>
              <w:t>Patrimonio, neto</w:t>
            </w:r>
          </w:p>
        </w:tc>
      </w:tr>
      <w:tr w:rsidR="00A03300" w:rsidRPr="00205C60" w14:paraId="3CA7ECB3" w14:textId="77777777" w:rsidTr="005A208F">
        <w:trPr>
          <w:trHeight w:val="255"/>
        </w:trPr>
        <w:tc>
          <w:tcPr>
            <w:tcW w:w="3142" w:type="dxa"/>
            <w:noWrap/>
            <w:vAlign w:val="bottom"/>
            <w:hideMark/>
          </w:tcPr>
          <w:p w14:paraId="3CA7ECAA" w14:textId="3CA46D5C" w:rsidR="00A03300" w:rsidRPr="00205C60" w:rsidRDefault="00A03300" w:rsidP="00A03300">
            <w:pPr>
              <w:rPr>
                <w:rFonts w:ascii="Verdana" w:hAnsi="Verdana"/>
                <w:color w:val="000000"/>
                <w:sz w:val="22"/>
                <w:szCs w:val="22"/>
                <w:u w:val="single"/>
              </w:rPr>
            </w:pPr>
            <w:r w:rsidRPr="00205C60">
              <w:rPr>
                <w:rFonts w:ascii="Verdana" w:hAnsi="Verdana"/>
                <w:color w:val="000000"/>
                <w:sz w:val="22"/>
                <w:szCs w:val="22"/>
                <w:u w:val="single"/>
              </w:rPr>
              <w:t>31 de diciembre del 2021</w:t>
            </w:r>
          </w:p>
        </w:tc>
        <w:tc>
          <w:tcPr>
            <w:tcW w:w="356" w:type="dxa"/>
            <w:noWrap/>
            <w:vAlign w:val="bottom"/>
            <w:hideMark/>
          </w:tcPr>
          <w:p w14:paraId="3CA7ECAB" w14:textId="77777777" w:rsidR="00A03300" w:rsidRPr="00205C60" w:rsidRDefault="00A03300" w:rsidP="00A03300">
            <w:pPr>
              <w:rPr>
                <w:rFonts w:ascii="Verdana" w:hAnsi="Verdana"/>
                <w:color w:val="000000"/>
                <w:sz w:val="22"/>
                <w:szCs w:val="22"/>
                <w:u w:val="single"/>
              </w:rPr>
            </w:pPr>
          </w:p>
        </w:tc>
        <w:tc>
          <w:tcPr>
            <w:tcW w:w="1555" w:type="dxa"/>
            <w:noWrap/>
            <w:vAlign w:val="bottom"/>
            <w:hideMark/>
          </w:tcPr>
          <w:p w14:paraId="3CA7ECAC" w14:textId="3B2CD7A9" w:rsidR="00A03300" w:rsidRPr="00205C60" w:rsidRDefault="00A03300" w:rsidP="00A03300">
            <w:pPr>
              <w:jc w:val="center"/>
              <w:rPr>
                <w:rFonts w:ascii="Verdana" w:hAnsi="Verdana"/>
                <w:color w:val="000000"/>
                <w:sz w:val="22"/>
                <w:szCs w:val="22"/>
                <w:u w:val="single"/>
              </w:rPr>
            </w:pPr>
            <w:r w:rsidRPr="00205C60">
              <w:rPr>
                <w:rFonts w:ascii="Verdana" w:hAnsi="Verdana"/>
                <w:color w:val="000000"/>
                <w:sz w:val="22"/>
                <w:szCs w:val="22"/>
                <w:u w:val="single"/>
              </w:rPr>
              <w:t>Aumento</w:t>
            </w:r>
          </w:p>
        </w:tc>
        <w:tc>
          <w:tcPr>
            <w:tcW w:w="222" w:type="dxa"/>
            <w:noWrap/>
            <w:vAlign w:val="bottom"/>
            <w:hideMark/>
          </w:tcPr>
          <w:p w14:paraId="3CA7ECAD" w14:textId="77777777" w:rsidR="00A03300" w:rsidRPr="00205C60" w:rsidRDefault="00A03300" w:rsidP="00A03300">
            <w:pPr>
              <w:rPr>
                <w:rFonts w:ascii="Verdana" w:hAnsi="Verdana"/>
                <w:color w:val="000000"/>
                <w:sz w:val="22"/>
                <w:szCs w:val="22"/>
                <w:u w:val="single"/>
              </w:rPr>
            </w:pPr>
          </w:p>
        </w:tc>
        <w:tc>
          <w:tcPr>
            <w:tcW w:w="1562" w:type="dxa"/>
            <w:noWrap/>
            <w:vAlign w:val="bottom"/>
            <w:hideMark/>
          </w:tcPr>
          <w:p w14:paraId="3CA7ECAE" w14:textId="1C7DD860" w:rsidR="00A03300" w:rsidRPr="00205C60" w:rsidRDefault="00A03300" w:rsidP="00A03300">
            <w:pPr>
              <w:jc w:val="center"/>
              <w:rPr>
                <w:rFonts w:ascii="Verdana" w:hAnsi="Verdana"/>
                <w:color w:val="000000"/>
                <w:sz w:val="22"/>
                <w:szCs w:val="22"/>
                <w:u w:val="single"/>
              </w:rPr>
            </w:pPr>
            <w:r w:rsidRPr="00205C60">
              <w:rPr>
                <w:rFonts w:ascii="Verdana" w:hAnsi="Verdana"/>
                <w:color w:val="000000"/>
                <w:sz w:val="22"/>
                <w:szCs w:val="22"/>
                <w:u w:val="single"/>
              </w:rPr>
              <w:t>Disminución</w:t>
            </w:r>
          </w:p>
        </w:tc>
        <w:tc>
          <w:tcPr>
            <w:tcW w:w="236" w:type="dxa"/>
            <w:noWrap/>
            <w:vAlign w:val="bottom"/>
            <w:hideMark/>
          </w:tcPr>
          <w:p w14:paraId="3CA7ECAF" w14:textId="77777777" w:rsidR="00A03300" w:rsidRPr="00205C60" w:rsidRDefault="00A03300" w:rsidP="00A03300">
            <w:pPr>
              <w:rPr>
                <w:rFonts w:ascii="Verdana" w:hAnsi="Verdana"/>
                <w:color w:val="000000"/>
                <w:sz w:val="22"/>
                <w:szCs w:val="22"/>
                <w:u w:val="single"/>
              </w:rPr>
            </w:pPr>
          </w:p>
        </w:tc>
        <w:tc>
          <w:tcPr>
            <w:tcW w:w="1555" w:type="dxa"/>
            <w:noWrap/>
            <w:vAlign w:val="bottom"/>
            <w:hideMark/>
          </w:tcPr>
          <w:p w14:paraId="3CA7ECB0" w14:textId="6CBD535A" w:rsidR="00A03300" w:rsidRPr="00205C60" w:rsidRDefault="00A03300" w:rsidP="00A03300">
            <w:pPr>
              <w:jc w:val="center"/>
              <w:rPr>
                <w:rFonts w:ascii="Verdana" w:hAnsi="Verdana"/>
                <w:color w:val="000000"/>
                <w:sz w:val="22"/>
                <w:szCs w:val="22"/>
                <w:u w:val="single"/>
              </w:rPr>
            </w:pPr>
            <w:r w:rsidRPr="00205C60">
              <w:rPr>
                <w:rFonts w:ascii="Verdana" w:hAnsi="Verdana"/>
                <w:color w:val="000000"/>
                <w:sz w:val="22"/>
                <w:szCs w:val="22"/>
                <w:u w:val="single"/>
              </w:rPr>
              <w:t>Aumento</w:t>
            </w:r>
          </w:p>
        </w:tc>
        <w:tc>
          <w:tcPr>
            <w:tcW w:w="222" w:type="dxa"/>
            <w:noWrap/>
            <w:vAlign w:val="bottom"/>
            <w:hideMark/>
          </w:tcPr>
          <w:p w14:paraId="3CA7ECB1" w14:textId="77777777" w:rsidR="00A03300" w:rsidRPr="00205C60" w:rsidRDefault="00A03300" w:rsidP="00A03300">
            <w:pPr>
              <w:rPr>
                <w:rFonts w:ascii="Verdana" w:hAnsi="Verdana"/>
                <w:color w:val="000000"/>
                <w:sz w:val="22"/>
                <w:szCs w:val="22"/>
                <w:u w:val="single"/>
              </w:rPr>
            </w:pPr>
          </w:p>
        </w:tc>
        <w:tc>
          <w:tcPr>
            <w:tcW w:w="1562" w:type="dxa"/>
            <w:noWrap/>
            <w:vAlign w:val="bottom"/>
            <w:hideMark/>
          </w:tcPr>
          <w:p w14:paraId="3CA7ECB2" w14:textId="71F91034" w:rsidR="00A03300" w:rsidRPr="00205C60" w:rsidRDefault="00A03300" w:rsidP="00A03300">
            <w:pPr>
              <w:jc w:val="center"/>
              <w:rPr>
                <w:rFonts w:ascii="Verdana" w:hAnsi="Verdana"/>
                <w:color w:val="000000"/>
                <w:sz w:val="22"/>
                <w:szCs w:val="22"/>
                <w:u w:val="single"/>
              </w:rPr>
            </w:pPr>
            <w:r w:rsidRPr="00205C60">
              <w:rPr>
                <w:rFonts w:ascii="Verdana" w:hAnsi="Verdana"/>
                <w:color w:val="000000"/>
                <w:sz w:val="22"/>
                <w:szCs w:val="22"/>
                <w:u w:val="single"/>
              </w:rPr>
              <w:t>Disminución</w:t>
            </w:r>
          </w:p>
        </w:tc>
      </w:tr>
      <w:tr w:rsidR="00A03300" w:rsidRPr="00205C60" w14:paraId="3CA7ECBD" w14:textId="77777777" w:rsidTr="005A208F">
        <w:trPr>
          <w:trHeight w:val="409"/>
        </w:trPr>
        <w:tc>
          <w:tcPr>
            <w:tcW w:w="3142" w:type="dxa"/>
            <w:noWrap/>
            <w:vAlign w:val="bottom"/>
            <w:hideMark/>
          </w:tcPr>
          <w:p w14:paraId="3CA7ECB4" w14:textId="5434E404" w:rsidR="00A03300" w:rsidRPr="00205C60" w:rsidRDefault="00A03300" w:rsidP="00A03300">
            <w:pPr>
              <w:rPr>
                <w:rFonts w:ascii="Verdana" w:hAnsi="Verdana"/>
                <w:color w:val="000000"/>
                <w:sz w:val="22"/>
                <w:szCs w:val="22"/>
              </w:rPr>
            </w:pPr>
            <w:r w:rsidRPr="00205C60">
              <w:rPr>
                <w:rFonts w:ascii="Verdana" w:hAnsi="Verdana"/>
                <w:color w:val="000000"/>
                <w:sz w:val="22"/>
                <w:szCs w:val="22"/>
              </w:rPr>
              <w:lastRenderedPageBreak/>
              <w:t>Instrumentos de tasa fija</w:t>
            </w:r>
          </w:p>
        </w:tc>
        <w:tc>
          <w:tcPr>
            <w:tcW w:w="356" w:type="dxa"/>
            <w:noWrap/>
            <w:vAlign w:val="bottom"/>
            <w:hideMark/>
          </w:tcPr>
          <w:p w14:paraId="3CA7ECB5" w14:textId="3438564C" w:rsidR="00A03300" w:rsidRPr="00205C60" w:rsidRDefault="00A03300" w:rsidP="00A03300">
            <w:pPr>
              <w:rPr>
                <w:rFonts w:ascii="Verdana" w:hAnsi="Verdana"/>
                <w:color w:val="000000"/>
                <w:sz w:val="22"/>
                <w:szCs w:val="22"/>
              </w:rPr>
            </w:pPr>
            <w:r w:rsidRPr="00205C60">
              <w:rPr>
                <w:rFonts w:ascii="Verdana" w:hAnsi="Verdana"/>
                <w:color w:val="000000"/>
                <w:sz w:val="22"/>
                <w:szCs w:val="22"/>
              </w:rPr>
              <w:t>¢</w:t>
            </w:r>
          </w:p>
        </w:tc>
        <w:tc>
          <w:tcPr>
            <w:tcW w:w="1555" w:type="dxa"/>
            <w:tcBorders>
              <w:top w:val="nil"/>
              <w:left w:val="nil"/>
              <w:bottom w:val="double" w:sz="6" w:space="0" w:color="auto"/>
              <w:right w:val="nil"/>
            </w:tcBorders>
            <w:noWrap/>
            <w:vAlign w:val="bottom"/>
          </w:tcPr>
          <w:p w14:paraId="3CA7ECB6" w14:textId="12189DBB" w:rsidR="00A03300" w:rsidRPr="00205C60" w:rsidRDefault="00A03300" w:rsidP="00A03300">
            <w:pPr>
              <w:jc w:val="right"/>
              <w:rPr>
                <w:rFonts w:ascii="Verdana" w:hAnsi="Verdana"/>
                <w:color w:val="000000"/>
                <w:sz w:val="22"/>
                <w:szCs w:val="22"/>
              </w:rPr>
            </w:pPr>
            <w:r w:rsidRPr="00205C60">
              <w:rPr>
                <w:rFonts w:ascii="Verdana" w:hAnsi="Verdana"/>
                <w:color w:val="000000"/>
                <w:sz w:val="22"/>
                <w:szCs w:val="22"/>
              </w:rPr>
              <w:t>(</w:t>
            </w:r>
            <w:r w:rsidR="00BA6AC0" w:rsidRPr="00205C60">
              <w:rPr>
                <w:rFonts w:ascii="Verdana" w:hAnsi="Verdana"/>
                <w:color w:val="000000"/>
                <w:sz w:val="22"/>
                <w:szCs w:val="22"/>
              </w:rPr>
              <w:t>201</w:t>
            </w:r>
            <w:r w:rsidRPr="00205C60">
              <w:rPr>
                <w:rFonts w:ascii="Verdana" w:hAnsi="Verdana"/>
                <w:color w:val="000000"/>
                <w:sz w:val="22"/>
                <w:szCs w:val="22"/>
              </w:rPr>
              <w:t>.386)</w:t>
            </w:r>
          </w:p>
        </w:tc>
        <w:tc>
          <w:tcPr>
            <w:tcW w:w="222" w:type="dxa"/>
            <w:noWrap/>
            <w:vAlign w:val="bottom"/>
          </w:tcPr>
          <w:p w14:paraId="3CA7ECB7" w14:textId="77777777" w:rsidR="00A03300" w:rsidRPr="00205C60" w:rsidRDefault="00A03300" w:rsidP="00A03300">
            <w:pPr>
              <w:jc w:val="right"/>
              <w:rPr>
                <w:rFonts w:ascii="Verdana" w:hAnsi="Verdana"/>
                <w:color w:val="000000"/>
                <w:sz w:val="22"/>
                <w:szCs w:val="22"/>
              </w:rPr>
            </w:pPr>
          </w:p>
        </w:tc>
        <w:tc>
          <w:tcPr>
            <w:tcW w:w="1562" w:type="dxa"/>
            <w:tcBorders>
              <w:top w:val="nil"/>
              <w:left w:val="nil"/>
              <w:bottom w:val="double" w:sz="6" w:space="0" w:color="auto"/>
              <w:right w:val="nil"/>
            </w:tcBorders>
            <w:noWrap/>
            <w:vAlign w:val="bottom"/>
          </w:tcPr>
          <w:p w14:paraId="3CA7ECB8" w14:textId="5DF567B3" w:rsidR="00A03300" w:rsidRPr="00205C60" w:rsidRDefault="00B50DF8" w:rsidP="00A03300">
            <w:pPr>
              <w:jc w:val="right"/>
              <w:rPr>
                <w:rFonts w:ascii="Verdana" w:hAnsi="Verdana"/>
                <w:color w:val="000000"/>
                <w:sz w:val="22"/>
                <w:szCs w:val="22"/>
              </w:rPr>
            </w:pPr>
            <w:r w:rsidRPr="00205C60">
              <w:rPr>
                <w:rFonts w:ascii="Verdana" w:hAnsi="Verdana"/>
                <w:color w:val="000000"/>
                <w:sz w:val="22"/>
                <w:szCs w:val="22"/>
              </w:rPr>
              <w:t>201</w:t>
            </w:r>
            <w:r w:rsidR="00A03300" w:rsidRPr="00205C60">
              <w:rPr>
                <w:rFonts w:ascii="Verdana" w:hAnsi="Verdana"/>
                <w:color w:val="000000"/>
                <w:sz w:val="22"/>
                <w:szCs w:val="22"/>
              </w:rPr>
              <w:t>.</w:t>
            </w:r>
            <w:r w:rsidRPr="00205C60">
              <w:rPr>
                <w:rFonts w:ascii="Verdana" w:hAnsi="Verdana"/>
                <w:color w:val="000000"/>
                <w:sz w:val="22"/>
                <w:szCs w:val="22"/>
              </w:rPr>
              <w:t>386</w:t>
            </w:r>
          </w:p>
        </w:tc>
        <w:tc>
          <w:tcPr>
            <w:tcW w:w="236" w:type="dxa"/>
            <w:noWrap/>
            <w:vAlign w:val="bottom"/>
          </w:tcPr>
          <w:p w14:paraId="3CA7ECB9" w14:textId="77777777" w:rsidR="00A03300" w:rsidRPr="00205C60" w:rsidRDefault="00A03300" w:rsidP="00A03300">
            <w:pPr>
              <w:jc w:val="right"/>
              <w:rPr>
                <w:rFonts w:ascii="Verdana" w:hAnsi="Verdana"/>
                <w:color w:val="000000"/>
                <w:sz w:val="22"/>
                <w:szCs w:val="22"/>
              </w:rPr>
            </w:pPr>
          </w:p>
        </w:tc>
        <w:tc>
          <w:tcPr>
            <w:tcW w:w="1555" w:type="dxa"/>
            <w:tcBorders>
              <w:top w:val="nil"/>
              <w:left w:val="nil"/>
              <w:bottom w:val="double" w:sz="6" w:space="0" w:color="auto"/>
              <w:right w:val="nil"/>
            </w:tcBorders>
            <w:noWrap/>
            <w:vAlign w:val="bottom"/>
          </w:tcPr>
          <w:p w14:paraId="3CA7ECBA" w14:textId="60408B65" w:rsidR="00A03300" w:rsidRPr="00205C60" w:rsidRDefault="00A03300" w:rsidP="00A03300">
            <w:pPr>
              <w:jc w:val="right"/>
              <w:rPr>
                <w:rFonts w:ascii="Verdana" w:hAnsi="Verdana"/>
                <w:color w:val="000000"/>
                <w:sz w:val="22"/>
                <w:szCs w:val="22"/>
              </w:rPr>
            </w:pPr>
            <w:r w:rsidRPr="00205C60">
              <w:rPr>
                <w:rFonts w:ascii="Verdana" w:hAnsi="Verdana"/>
                <w:color w:val="000000"/>
                <w:sz w:val="22"/>
                <w:szCs w:val="22"/>
              </w:rPr>
              <w:t>(</w:t>
            </w:r>
            <w:r w:rsidR="00B50DF8" w:rsidRPr="00205C60">
              <w:rPr>
                <w:rFonts w:ascii="Verdana" w:hAnsi="Verdana"/>
                <w:color w:val="000000"/>
                <w:sz w:val="22"/>
                <w:szCs w:val="22"/>
              </w:rPr>
              <w:t>201</w:t>
            </w:r>
            <w:r w:rsidRPr="00205C60">
              <w:rPr>
                <w:rFonts w:ascii="Verdana" w:hAnsi="Verdana"/>
                <w:color w:val="000000"/>
                <w:sz w:val="22"/>
                <w:szCs w:val="22"/>
              </w:rPr>
              <w:t>.</w:t>
            </w:r>
            <w:r w:rsidR="00B50DF8" w:rsidRPr="00205C60">
              <w:rPr>
                <w:rFonts w:ascii="Verdana" w:hAnsi="Verdana"/>
                <w:color w:val="000000"/>
                <w:sz w:val="22"/>
                <w:szCs w:val="22"/>
              </w:rPr>
              <w:t>386</w:t>
            </w:r>
            <w:r w:rsidRPr="00205C60">
              <w:rPr>
                <w:rFonts w:ascii="Verdana" w:hAnsi="Verdana"/>
                <w:color w:val="000000"/>
                <w:sz w:val="22"/>
                <w:szCs w:val="22"/>
              </w:rPr>
              <w:t>)</w:t>
            </w:r>
          </w:p>
        </w:tc>
        <w:tc>
          <w:tcPr>
            <w:tcW w:w="222" w:type="dxa"/>
            <w:noWrap/>
            <w:vAlign w:val="bottom"/>
          </w:tcPr>
          <w:p w14:paraId="3CA7ECBB" w14:textId="77777777" w:rsidR="00A03300" w:rsidRPr="00205C60" w:rsidRDefault="00A03300" w:rsidP="00A03300">
            <w:pPr>
              <w:jc w:val="right"/>
              <w:rPr>
                <w:rFonts w:ascii="Verdana" w:hAnsi="Verdana"/>
                <w:color w:val="000000"/>
                <w:sz w:val="22"/>
                <w:szCs w:val="22"/>
              </w:rPr>
            </w:pPr>
          </w:p>
        </w:tc>
        <w:tc>
          <w:tcPr>
            <w:tcW w:w="1562" w:type="dxa"/>
            <w:tcBorders>
              <w:top w:val="nil"/>
              <w:left w:val="nil"/>
              <w:bottom w:val="double" w:sz="6" w:space="0" w:color="auto"/>
              <w:right w:val="nil"/>
            </w:tcBorders>
            <w:noWrap/>
            <w:vAlign w:val="bottom"/>
          </w:tcPr>
          <w:p w14:paraId="3CA7ECBC" w14:textId="6F33BBF6" w:rsidR="00A03300" w:rsidRPr="00205C60" w:rsidRDefault="00B50DF8" w:rsidP="00A03300">
            <w:pPr>
              <w:jc w:val="right"/>
              <w:rPr>
                <w:rFonts w:ascii="Verdana" w:hAnsi="Verdana"/>
                <w:color w:val="000000"/>
                <w:sz w:val="22"/>
                <w:szCs w:val="22"/>
              </w:rPr>
            </w:pPr>
            <w:r w:rsidRPr="00205C60">
              <w:rPr>
                <w:rFonts w:ascii="Verdana" w:hAnsi="Verdana"/>
                <w:color w:val="000000"/>
                <w:sz w:val="22"/>
                <w:szCs w:val="22"/>
              </w:rPr>
              <w:t>(201</w:t>
            </w:r>
            <w:r w:rsidR="00A03300" w:rsidRPr="00205C60">
              <w:rPr>
                <w:rFonts w:ascii="Verdana" w:hAnsi="Verdana"/>
                <w:color w:val="000000"/>
                <w:sz w:val="22"/>
                <w:szCs w:val="22"/>
              </w:rPr>
              <w:t>.</w:t>
            </w:r>
            <w:r w:rsidRPr="00205C60">
              <w:rPr>
                <w:rFonts w:ascii="Verdana" w:hAnsi="Verdana"/>
                <w:color w:val="000000"/>
                <w:sz w:val="22"/>
                <w:szCs w:val="22"/>
              </w:rPr>
              <w:t>386)</w:t>
            </w:r>
          </w:p>
        </w:tc>
      </w:tr>
    </w:tbl>
    <w:p w14:paraId="3CA7ECBE" w14:textId="77777777" w:rsidR="00E042B6" w:rsidRPr="00205C60" w:rsidRDefault="00E042B6" w:rsidP="0098425F">
      <w:pPr>
        <w:pStyle w:val="Sangradetextonormal"/>
        <w:widowControl w:val="0"/>
        <w:tabs>
          <w:tab w:val="left" w:pos="7769"/>
        </w:tabs>
        <w:ind w:left="1440" w:hanging="720"/>
        <w:rPr>
          <w:rFonts w:ascii="Verdana" w:hAnsi="Verdana"/>
          <w:sz w:val="22"/>
          <w:szCs w:val="22"/>
        </w:rPr>
      </w:pPr>
    </w:p>
    <w:p w14:paraId="3CA7ECBF" w14:textId="77777777" w:rsidR="00E042B6" w:rsidRPr="00205C60" w:rsidRDefault="00E042B6" w:rsidP="0098425F">
      <w:pPr>
        <w:ind w:left="720"/>
        <w:rPr>
          <w:rFonts w:ascii="Verdana" w:hAnsi="Verdana"/>
          <w:i/>
          <w:sz w:val="22"/>
          <w:szCs w:val="22"/>
          <w:lang w:val="es-CR"/>
        </w:rPr>
      </w:pPr>
    </w:p>
    <w:p w14:paraId="3EAAE803" w14:textId="77777777" w:rsidR="00F66DA1" w:rsidRPr="00205C60" w:rsidRDefault="00F66DA1" w:rsidP="0098425F">
      <w:pPr>
        <w:ind w:left="720"/>
        <w:rPr>
          <w:rFonts w:ascii="Verdana" w:hAnsi="Verdana" w:cs="Arial"/>
          <w:b/>
          <w:i/>
          <w:sz w:val="22"/>
          <w:szCs w:val="22"/>
          <w:lang w:val="es-CR"/>
        </w:rPr>
      </w:pPr>
    </w:p>
    <w:p w14:paraId="5F277E44" w14:textId="77777777" w:rsidR="00F66DA1" w:rsidRPr="00205C60" w:rsidRDefault="00F66DA1" w:rsidP="0098425F">
      <w:pPr>
        <w:ind w:left="720"/>
        <w:rPr>
          <w:rFonts w:ascii="Verdana" w:hAnsi="Verdana" w:cs="Arial"/>
          <w:b/>
          <w:i/>
          <w:sz w:val="22"/>
          <w:szCs w:val="22"/>
          <w:lang w:val="es-CR"/>
        </w:rPr>
      </w:pPr>
    </w:p>
    <w:p w14:paraId="3E1E1501" w14:textId="77777777" w:rsidR="00F66DA1" w:rsidRPr="00205C60" w:rsidRDefault="00F66DA1" w:rsidP="0098425F">
      <w:pPr>
        <w:ind w:left="720"/>
        <w:rPr>
          <w:rFonts w:ascii="Verdana" w:hAnsi="Verdana" w:cs="Arial"/>
          <w:b/>
          <w:i/>
          <w:sz w:val="22"/>
          <w:szCs w:val="22"/>
          <w:lang w:val="es-CR"/>
        </w:rPr>
      </w:pPr>
    </w:p>
    <w:p w14:paraId="3CA7ECC0" w14:textId="0923D138" w:rsidR="0098425F" w:rsidRPr="00205C60" w:rsidRDefault="0098425F" w:rsidP="0098425F">
      <w:pPr>
        <w:ind w:left="720"/>
        <w:rPr>
          <w:rFonts w:ascii="Verdana" w:hAnsi="Verdana" w:cs="Arial"/>
          <w:b/>
          <w:i/>
          <w:sz w:val="22"/>
          <w:szCs w:val="22"/>
          <w:lang w:val="es-CR"/>
        </w:rPr>
      </w:pPr>
      <w:r w:rsidRPr="00205C60">
        <w:rPr>
          <w:rFonts w:ascii="Verdana" w:hAnsi="Verdana" w:cs="Arial"/>
          <w:b/>
          <w:i/>
          <w:sz w:val="22"/>
          <w:szCs w:val="22"/>
          <w:lang w:val="es-CR"/>
        </w:rPr>
        <w:t>Análisis de sensibilidad para instrumentos de tasa variable</w:t>
      </w:r>
    </w:p>
    <w:p w14:paraId="3CA7ECC1" w14:textId="77777777" w:rsidR="0098425F" w:rsidRPr="00205C60" w:rsidRDefault="0098425F" w:rsidP="0098425F">
      <w:pPr>
        <w:pStyle w:val="Sangradetextonormal"/>
        <w:widowControl w:val="0"/>
        <w:ind w:left="1440" w:hanging="720"/>
        <w:rPr>
          <w:rFonts w:ascii="Verdana" w:hAnsi="Verdana"/>
          <w:sz w:val="22"/>
          <w:szCs w:val="22"/>
        </w:rPr>
      </w:pPr>
    </w:p>
    <w:p w14:paraId="7511623F" w14:textId="247BE900" w:rsidR="00E57BD1" w:rsidRPr="00205C60" w:rsidRDefault="00E57BD1" w:rsidP="009D4ABC">
      <w:pPr>
        <w:pStyle w:val="Sangradetextonormal"/>
        <w:widowControl w:val="0"/>
        <w:jc w:val="both"/>
        <w:rPr>
          <w:rFonts w:ascii="Verdana" w:hAnsi="Verdana" w:cs="Arial"/>
          <w:b w:val="0"/>
          <w:color w:val="auto"/>
          <w:sz w:val="22"/>
          <w:szCs w:val="22"/>
        </w:rPr>
      </w:pPr>
      <w:r w:rsidRPr="00205C60">
        <w:rPr>
          <w:rFonts w:ascii="Verdana" w:hAnsi="Verdana" w:cs="Arial"/>
          <w:b w:val="0"/>
          <w:color w:val="auto"/>
          <w:sz w:val="22"/>
          <w:szCs w:val="22"/>
        </w:rPr>
        <w:t>Una variación de 1 punto porcentual en las tasas de interés a la fecha de reporte habría aumentado (disminuido) el patrimonio y el resultado en los montos mostrados en la tabla más adelante. Este análisis asume que todas las otras variables, en particular el tipo de cambio, se mantienen constantes.</w:t>
      </w:r>
    </w:p>
    <w:p w14:paraId="3CA7ECC3" w14:textId="77777777" w:rsidR="00E042B6" w:rsidRPr="00205C60" w:rsidRDefault="00E042B6" w:rsidP="00E042B6">
      <w:pPr>
        <w:pStyle w:val="Sangradetextonormal"/>
        <w:widowControl w:val="0"/>
        <w:ind w:left="1440" w:hanging="720"/>
        <w:rPr>
          <w:rFonts w:ascii="Verdana" w:hAnsi="Verdana"/>
          <w:sz w:val="22"/>
          <w:szCs w:val="22"/>
        </w:rPr>
      </w:pPr>
    </w:p>
    <w:tbl>
      <w:tblPr>
        <w:tblW w:w="9734" w:type="dxa"/>
        <w:tblInd w:w="-450" w:type="dxa"/>
        <w:tblLook w:val="04A0" w:firstRow="1" w:lastRow="0" w:firstColumn="1" w:lastColumn="0" w:noHBand="0" w:noVBand="1"/>
      </w:tblPr>
      <w:tblGrid>
        <w:gridCol w:w="3142"/>
        <w:gridCol w:w="356"/>
        <w:gridCol w:w="1356"/>
        <w:gridCol w:w="222"/>
        <w:gridCol w:w="1562"/>
        <w:gridCol w:w="236"/>
        <w:gridCol w:w="1356"/>
        <w:gridCol w:w="222"/>
        <w:gridCol w:w="1562"/>
      </w:tblGrid>
      <w:tr w:rsidR="00E042B6" w:rsidRPr="00205C60" w14:paraId="3CA7ECC9" w14:textId="77777777" w:rsidTr="00B1483C">
        <w:trPr>
          <w:trHeight w:val="255"/>
        </w:trPr>
        <w:tc>
          <w:tcPr>
            <w:tcW w:w="3142" w:type="dxa"/>
            <w:noWrap/>
            <w:vAlign w:val="bottom"/>
            <w:hideMark/>
          </w:tcPr>
          <w:p w14:paraId="3CA7ECC4" w14:textId="77777777" w:rsidR="00E042B6" w:rsidRPr="00205C60" w:rsidRDefault="00E042B6" w:rsidP="00B1483C">
            <w:pPr>
              <w:rPr>
                <w:rFonts w:ascii="Verdana" w:hAnsi="Verdana"/>
                <w:sz w:val="22"/>
                <w:szCs w:val="22"/>
                <w:lang w:val="es-CR"/>
              </w:rPr>
            </w:pPr>
          </w:p>
        </w:tc>
        <w:tc>
          <w:tcPr>
            <w:tcW w:w="336" w:type="dxa"/>
            <w:noWrap/>
            <w:vAlign w:val="bottom"/>
            <w:hideMark/>
          </w:tcPr>
          <w:p w14:paraId="3CA7ECC5" w14:textId="77777777" w:rsidR="00E042B6" w:rsidRPr="00205C60" w:rsidRDefault="00E042B6" w:rsidP="00B1483C">
            <w:pPr>
              <w:rPr>
                <w:rFonts w:ascii="Verdana" w:hAnsi="Verdana" w:cs="Calibri"/>
                <w:sz w:val="22"/>
                <w:szCs w:val="22"/>
              </w:rPr>
            </w:pPr>
          </w:p>
        </w:tc>
        <w:tc>
          <w:tcPr>
            <w:tcW w:w="3010" w:type="dxa"/>
            <w:gridSpan w:val="3"/>
            <w:noWrap/>
            <w:vAlign w:val="bottom"/>
            <w:hideMark/>
          </w:tcPr>
          <w:p w14:paraId="3CA7ECC6" w14:textId="77777777" w:rsidR="00E042B6" w:rsidRPr="00205C60" w:rsidRDefault="00E042B6" w:rsidP="00B1483C">
            <w:pPr>
              <w:jc w:val="center"/>
              <w:rPr>
                <w:rFonts w:ascii="Verdana" w:hAnsi="Verdana"/>
                <w:color w:val="000000"/>
                <w:sz w:val="22"/>
                <w:szCs w:val="22"/>
                <w:u w:val="single"/>
              </w:rPr>
            </w:pPr>
            <w:r w:rsidRPr="00205C60">
              <w:rPr>
                <w:rFonts w:ascii="Verdana" w:hAnsi="Verdana"/>
                <w:color w:val="000000"/>
                <w:sz w:val="22"/>
                <w:szCs w:val="22"/>
                <w:u w:val="single"/>
              </w:rPr>
              <w:t>Resultados</w:t>
            </w:r>
          </w:p>
        </w:tc>
        <w:tc>
          <w:tcPr>
            <w:tcW w:w="236" w:type="dxa"/>
            <w:noWrap/>
            <w:vAlign w:val="bottom"/>
            <w:hideMark/>
          </w:tcPr>
          <w:p w14:paraId="3CA7ECC7" w14:textId="77777777" w:rsidR="00E042B6" w:rsidRPr="00205C60" w:rsidRDefault="00E042B6" w:rsidP="00B1483C">
            <w:pPr>
              <w:rPr>
                <w:rFonts w:ascii="Verdana" w:hAnsi="Verdana"/>
                <w:color w:val="000000"/>
                <w:sz w:val="22"/>
                <w:szCs w:val="22"/>
                <w:u w:val="single"/>
              </w:rPr>
            </w:pPr>
          </w:p>
        </w:tc>
        <w:tc>
          <w:tcPr>
            <w:tcW w:w="3010" w:type="dxa"/>
            <w:gridSpan w:val="3"/>
            <w:noWrap/>
            <w:vAlign w:val="bottom"/>
            <w:hideMark/>
          </w:tcPr>
          <w:p w14:paraId="3CA7ECC8" w14:textId="77777777" w:rsidR="00E042B6" w:rsidRPr="00205C60" w:rsidRDefault="00E042B6" w:rsidP="00B1483C">
            <w:pPr>
              <w:jc w:val="center"/>
              <w:rPr>
                <w:rFonts w:ascii="Verdana" w:hAnsi="Verdana"/>
                <w:color w:val="000000"/>
                <w:sz w:val="22"/>
                <w:szCs w:val="22"/>
                <w:u w:val="single"/>
              </w:rPr>
            </w:pPr>
            <w:r w:rsidRPr="00205C60">
              <w:rPr>
                <w:rFonts w:ascii="Verdana" w:hAnsi="Verdana"/>
                <w:color w:val="000000"/>
                <w:sz w:val="22"/>
                <w:szCs w:val="22"/>
                <w:u w:val="single"/>
              </w:rPr>
              <w:t>Patrimonio, neto</w:t>
            </w:r>
          </w:p>
        </w:tc>
      </w:tr>
      <w:tr w:rsidR="00E042B6" w:rsidRPr="00205C60" w14:paraId="3CA7ECD3" w14:textId="77777777" w:rsidTr="00B1483C">
        <w:trPr>
          <w:trHeight w:val="255"/>
        </w:trPr>
        <w:tc>
          <w:tcPr>
            <w:tcW w:w="3142" w:type="dxa"/>
            <w:noWrap/>
            <w:vAlign w:val="bottom"/>
            <w:hideMark/>
          </w:tcPr>
          <w:p w14:paraId="3CA7ECCA" w14:textId="512743FC" w:rsidR="00E042B6" w:rsidRPr="00205C60" w:rsidRDefault="00E042B6" w:rsidP="00B1483C">
            <w:pPr>
              <w:rPr>
                <w:rFonts w:ascii="Verdana" w:hAnsi="Verdana"/>
                <w:color w:val="000000"/>
                <w:sz w:val="22"/>
                <w:szCs w:val="22"/>
                <w:u w:val="single"/>
              </w:rPr>
            </w:pPr>
            <w:r w:rsidRPr="00205C60">
              <w:rPr>
                <w:rFonts w:ascii="Verdana" w:hAnsi="Verdana"/>
                <w:color w:val="000000"/>
                <w:sz w:val="22"/>
                <w:szCs w:val="22"/>
                <w:u w:val="single"/>
              </w:rPr>
              <w:t>31 de diciembre del 202</w:t>
            </w:r>
            <w:r w:rsidR="009D7E68" w:rsidRPr="00205C60">
              <w:rPr>
                <w:rFonts w:ascii="Verdana" w:hAnsi="Verdana"/>
                <w:color w:val="000000"/>
                <w:sz w:val="22"/>
                <w:szCs w:val="22"/>
                <w:u w:val="single"/>
              </w:rPr>
              <w:t>2</w:t>
            </w:r>
          </w:p>
        </w:tc>
        <w:tc>
          <w:tcPr>
            <w:tcW w:w="336" w:type="dxa"/>
            <w:noWrap/>
            <w:vAlign w:val="bottom"/>
            <w:hideMark/>
          </w:tcPr>
          <w:p w14:paraId="3CA7ECCB" w14:textId="77777777" w:rsidR="00E042B6" w:rsidRPr="00205C60" w:rsidRDefault="00E042B6" w:rsidP="00B1483C">
            <w:pPr>
              <w:rPr>
                <w:rFonts w:ascii="Verdana" w:hAnsi="Verdana"/>
                <w:color w:val="000000"/>
                <w:sz w:val="22"/>
                <w:szCs w:val="22"/>
                <w:u w:val="single"/>
              </w:rPr>
            </w:pPr>
          </w:p>
        </w:tc>
        <w:tc>
          <w:tcPr>
            <w:tcW w:w="1332" w:type="dxa"/>
            <w:noWrap/>
            <w:vAlign w:val="bottom"/>
            <w:hideMark/>
          </w:tcPr>
          <w:p w14:paraId="3CA7ECCC" w14:textId="77777777" w:rsidR="00E042B6" w:rsidRPr="00205C60" w:rsidRDefault="00E042B6" w:rsidP="00B1483C">
            <w:pPr>
              <w:jc w:val="center"/>
              <w:rPr>
                <w:rFonts w:ascii="Verdana" w:hAnsi="Verdana"/>
                <w:color w:val="000000"/>
                <w:sz w:val="22"/>
                <w:szCs w:val="22"/>
                <w:u w:val="single"/>
              </w:rPr>
            </w:pPr>
            <w:r w:rsidRPr="00205C60">
              <w:rPr>
                <w:rFonts w:ascii="Verdana" w:hAnsi="Verdana"/>
                <w:color w:val="000000"/>
                <w:sz w:val="22"/>
                <w:szCs w:val="22"/>
                <w:u w:val="single"/>
              </w:rPr>
              <w:t>Aumento</w:t>
            </w:r>
          </w:p>
        </w:tc>
        <w:tc>
          <w:tcPr>
            <w:tcW w:w="222" w:type="dxa"/>
            <w:noWrap/>
            <w:vAlign w:val="bottom"/>
            <w:hideMark/>
          </w:tcPr>
          <w:p w14:paraId="3CA7ECCD" w14:textId="77777777" w:rsidR="00E042B6" w:rsidRPr="00205C60" w:rsidRDefault="00E042B6" w:rsidP="00B1483C">
            <w:pPr>
              <w:rPr>
                <w:rFonts w:ascii="Verdana" w:hAnsi="Verdana"/>
                <w:color w:val="000000"/>
                <w:sz w:val="22"/>
                <w:szCs w:val="22"/>
                <w:u w:val="single"/>
              </w:rPr>
            </w:pPr>
          </w:p>
        </w:tc>
        <w:tc>
          <w:tcPr>
            <w:tcW w:w="1456" w:type="dxa"/>
            <w:noWrap/>
            <w:vAlign w:val="bottom"/>
            <w:hideMark/>
          </w:tcPr>
          <w:p w14:paraId="3CA7ECCE" w14:textId="77777777" w:rsidR="00E042B6" w:rsidRPr="00205C60" w:rsidRDefault="00E042B6" w:rsidP="00B1483C">
            <w:pPr>
              <w:jc w:val="center"/>
              <w:rPr>
                <w:rFonts w:ascii="Verdana" w:hAnsi="Verdana"/>
                <w:color w:val="000000"/>
                <w:sz w:val="22"/>
                <w:szCs w:val="22"/>
                <w:u w:val="single"/>
              </w:rPr>
            </w:pPr>
            <w:r w:rsidRPr="00205C60">
              <w:rPr>
                <w:rFonts w:ascii="Verdana" w:hAnsi="Verdana"/>
                <w:color w:val="000000"/>
                <w:sz w:val="22"/>
                <w:szCs w:val="22"/>
                <w:u w:val="single"/>
              </w:rPr>
              <w:t>Disminución</w:t>
            </w:r>
          </w:p>
        </w:tc>
        <w:tc>
          <w:tcPr>
            <w:tcW w:w="236" w:type="dxa"/>
            <w:noWrap/>
            <w:vAlign w:val="bottom"/>
            <w:hideMark/>
          </w:tcPr>
          <w:p w14:paraId="3CA7ECCF" w14:textId="77777777" w:rsidR="00E042B6" w:rsidRPr="00205C60" w:rsidRDefault="00E042B6" w:rsidP="00B1483C">
            <w:pPr>
              <w:rPr>
                <w:rFonts w:ascii="Verdana" w:hAnsi="Verdana"/>
                <w:color w:val="000000"/>
                <w:sz w:val="22"/>
                <w:szCs w:val="22"/>
                <w:u w:val="single"/>
              </w:rPr>
            </w:pPr>
          </w:p>
        </w:tc>
        <w:tc>
          <w:tcPr>
            <w:tcW w:w="1332" w:type="dxa"/>
            <w:noWrap/>
            <w:vAlign w:val="bottom"/>
            <w:hideMark/>
          </w:tcPr>
          <w:p w14:paraId="3CA7ECD0" w14:textId="77777777" w:rsidR="00E042B6" w:rsidRPr="00205C60" w:rsidRDefault="00E042B6" w:rsidP="00B1483C">
            <w:pPr>
              <w:jc w:val="center"/>
              <w:rPr>
                <w:rFonts w:ascii="Verdana" w:hAnsi="Verdana"/>
                <w:color w:val="000000"/>
                <w:sz w:val="22"/>
                <w:szCs w:val="22"/>
                <w:u w:val="single"/>
              </w:rPr>
            </w:pPr>
            <w:r w:rsidRPr="00205C60">
              <w:rPr>
                <w:rFonts w:ascii="Verdana" w:hAnsi="Verdana"/>
                <w:color w:val="000000"/>
                <w:sz w:val="22"/>
                <w:szCs w:val="22"/>
                <w:u w:val="single"/>
              </w:rPr>
              <w:t>Aumento</w:t>
            </w:r>
          </w:p>
        </w:tc>
        <w:tc>
          <w:tcPr>
            <w:tcW w:w="222" w:type="dxa"/>
            <w:noWrap/>
            <w:vAlign w:val="bottom"/>
            <w:hideMark/>
          </w:tcPr>
          <w:p w14:paraId="3CA7ECD1" w14:textId="77777777" w:rsidR="00E042B6" w:rsidRPr="00205C60" w:rsidRDefault="00E042B6" w:rsidP="00B1483C">
            <w:pPr>
              <w:rPr>
                <w:rFonts w:ascii="Verdana" w:hAnsi="Verdana"/>
                <w:color w:val="000000"/>
                <w:sz w:val="22"/>
                <w:szCs w:val="22"/>
                <w:u w:val="single"/>
              </w:rPr>
            </w:pPr>
          </w:p>
        </w:tc>
        <w:tc>
          <w:tcPr>
            <w:tcW w:w="1456" w:type="dxa"/>
            <w:noWrap/>
            <w:vAlign w:val="bottom"/>
            <w:hideMark/>
          </w:tcPr>
          <w:p w14:paraId="3CA7ECD2" w14:textId="77777777" w:rsidR="00E042B6" w:rsidRPr="00205C60" w:rsidRDefault="00E042B6" w:rsidP="00B1483C">
            <w:pPr>
              <w:jc w:val="center"/>
              <w:rPr>
                <w:rFonts w:ascii="Verdana" w:hAnsi="Verdana"/>
                <w:color w:val="000000"/>
                <w:sz w:val="22"/>
                <w:szCs w:val="22"/>
                <w:u w:val="single"/>
              </w:rPr>
            </w:pPr>
            <w:r w:rsidRPr="00205C60">
              <w:rPr>
                <w:rFonts w:ascii="Verdana" w:hAnsi="Verdana"/>
                <w:color w:val="000000"/>
                <w:sz w:val="22"/>
                <w:szCs w:val="22"/>
                <w:u w:val="single"/>
              </w:rPr>
              <w:t>Disminución</w:t>
            </w:r>
          </w:p>
        </w:tc>
      </w:tr>
      <w:tr w:rsidR="00E042B6" w:rsidRPr="00205C60" w14:paraId="3CA7ECDD" w14:textId="77777777" w:rsidTr="00B1483C">
        <w:trPr>
          <w:trHeight w:val="270"/>
        </w:trPr>
        <w:tc>
          <w:tcPr>
            <w:tcW w:w="3142" w:type="dxa"/>
            <w:noWrap/>
            <w:vAlign w:val="bottom"/>
            <w:hideMark/>
          </w:tcPr>
          <w:p w14:paraId="3CA7ECD4" w14:textId="77777777" w:rsidR="00E042B6" w:rsidRPr="00205C60" w:rsidRDefault="00E042B6" w:rsidP="00B1483C">
            <w:pPr>
              <w:rPr>
                <w:rFonts w:ascii="Verdana" w:hAnsi="Verdana"/>
                <w:color w:val="000000"/>
                <w:sz w:val="22"/>
                <w:szCs w:val="22"/>
              </w:rPr>
            </w:pPr>
            <w:r w:rsidRPr="00205C60">
              <w:rPr>
                <w:rFonts w:ascii="Verdana" w:hAnsi="Verdana"/>
                <w:color w:val="000000"/>
                <w:sz w:val="22"/>
                <w:szCs w:val="22"/>
              </w:rPr>
              <w:t>Instrumentos de tasa variable</w:t>
            </w:r>
          </w:p>
        </w:tc>
        <w:tc>
          <w:tcPr>
            <w:tcW w:w="336" w:type="dxa"/>
            <w:noWrap/>
            <w:vAlign w:val="bottom"/>
            <w:hideMark/>
          </w:tcPr>
          <w:p w14:paraId="3CA7ECD5" w14:textId="77777777" w:rsidR="00E042B6" w:rsidRPr="00205C60" w:rsidRDefault="00E042B6" w:rsidP="00B1483C">
            <w:pPr>
              <w:rPr>
                <w:rFonts w:ascii="Verdana" w:hAnsi="Verdana"/>
                <w:color w:val="000000"/>
                <w:sz w:val="22"/>
                <w:szCs w:val="22"/>
              </w:rPr>
            </w:pPr>
            <w:r w:rsidRPr="00205C60">
              <w:rPr>
                <w:rFonts w:ascii="Verdana" w:hAnsi="Verdana"/>
                <w:color w:val="000000"/>
                <w:sz w:val="22"/>
                <w:szCs w:val="22"/>
              </w:rPr>
              <w:t>¢</w:t>
            </w:r>
          </w:p>
        </w:tc>
        <w:tc>
          <w:tcPr>
            <w:tcW w:w="1332" w:type="dxa"/>
            <w:tcBorders>
              <w:top w:val="nil"/>
              <w:left w:val="nil"/>
              <w:bottom w:val="double" w:sz="6" w:space="0" w:color="auto"/>
              <w:right w:val="nil"/>
            </w:tcBorders>
            <w:noWrap/>
            <w:vAlign w:val="bottom"/>
          </w:tcPr>
          <w:p w14:paraId="3CA7ECD6" w14:textId="066C6C84" w:rsidR="00E042B6" w:rsidRPr="00205C60" w:rsidRDefault="00C16D94" w:rsidP="00B1483C">
            <w:pPr>
              <w:jc w:val="right"/>
              <w:rPr>
                <w:rFonts w:ascii="Verdana" w:hAnsi="Verdana"/>
                <w:color w:val="000000"/>
                <w:sz w:val="22"/>
                <w:szCs w:val="22"/>
              </w:rPr>
            </w:pPr>
            <w:r w:rsidRPr="00205C60">
              <w:rPr>
                <w:rFonts w:ascii="Verdana" w:hAnsi="Verdana"/>
                <w:color w:val="000000"/>
                <w:sz w:val="22"/>
                <w:szCs w:val="22"/>
              </w:rPr>
              <w:t>1.</w:t>
            </w:r>
            <w:r w:rsidR="009D7E68" w:rsidRPr="00205C60">
              <w:rPr>
                <w:rFonts w:ascii="Verdana" w:hAnsi="Verdana"/>
                <w:color w:val="000000"/>
                <w:sz w:val="22"/>
                <w:szCs w:val="22"/>
              </w:rPr>
              <w:t>335</w:t>
            </w:r>
            <w:r w:rsidRPr="00205C60">
              <w:rPr>
                <w:rFonts w:ascii="Verdana" w:hAnsi="Verdana"/>
                <w:color w:val="000000"/>
                <w:sz w:val="22"/>
                <w:szCs w:val="22"/>
              </w:rPr>
              <w:t>.</w:t>
            </w:r>
            <w:r w:rsidR="009D7E68" w:rsidRPr="00205C60">
              <w:rPr>
                <w:rFonts w:ascii="Verdana" w:hAnsi="Verdana"/>
                <w:color w:val="000000"/>
                <w:sz w:val="22"/>
                <w:szCs w:val="22"/>
              </w:rPr>
              <w:t>239</w:t>
            </w:r>
          </w:p>
        </w:tc>
        <w:tc>
          <w:tcPr>
            <w:tcW w:w="222" w:type="dxa"/>
            <w:noWrap/>
            <w:vAlign w:val="bottom"/>
          </w:tcPr>
          <w:p w14:paraId="3CA7ECD7" w14:textId="77777777" w:rsidR="00E042B6" w:rsidRPr="00205C60" w:rsidRDefault="00E042B6" w:rsidP="00B1483C">
            <w:pPr>
              <w:jc w:val="right"/>
              <w:rPr>
                <w:rFonts w:ascii="Verdana" w:hAnsi="Verdana"/>
                <w:color w:val="000000"/>
                <w:sz w:val="22"/>
                <w:szCs w:val="22"/>
              </w:rPr>
            </w:pPr>
          </w:p>
        </w:tc>
        <w:tc>
          <w:tcPr>
            <w:tcW w:w="1456" w:type="dxa"/>
            <w:tcBorders>
              <w:top w:val="nil"/>
              <w:left w:val="nil"/>
              <w:bottom w:val="double" w:sz="6" w:space="0" w:color="auto"/>
              <w:right w:val="nil"/>
            </w:tcBorders>
            <w:noWrap/>
            <w:vAlign w:val="bottom"/>
          </w:tcPr>
          <w:p w14:paraId="3CA7ECD8" w14:textId="118DB00B" w:rsidR="00E042B6" w:rsidRPr="00205C60" w:rsidRDefault="00E042B6" w:rsidP="00B1483C">
            <w:pPr>
              <w:jc w:val="right"/>
              <w:rPr>
                <w:rFonts w:ascii="Verdana" w:hAnsi="Verdana"/>
                <w:color w:val="000000"/>
                <w:sz w:val="22"/>
                <w:szCs w:val="22"/>
              </w:rPr>
            </w:pPr>
            <w:r w:rsidRPr="00205C60">
              <w:rPr>
                <w:rFonts w:ascii="Verdana" w:hAnsi="Verdana"/>
                <w:color w:val="000000"/>
                <w:sz w:val="22"/>
                <w:szCs w:val="22"/>
              </w:rPr>
              <w:t>(</w:t>
            </w:r>
            <w:r w:rsidR="00C16D94" w:rsidRPr="00205C60">
              <w:rPr>
                <w:rFonts w:ascii="Verdana" w:hAnsi="Verdana"/>
                <w:color w:val="000000"/>
                <w:sz w:val="22"/>
                <w:szCs w:val="22"/>
              </w:rPr>
              <w:t>1.</w:t>
            </w:r>
            <w:r w:rsidR="009D7E68" w:rsidRPr="00205C60">
              <w:rPr>
                <w:rFonts w:ascii="Verdana" w:hAnsi="Verdana"/>
                <w:color w:val="000000"/>
                <w:sz w:val="22"/>
                <w:szCs w:val="22"/>
              </w:rPr>
              <w:t>335</w:t>
            </w:r>
            <w:r w:rsidR="00C16D94" w:rsidRPr="00205C60">
              <w:rPr>
                <w:rFonts w:ascii="Verdana" w:hAnsi="Verdana"/>
                <w:color w:val="000000"/>
                <w:sz w:val="22"/>
                <w:szCs w:val="22"/>
              </w:rPr>
              <w:t>.</w:t>
            </w:r>
            <w:r w:rsidR="009D7E68" w:rsidRPr="00205C60">
              <w:rPr>
                <w:rFonts w:ascii="Verdana" w:hAnsi="Verdana"/>
                <w:color w:val="000000"/>
                <w:sz w:val="22"/>
                <w:szCs w:val="22"/>
              </w:rPr>
              <w:t>239</w:t>
            </w:r>
            <w:r w:rsidRPr="00205C60">
              <w:rPr>
                <w:rFonts w:ascii="Verdana" w:hAnsi="Verdana"/>
                <w:color w:val="000000"/>
                <w:sz w:val="22"/>
                <w:szCs w:val="22"/>
              </w:rPr>
              <w:t>)</w:t>
            </w:r>
          </w:p>
        </w:tc>
        <w:tc>
          <w:tcPr>
            <w:tcW w:w="236" w:type="dxa"/>
            <w:noWrap/>
            <w:vAlign w:val="bottom"/>
          </w:tcPr>
          <w:p w14:paraId="3CA7ECD9" w14:textId="77777777" w:rsidR="00E042B6" w:rsidRPr="00205C60" w:rsidRDefault="00E042B6" w:rsidP="00B1483C">
            <w:pPr>
              <w:jc w:val="right"/>
              <w:rPr>
                <w:rFonts w:ascii="Verdana" w:hAnsi="Verdana"/>
                <w:color w:val="000000"/>
                <w:sz w:val="22"/>
                <w:szCs w:val="22"/>
              </w:rPr>
            </w:pPr>
          </w:p>
        </w:tc>
        <w:tc>
          <w:tcPr>
            <w:tcW w:w="1332" w:type="dxa"/>
            <w:tcBorders>
              <w:top w:val="nil"/>
              <w:left w:val="nil"/>
              <w:bottom w:val="double" w:sz="6" w:space="0" w:color="auto"/>
              <w:right w:val="nil"/>
            </w:tcBorders>
            <w:noWrap/>
            <w:vAlign w:val="bottom"/>
          </w:tcPr>
          <w:p w14:paraId="3CA7ECDA" w14:textId="3B633708" w:rsidR="00E042B6" w:rsidRPr="00205C60" w:rsidRDefault="00C16D94" w:rsidP="00B1483C">
            <w:pPr>
              <w:jc w:val="right"/>
              <w:rPr>
                <w:rFonts w:ascii="Verdana" w:hAnsi="Verdana"/>
                <w:color w:val="000000"/>
                <w:sz w:val="22"/>
                <w:szCs w:val="22"/>
              </w:rPr>
            </w:pPr>
            <w:r w:rsidRPr="00205C60">
              <w:rPr>
                <w:rFonts w:ascii="Verdana" w:hAnsi="Verdana"/>
                <w:color w:val="000000"/>
                <w:sz w:val="22"/>
                <w:szCs w:val="22"/>
              </w:rPr>
              <w:t>1.</w:t>
            </w:r>
            <w:r w:rsidR="009D7E68" w:rsidRPr="00205C60">
              <w:rPr>
                <w:rFonts w:ascii="Verdana" w:hAnsi="Verdana"/>
                <w:color w:val="000000"/>
                <w:sz w:val="22"/>
                <w:szCs w:val="22"/>
              </w:rPr>
              <w:t>335</w:t>
            </w:r>
            <w:r w:rsidRPr="00205C60">
              <w:rPr>
                <w:rFonts w:ascii="Verdana" w:hAnsi="Verdana"/>
                <w:color w:val="000000"/>
                <w:sz w:val="22"/>
                <w:szCs w:val="22"/>
              </w:rPr>
              <w:t>.</w:t>
            </w:r>
            <w:r w:rsidR="009D7E68" w:rsidRPr="00205C60">
              <w:rPr>
                <w:rFonts w:ascii="Verdana" w:hAnsi="Verdana"/>
                <w:color w:val="000000"/>
                <w:sz w:val="22"/>
                <w:szCs w:val="22"/>
              </w:rPr>
              <w:t>239</w:t>
            </w:r>
          </w:p>
        </w:tc>
        <w:tc>
          <w:tcPr>
            <w:tcW w:w="222" w:type="dxa"/>
            <w:noWrap/>
            <w:vAlign w:val="bottom"/>
          </w:tcPr>
          <w:p w14:paraId="3CA7ECDB" w14:textId="77777777" w:rsidR="00E042B6" w:rsidRPr="00205C60" w:rsidRDefault="00E042B6" w:rsidP="00B1483C">
            <w:pPr>
              <w:jc w:val="right"/>
              <w:rPr>
                <w:rFonts w:ascii="Verdana" w:hAnsi="Verdana"/>
                <w:color w:val="000000"/>
                <w:sz w:val="22"/>
                <w:szCs w:val="22"/>
              </w:rPr>
            </w:pPr>
          </w:p>
        </w:tc>
        <w:tc>
          <w:tcPr>
            <w:tcW w:w="1456" w:type="dxa"/>
            <w:tcBorders>
              <w:top w:val="nil"/>
              <w:left w:val="nil"/>
              <w:bottom w:val="double" w:sz="6" w:space="0" w:color="auto"/>
              <w:right w:val="nil"/>
            </w:tcBorders>
            <w:noWrap/>
            <w:vAlign w:val="bottom"/>
          </w:tcPr>
          <w:p w14:paraId="3CA7ECDC" w14:textId="665C918E" w:rsidR="00E042B6" w:rsidRPr="00205C60" w:rsidRDefault="00E042B6" w:rsidP="00B1483C">
            <w:pPr>
              <w:jc w:val="right"/>
              <w:rPr>
                <w:rFonts w:ascii="Verdana" w:hAnsi="Verdana"/>
                <w:color w:val="000000"/>
                <w:sz w:val="22"/>
                <w:szCs w:val="22"/>
              </w:rPr>
            </w:pPr>
            <w:r w:rsidRPr="00205C60">
              <w:rPr>
                <w:rFonts w:ascii="Verdana" w:hAnsi="Verdana"/>
                <w:color w:val="000000"/>
                <w:sz w:val="22"/>
                <w:szCs w:val="22"/>
              </w:rPr>
              <w:t>(</w:t>
            </w:r>
            <w:r w:rsidR="00C16D94" w:rsidRPr="00205C60">
              <w:rPr>
                <w:rFonts w:ascii="Verdana" w:hAnsi="Verdana"/>
                <w:color w:val="000000"/>
                <w:sz w:val="22"/>
                <w:szCs w:val="22"/>
              </w:rPr>
              <w:t>1.</w:t>
            </w:r>
            <w:r w:rsidR="009D7E68" w:rsidRPr="00205C60">
              <w:rPr>
                <w:rFonts w:ascii="Verdana" w:hAnsi="Verdana"/>
                <w:color w:val="000000"/>
                <w:sz w:val="22"/>
                <w:szCs w:val="22"/>
              </w:rPr>
              <w:t>335</w:t>
            </w:r>
            <w:r w:rsidR="00C16D94" w:rsidRPr="00205C60">
              <w:rPr>
                <w:rFonts w:ascii="Verdana" w:hAnsi="Verdana"/>
                <w:color w:val="000000"/>
                <w:sz w:val="22"/>
                <w:szCs w:val="22"/>
              </w:rPr>
              <w:t>.</w:t>
            </w:r>
            <w:r w:rsidR="009D7E68" w:rsidRPr="00205C60">
              <w:rPr>
                <w:rFonts w:ascii="Verdana" w:hAnsi="Verdana"/>
                <w:color w:val="000000"/>
                <w:sz w:val="22"/>
                <w:szCs w:val="22"/>
              </w:rPr>
              <w:t>239</w:t>
            </w:r>
            <w:r w:rsidRPr="00205C60">
              <w:rPr>
                <w:rFonts w:ascii="Verdana" w:hAnsi="Verdana"/>
                <w:color w:val="000000"/>
                <w:sz w:val="22"/>
                <w:szCs w:val="22"/>
              </w:rPr>
              <w:t>)</w:t>
            </w:r>
          </w:p>
        </w:tc>
      </w:tr>
      <w:tr w:rsidR="00E042B6" w:rsidRPr="00205C60" w14:paraId="3CA7ECE3" w14:textId="77777777" w:rsidTr="00B1483C">
        <w:trPr>
          <w:trHeight w:val="255"/>
        </w:trPr>
        <w:tc>
          <w:tcPr>
            <w:tcW w:w="3142" w:type="dxa"/>
            <w:noWrap/>
            <w:vAlign w:val="bottom"/>
            <w:hideMark/>
          </w:tcPr>
          <w:p w14:paraId="3CA7ECDE" w14:textId="77777777" w:rsidR="00E042B6" w:rsidRPr="00205C60" w:rsidRDefault="00E042B6" w:rsidP="00B1483C">
            <w:pPr>
              <w:rPr>
                <w:rFonts w:ascii="Verdana" w:hAnsi="Verdana"/>
                <w:color w:val="000000"/>
                <w:sz w:val="22"/>
                <w:szCs w:val="22"/>
              </w:rPr>
            </w:pPr>
          </w:p>
        </w:tc>
        <w:tc>
          <w:tcPr>
            <w:tcW w:w="336" w:type="dxa"/>
            <w:noWrap/>
            <w:vAlign w:val="bottom"/>
            <w:hideMark/>
          </w:tcPr>
          <w:p w14:paraId="3CA7ECDF" w14:textId="77777777" w:rsidR="00E042B6" w:rsidRPr="00205C60" w:rsidRDefault="00E042B6" w:rsidP="00B1483C">
            <w:pPr>
              <w:rPr>
                <w:rFonts w:ascii="Verdana" w:hAnsi="Verdana" w:cs="Calibri"/>
                <w:sz w:val="22"/>
                <w:szCs w:val="22"/>
              </w:rPr>
            </w:pPr>
          </w:p>
        </w:tc>
        <w:tc>
          <w:tcPr>
            <w:tcW w:w="3010" w:type="dxa"/>
            <w:gridSpan w:val="3"/>
            <w:noWrap/>
            <w:vAlign w:val="bottom"/>
            <w:hideMark/>
          </w:tcPr>
          <w:p w14:paraId="3CA7ECE0" w14:textId="77777777" w:rsidR="00E042B6" w:rsidRPr="00205C60" w:rsidRDefault="00E042B6" w:rsidP="00B1483C">
            <w:pPr>
              <w:rPr>
                <w:rFonts w:ascii="Verdana" w:hAnsi="Verdana" w:cs="Calibri"/>
                <w:sz w:val="22"/>
                <w:szCs w:val="22"/>
              </w:rPr>
            </w:pPr>
          </w:p>
        </w:tc>
        <w:tc>
          <w:tcPr>
            <w:tcW w:w="236" w:type="dxa"/>
            <w:noWrap/>
            <w:vAlign w:val="bottom"/>
            <w:hideMark/>
          </w:tcPr>
          <w:p w14:paraId="3CA7ECE1" w14:textId="77777777" w:rsidR="00E042B6" w:rsidRPr="00205C60" w:rsidRDefault="00E042B6" w:rsidP="00B1483C">
            <w:pPr>
              <w:rPr>
                <w:rFonts w:ascii="Verdana" w:hAnsi="Verdana" w:cs="Calibri"/>
                <w:sz w:val="22"/>
                <w:szCs w:val="22"/>
              </w:rPr>
            </w:pPr>
          </w:p>
        </w:tc>
        <w:tc>
          <w:tcPr>
            <w:tcW w:w="3010" w:type="dxa"/>
            <w:gridSpan w:val="3"/>
            <w:noWrap/>
            <w:vAlign w:val="bottom"/>
            <w:hideMark/>
          </w:tcPr>
          <w:p w14:paraId="3CA7ECE2" w14:textId="77777777" w:rsidR="00E042B6" w:rsidRPr="00205C60" w:rsidRDefault="00E042B6" w:rsidP="00B1483C">
            <w:pPr>
              <w:rPr>
                <w:rFonts w:ascii="Verdana" w:hAnsi="Verdana" w:cs="Calibri"/>
                <w:sz w:val="22"/>
                <w:szCs w:val="22"/>
              </w:rPr>
            </w:pPr>
          </w:p>
        </w:tc>
      </w:tr>
      <w:tr w:rsidR="00E042B6" w:rsidRPr="00205C60" w14:paraId="3CA7ECE9" w14:textId="77777777" w:rsidTr="00B1483C">
        <w:trPr>
          <w:trHeight w:val="255"/>
        </w:trPr>
        <w:tc>
          <w:tcPr>
            <w:tcW w:w="3142" w:type="dxa"/>
            <w:noWrap/>
            <w:vAlign w:val="bottom"/>
            <w:hideMark/>
          </w:tcPr>
          <w:p w14:paraId="3CA7ECE4" w14:textId="77777777" w:rsidR="00E042B6" w:rsidRPr="00205C60" w:rsidRDefault="00E042B6" w:rsidP="00B1483C">
            <w:pPr>
              <w:rPr>
                <w:rFonts w:ascii="Verdana" w:hAnsi="Verdana" w:cs="Calibri"/>
                <w:sz w:val="22"/>
                <w:szCs w:val="22"/>
              </w:rPr>
            </w:pPr>
          </w:p>
        </w:tc>
        <w:tc>
          <w:tcPr>
            <w:tcW w:w="336" w:type="dxa"/>
            <w:noWrap/>
            <w:vAlign w:val="bottom"/>
            <w:hideMark/>
          </w:tcPr>
          <w:p w14:paraId="3CA7ECE5" w14:textId="77777777" w:rsidR="00E042B6" w:rsidRPr="00205C60" w:rsidRDefault="00E042B6" w:rsidP="00B1483C">
            <w:pPr>
              <w:rPr>
                <w:rFonts w:ascii="Verdana" w:hAnsi="Verdana" w:cs="Calibri"/>
                <w:sz w:val="22"/>
                <w:szCs w:val="22"/>
              </w:rPr>
            </w:pPr>
          </w:p>
        </w:tc>
        <w:tc>
          <w:tcPr>
            <w:tcW w:w="3010" w:type="dxa"/>
            <w:gridSpan w:val="3"/>
            <w:noWrap/>
            <w:vAlign w:val="bottom"/>
            <w:hideMark/>
          </w:tcPr>
          <w:p w14:paraId="3CA7ECE6" w14:textId="77777777" w:rsidR="00E042B6" w:rsidRPr="00205C60" w:rsidRDefault="00E042B6" w:rsidP="00B1483C">
            <w:pPr>
              <w:jc w:val="center"/>
              <w:rPr>
                <w:rFonts w:ascii="Verdana" w:hAnsi="Verdana"/>
                <w:color w:val="000000"/>
                <w:sz w:val="22"/>
                <w:szCs w:val="22"/>
                <w:u w:val="single"/>
              </w:rPr>
            </w:pPr>
            <w:r w:rsidRPr="00205C60">
              <w:rPr>
                <w:rFonts w:ascii="Verdana" w:hAnsi="Verdana"/>
                <w:color w:val="000000"/>
                <w:sz w:val="22"/>
                <w:szCs w:val="22"/>
                <w:u w:val="single"/>
              </w:rPr>
              <w:t>Resultados</w:t>
            </w:r>
          </w:p>
        </w:tc>
        <w:tc>
          <w:tcPr>
            <w:tcW w:w="236" w:type="dxa"/>
            <w:noWrap/>
            <w:vAlign w:val="bottom"/>
            <w:hideMark/>
          </w:tcPr>
          <w:p w14:paraId="3CA7ECE7" w14:textId="77777777" w:rsidR="00E042B6" w:rsidRPr="00205C60" w:rsidRDefault="00E042B6" w:rsidP="00B1483C">
            <w:pPr>
              <w:rPr>
                <w:rFonts w:ascii="Verdana" w:hAnsi="Verdana"/>
                <w:color w:val="000000"/>
                <w:sz w:val="22"/>
                <w:szCs w:val="22"/>
                <w:u w:val="single"/>
              </w:rPr>
            </w:pPr>
          </w:p>
        </w:tc>
        <w:tc>
          <w:tcPr>
            <w:tcW w:w="3010" w:type="dxa"/>
            <w:gridSpan w:val="3"/>
            <w:noWrap/>
            <w:vAlign w:val="bottom"/>
            <w:hideMark/>
          </w:tcPr>
          <w:p w14:paraId="3CA7ECE8" w14:textId="77777777" w:rsidR="00E042B6" w:rsidRPr="00205C60" w:rsidRDefault="00E042B6" w:rsidP="00B1483C">
            <w:pPr>
              <w:jc w:val="center"/>
              <w:rPr>
                <w:rFonts w:ascii="Verdana" w:hAnsi="Verdana"/>
                <w:color w:val="000000"/>
                <w:sz w:val="22"/>
                <w:szCs w:val="22"/>
                <w:u w:val="single"/>
              </w:rPr>
            </w:pPr>
            <w:r w:rsidRPr="00205C60">
              <w:rPr>
                <w:rFonts w:ascii="Verdana" w:hAnsi="Verdana"/>
                <w:color w:val="000000"/>
                <w:sz w:val="22"/>
                <w:szCs w:val="22"/>
                <w:u w:val="single"/>
              </w:rPr>
              <w:t>Patrimonio, neto</w:t>
            </w:r>
          </w:p>
        </w:tc>
      </w:tr>
      <w:tr w:rsidR="00E042B6" w:rsidRPr="00205C60" w14:paraId="3CA7ECF3" w14:textId="77777777" w:rsidTr="00B1483C">
        <w:trPr>
          <w:trHeight w:val="255"/>
        </w:trPr>
        <w:tc>
          <w:tcPr>
            <w:tcW w:w="3142" w:type="dxa"/>
            <w:noWrap/>
            <w:vAlign w:val="bottom"/>
            <w:hideMark/>
          </w:tcPr>
          <w:p w14:paraId="3CA7ECEA" w14:textId="3192E614" w:rsidR="00E042B6" w:rsidRPr="00205C60" w:rsidRDefault="00E042B6" w:rsidP="00B1483C">
            <w:pPr>
              <w:rPr>
                <w:rFonts w:ascii="Verdana" w:hAnsi="Verdana"/>
                <w:color w:val="000000"/>
                <w:sz w:val="22"/>
                <w:szCs w:val="22"/>
                <w:u w:val="single"/>
              </w:rPr>
            </w:pPr>
            <w:r w:rsidRPr="00205C60">
              <w:rPr>
                <w:rFonts w:ascii="Verdana" w:hAnsi="Verdana"/>
                <w:color w:val="000000"/>
                <w:sz w:val="22"/>
                <w:szCs w:val="22"/>
                <w:u w:val="single"/>
              </w:rPr>
              <w:t>31 de diciembre del 20</w:t>
            </w:r>
            <w:r w:rsidR="00E57BD1" w:rsidRPr="00205C60">
              <w:rPr>
                <w:rFonts w:ascii="Verdana" w:hAnsi="Verdana"/>
                <w:color w:val="000000"/>
                <w:sz w:val="22"/>
                <w:szCs w:val="22"/>
                <w:u w:val="single"/>
              </w:rPr>
              <w:t>2</w:t>
            </w:r>
            <w:r w:rsidR="009D7E68" w:rsidRPr="00205C60">
              <w:rPr>
                <w:rFonts w:ascii="Verdana" w:hAnsi="Verdana"/>
                <w:color w:val="000000"/>
                <w:sz w:val="22"/>
                <w:szCs w:val="22"/>
                <w:u w:val="single"/>
              </w:rPr>
              <w:t>1</w:t>
            </w:r>
          </w:p>
        </w:tc>
        <w:tc>
          <w:tcPr>
            <w:tcW w:w="336" w:type="dxa"/>
            <w:noWrap/>
            <w:vAlign w:val="bottom"/>
            <w:hideMark/>
          </w:tcPr>
          <w:p w14:paraId="3CA7ECEB" w14:textId="77777777" w:rsidR="00E042B6" w:rsidRPr="00205C60" w:rsidRDefault="00E042B6" w:rsidP="00B1483C">
            <w:pPr>
              <w:rPr>
                <w:rFonts w:ascii="Verdana" w:hAnsi="Verdana"/>
                <w:color w:val="000000"/>
                <w:sz w:val="22"/>
                <w:szCs w:val="22"/>
                <w:u w:val="single"/>
              </w:rPr>
            </w:pPr>
          </w:p>
        </w:tc>
        <w:tc>
          <w:tcPr>
            <w:tcW w:w="1332" w:type="dxa"/>
            <w:noWrap/>
            <w:vAlign w:val="bottom"/>
            <w:hideMark/>
          </w:tcPr>
          <w:p w14:paraId="3CA7ECEC" w14:textId="77777777" w:rsidR="00E042B6" w:rsidRPr="00205C60" w:rsidRDefault="00E042B6" w:rsidP="00B1483C">
            <w:pPr>
              <w:jc w:val="center"/>
              <w:rPr>
                <w:rFonts w:ascii="Verdana" w:hAnsi="Verdana"/>
                <w:color w:val="000000"/>
                <w:sz w:val="22"/>
                <w:szCs w:val="22"/>
                <w:u w:val="single"/>
              </w:rPr>
            </w:pPr>
            <w:r w:rsidRPr="00205C60">
              <w:rPr>
                <w:rFonts w:ascii="Verdana" w:hAnsi="Verdana"/>
                <w:color w:val="000000"/>
                <w:sz w:val="22"/>
                <w:szCs w:val="22"/>
                <w:u w:val="single"/>
              </w:rPr>
              <w:t>Aumento</w:t>
            </w:r>
          </w:p>
        </w:tc>
        <w:tc>
          <w:tcPr>
            <w:tcW w:w="222" w:type="dxa"/>
            <w:noWrap/>
            <w:vAlign w:val="bottom"/>
            <w:hideMark/>
          </w:tcPr>
          <w:p w14:paraId="3CA7ECED" w14:textId="77777777" w:rsidR="00E042B6" w:rsidRPr="00205C60" w:rsidRDefault="00E042B6" w:rsidP="00B1483C">
            <w:pPr>
              <w:rPr>
                <w:rFonts w:ascii="Verdana" w:hAnsi="Verdana"/>
                <w:color w:val="000000"/>
                <w:sz w:val="22"/>
                <w:szCs w:val="22"/>
                <w:u w:val="single"/>
              </w:rPr>
            </w:pPr>
          </w:p>
        </w:tc>
        <w:tc>
          <w:tcPr>
            <w:tcW w:w="1456" w:type="dxa"/>
            <w:noWrap/>
            <w:vAlign w:val="bottom"/>
            <w:hideMark/>
          </w:tcPr>
          <w:p w14:paraId="3CA7ECEE" w14:textId="77777777" w:rsidR="00E042B6" w:rsidRPr="00205C60" w:rsidRDefault="00E042B6" w:rsidP="00B1483C">
            <w:pPr>
              <w:jc w:val="center"/>
              <w:rPr>
                <w:rFonts w:ascii="Verdana" w:hAnsi="Verdana"/>
                <w:color w:val="000000"/>
                <w:sz w:val="22"/>
                <w:szCs w:val="22"/>
                <w:u w:val="single"/>
              </w:rPr>
            </w:pPr>
            <w:r w:rsidRPr="00205C60">
              <w:rPr>
                <w:rFonts w:ascii="Verdana" w:hAnsi="Verdana"/>
                <w:color w:val="000000"/>
                <w:sz w:val="22"/>
                <w:szCs w:val="22"/>
                <w:u w:val="single"/>
              </w:rPr>
              <w:t>Disminución</w:t>
            </w:r>
          </w:p>
        </w:tc>
        <w:tc>
          <w:tcPr>
            <w:tcW w:w="236" w:type="dxa"/>
            <w:noWrap/>
            <w:vAlign w:val="bottom"/>
            <w:hideMark/>
          </w:tcPr>
          <w:p w14:paraId="3CA7ECEF" w14:textId="77777777" w:rsidR="00E042B6" w:rsidRPr="00205C60" w:rsidRDefault="00E042B6" w:rsidP="00B1483C">
            <w:pPr>
              <w:rPr>
                <w:rFonts w:ascii="Verdana" w:hAnsi="Verdana"/>
                <w:color w:val="000000"/>
                <w:sz w:val="22"/>
                <w:szCs w:val="22"/>
                <w:u w:val="single"/>
              </w:rPr>
            </w:pPr>
          </w:p>
        </w:tc>
        <w:tc>
          <w:tcPr>
            <w:tcW w:w="1332" w:type="dxa"/>
            <w:noWrap/>
            <w:vAlign w:val="bottom"/>
            <w:hideMark/>
          </w:tcPr>
          <w:p w14:paraId="3CA7ECF0" w14:textId="77777777" w:rsidR="00E042B6" w:rsidRPr="00205C60" w:rsidRDefault="00E042B6" w:rsidP="00B1483C">
            <w:pPr>
              <w:jc w:val="center"/>
              <w:rPr>
                <w:rFonts w:ascii="Verdana" w:hAnsi="Verdana"/>
                <w:color w:val="000000"/>
                <w:sz w:val="22"/>
                <w:szCs w:val="22"/>
                <w:u w:val="single"/>
              </w:rPr>
            </w:pPr>
            <w:r w:rsidRPr="00205C60">
              <w:rPr>
                <w:rFonts w:ascii="Verdana" w:hAnsi="Verdana"/>
                <w:color w:val="000000"/>
                <w:sz w:val="22"/>
                <w:szCs w:val="22"/>
                <w:u w:val="single"/>
              </w:rPr>
              <w:t>Aumento</w:t>
            </w:r>
          </w:p>
        </w:tc>
        <w:tc>
          <w:tcPr>
            <w:tcW w:w="222" w:type="dxa"/>
            <w:noWrap/>
            <w:vAlign w:val="bottom"/>
            <w:hideMark/>
          </w:tcPr>
          <w:p w14:paraId="3CA7ECF1" w14:textId="77777777" w:rsidR="00E042B6" w:rsidRPr="00205C60" w:rsidRDefault="00E042B6" w:rsidP="00B1483C">
            <w:pPr>
              <w:rPr>
                <w:rFonts w:ascii="Verdana" w:hAnsi="Verdana"/>
                <w:color w:val="000000"/>
                <w:sz w:val="22"/>
                <w:szCs w:val="22"/>
                <w:u w:val="single"/>
              </w:rPr>
            </w:pPr>
          </w:p>
        </w:tc>
        <w:tc>
          <w:tcPr>
            <w:tcW w:w="1456" w:type="dxa"/>
            <w:noWrap/>
            <w:vAlign w:val="bottom"/>
            <w:hideMark/>
          </w:tcPr>
          <w:p w14:paraId="3CA7ECF2" w14:textId="77777777" w:rsidR="00E042B6" w:rsidRPr="00205C60" w:rsidRDefault="00E042B6" w:rsidP="00B1483C">
            <w:pPr>
              <w:jc w:val="center"/>
              <w:rPr>
                <w:rFonts w:ascii="Verdana" w:hAnsi="Verdana"/>
                <w:color w:val="000000"/>
                <w:sz w:val="22"/>
                <w:szCs w:val="22"/>
                <w:u w:val="single"/>
              </w:rPr>
            </w:pPr>
            <w:r w:rsidRPr="00205C60">
              <w:rPr>
                <w:rFonts w:ascii="Verdana" w:hAnsi="Verdana"/>
                <w:color w:val="000000"/>
                <w:sz w:val="22"/>
                <w:szCs w:val="22"/>
                <w:u w:val="single"/>
              </w:rPr>
              <w:t>Disminución</w:t>
            </w:r>
          </w:p>
        </w:tc>
      </w:tr>
      <w:tr w:rsidR="00E042B6" w:rsidRPr="00205C60" w14:paraId="3CA7ECFD" w14:textId="77777777" w:rsidTr="00B1483C">
        <w:trPr>
          <w:trHeight w:val="270"/>
        </w:trPr>
        <w:tc>
          <w:tcPr>
            <w:tcW w:w="3142" w:type="dxa"/>
            <w:noWrap/>
            <w:vAlign w:val="bottom"/>
            <w:hideMark/>
          </w:tcPr>
          <w:p w14:paraId="3CA7ECF4" w14:textId="77777777" w:rsidR="00E042B6" w:rsidRPr="00205C60" w:rsidRDefault="00E042B6" w:rsidP="00B1483C">
            <w:pPr>
              <w:rPr>
                <w:rFonts w:ascii="Verdana" w:hAnsi="Verdana"/>
                <w:color w:val="000000"/>
                <w:sz w:val="22"/>
                <w:szCs w:val="22"/>
              </w:rPr>
            </w:pPr>
            <w:r w:rsidRPr="00205C60">
              <w:rPr>
                <w:rFonts w:ascii="Verdana" w:hAnsi="Verdana"/>
                <w:color w:val="000000"/>
                <w:sz w:val="22"/>
                <w:szCs w:val="22"/>
              </w:rPr>
              <w:t>Instrumentos de tasa variable</w:t>
            </w:r>
          </w:p>
        </w:tc>
        <w:tc>
          <w:tcPr>
            <w:tcW w:w="336" w:type="dxa"/>
            <w:noWrap/>
            <w:vAlign w:val="bottom"/>
            <w:hideMark/>
          </w:tcPr>
          <w:p w14:paraId="3CA7ECF5" w14:textId="77777777" w:rsidR="00E042B6" w:rsidRPr="00205C60" w:rsidRDefault="00E042B6" w:rsidP="00B1483C">
            <w:pPr>
              <w:rPr>
                <w:rFonts w:ascii="Verdana" w:hAnsi="Verdana"/>
                <w:color w:val="000000"/>
                <w:sz w:val="22"/>
                <w:szCs w:val="22"/>
              </w:rPr>
            </w:pPr>
            <w:r w:rsidRPr="00205C60">
              <w:rPr>
                <w:rFonts w:ascii="Verdana" w:hAnsi="Verdana"/>
                <w:color w:val="000000"/>
                <w:sz w:val="22"/>
                <w:szCs w:val="22"/>
              </w:rPr>
              <w:t>¢</w:t>
            </w:r>
          </w:p>
        </w:tc>
        <w:tc>
          <w:tcPr>
            <w:tcW w:w="1332" w:type="dxa"/>
            <w:tcBorders>
              <w:top w:val="nil"/>
              <w:left w:val="nil"/>
              <w:bottom w:val="double" w:sz="6" w:space="0" w:color="auto"/>
              <w:right w:val="nil"/>
            </w:tcBorders>
            <w:noWrap/>
            <w:vAlign w:val="bottom"/>
          </w:tcPr>
          <w:p w14:paraId="3CA7ECF6" w14:textId="1AC5863B" w:rsidR="00E042B6" w:rsidRPr="00205C60" w:rsidRDefault="00C16D94" w:rsidP="00B1483C">
            <w:pPr>
              <w:jc w:val="right"/>
              <w:rPr>
                <w:rFonts w:ascii="Verdana" w:hAnsi="Verdana"/>
                <w:color w:val="000000"/>
                <w:sz w:val="22"/>
                <w:szCs w:val="22"/>
              </w:rPr>
            </w:pPr>
            <w:r w:rsidRPr="00205C60">
              <w:rPr>
                <w:rFonts w:ascii="Verdana" w:hAnsi="Verdana"/>
                <w:color w:val="000000"/>
                <w:sz w:val="22"/>
                <w:szCs w:val="22"/>
              </w:rPr>
              <w:t>1.5</w:t>
            </w:r>
            <w:r w:rsidR="009D7E68" w:rsidRPr="00205C60">
              <w:rPr>
                <w:rFonts w:ascii="Verdana" w:hAnsi="Verdana"/>
                <w:color w:val="000000"/>
                <w:sz w:val="22"/>
                <w:szCs w:val="22"/>
              </w:rPr>
              <w:t>48</w:t>
            </w:r>
            <w:r w:rsidRPr="00205C60">
              <w:rPr>
                <w:rFonts w:ascii="Verdana" w:hAnsi="Verdana"/>
                <w:color w:val="000000"/>
                <w:sz w:val="22"/>
                <w:szCs w:val="22"/>
              </w:rPr>
              <w:t>.8</w:t>
            </w:r>
            <w:r w:rsidR="009D7E68" w:rsidRPr="00205C60">
              <w:rPr>
                <w:rFonts w:ascii="Verdana" w:hAnsi="Verdana"/>
                <w:color w:val="000000"/>
                <w:sz w:val="22"/>
                <w:szCs w:val="22"/>
              </w:rPr>
              <w:t>71</w:t>
            </w:r>
          </w:p>
        </w:tc>
        <w:tc>
          <w:tcPr>
            <w:tcW w:w="222" w:type="dxa"/>
            <w:noWrap/>
            <w:vAlign w:val="bottom"/>
          </w:tcPr>
          <w:p w14:paraId="3CA7ECF7" w14:textId="77777777" w:rsidR="00E042B6" w:rsidRPr="00205C60" w:rsidRDefault="00E042B6" w:rsidP="00B1483C">
            <w:pPr>
              <w:jc w:val="right"/>
              <w:rPr>
                <w:rFonts w:ascii="Verdana" w:hAnsi="Verdana"/>
                <w:color w:val="000000"/>
                <w:sz w:val="22"/>
                <w:szCs w:val="22"/>
              </w:rPr>
            </w:pPr>
          </w:p>
        </w:tc>
        <w:tc>
          <w:tcPr>
            <w:tcW w:w="1456" w:type="dxa"/>
            <w:tcBorders>
              <w:top w:val="nil"/>
              <w:left w:val="nil"/>
              <w:bottom w:val="double" w:sz="6" w:space="0" w:color="auto"/>
              <w:right w:val="nil"/>
            </w:tcBorders>
            <w:noWrap/>
            <w:vAlign w:val="bottom"/>
          </w:tcPr>
          <w:p w14:paraId="3CA7ECF8" w14:textId="62A50533" w:rsidR="00E042B6" w:rsidRPr="00205C60" w:rsidRDefault="00E042B6" w:rsidP="00B1483C">
            <w:pPr>
              <w:jc w:val="right"/>
              <w:rPr>
                <w:rFonts w:ascii="Verdana" w:hAnsi="Verdana"/>
                <w:color w:val="000000"/>
                <w:sz w:val="22"/>
                <w:szCs w:val="22"/>
              </w:rPr>
            </w:pPr>
            <w:r w:rsidRPr="00205C60">
              <w:rPr>
                <w:rFonts w:ascii="Verdana" w:hAnsi="Verdana"/>
                <w:color w:val="000000"/>
                <w:sz w:val="22"/>
                <w:szCs w:val="22"/>
              </w:rPr>
              <w:t>(</w:t>
            </w:r>
            <w:r w:rsidR="00C16D94" w:rsidRPr="00205C60">
              <w:rPr>
                <w:rFonts w:ascii="Verdana" w:hAnsi="Verdana"/>
                <w:color w:val="000000"/>
                <w:sz w:val="22"/>
                <w:szCs w:val="22"/>
              </w:rPr>
              <w:t>1.5</w:t>
            </w:r>
            <w:r w:rsidR="009D7E68" w:rsidRPr="00205C60">
              <w:rPr>
                <w:rFonts w:ascii="Verdana" w:hAnsi="Verdana"/>
                <w:color w:val="000000"/>
                <w:sz w:val="22"/>
                <w:szCs w:val="22"/>
              </w:rPr>
              <w:t>48</w:t>
            </w:r>
            <w:r w:rsidR="00C16D94" w:rsidRPr="00205C60">
              <w:rPr>
                <w:rFonts w:ascii="Verdana" w:hAnsi="Verdana"/>
                <w:color w:val="000000"/>
                <w:sz w:val="22"/>
                <w:szCs w:val="22"/>
              </w:rPr>
              <w:t>.8</w:t>
            </w:r>
            <w:r w:rsidR="009D7E68" w:rsidRPr="00205C60">
              <w:rPr>
                <w:rFonts w:ascii="Verdana" w:hAnsi="Verdana"/>
                <w:color w:val="000000"/>
                <w:sz w:val="22"/>
                <w:szCs w:val="22"/>
              </w:rPr>
              <w:t>71</w:t>
            </w:r>
            <w:r w:rsidRPr="00205C60">
              <w:rPr>
                <w:rFonts w:ascii="Verdana" w:hAnsi="Verdana"/>
                <w:color w:val="000000"/>
                <w:sz w:val="22"/>
                <w:szCs w:val="22"/>
              </w:rPr>
              <w:t>)</w:t>
            </w:r>
          </w:p>
        </w:tc>
        <w:tc>
          <w:tcPr>
            <w:tcW w:w="236" w:type="dxa"/>
            <w:noWrap/>
            <w:vAlign w:val="bottom"/>
          </w:tcPr>
          <w:p w14:paraId="3CA7ECF9" w14:textId="77777777" w:rsidR="00E042B6" w:rsidRPr="00205C60" w:rsidRDefault="00E042B6" w:rsidP="00B1483C">
            <w:pPr>
              <w:jc w:val="right"/>
              <w:rPr>
                <w:rFonts w:ascii="Verdana" w:hAnsi="Verdana"/>
                <w:color w:val="000000"/>
                <w:sz w:val="22"/>
                <w:szCs w:val="22"/>
              </w:rPr>
            </w:pPr>
          </w:p>
        </w:tc>
        <w:tc>
          <w:tcPr>
            <w:tcW w:w="1332" w:type="dxa"/>
            <w:tcBorders>
              <w:top w:val="nil"/>
              <w:left w:val="nil"/>
              <w:bottom w:val="double" w:sz="6" w:space="0" w:color="auto"/>
              <w:right w:val="nil"/>
            </w:tcBorders>
            <w:noWrap/>
            <w:vAlign w:val="bottom"/>
          </w:tcPr>
          <w:p w14:paraId="3CA7ECFA" w14:textId="7A6208D9" w:rsidR="00E042B6" w:rsidRPr="00205C60" w:rsidRDefault="00C16D94" w:rsidP="00B1483C">
            <w:pPr>
              <w:jc w:val="right"/>
              <w:rPr>
                <w:rFonts w:ascii="Verdana" w:hAnsi="Verdana"/>
                <w:color w:val="000000"/>
                <w:sz w:val="22"/>
                <w:szCs w:val="22"/>
              </w:rPr>
            </w:pPr>
            <w:r w:rsidRPr="00205C60">
              <w:rPr>
                <w:rFonts w:ascii="Verdana" w:hAnsi="Verdana"/>
                <w:color w:val="000000"/>
                <w:sz w:val="22"/>
                <w:szCs w:val="22"/>
              </w:rPr>
              <w:t>1.5</w:t>
            </w:r>
            <w:r w:rsidR="009D7E68" w:rsidRPr="00205C60">
              <w:rPr>
                <w:rFonts w:ascii="Verdana" w:hAnsi="Verdana"/>
                <w:color w:val="000000"/>
                <w:sz w:val="22"/>
                <w:szCs w:val="22"/>
              </w:rPr>
              <w:t>48</w:t>
            </w:r>
            <w:r w:rsidRPr="00205C60">
              <w:rPr>
                <w:rFonts w:ascii="Verdana" w:hAnsi="Verdana"/>
                <w:color w:val="000000"/>
                <w:sz w:val="22"/>
                <w:szCs w:val="22"/>
              </w:rPr>
              <w:t>.8</w:t>
            </w:r>
            <w:r w:rsidR="009D7E68" w:rsidRPr="00205C60">
              <w:rPr>
                <w:rFonts w:ascii="Verdana" w:hAnsi="Verdana"/>
                <w:color w:val="000000"/>
                <w:sz w:val="22"/>
                <w:szCs w:val="22"/>
              </w:rPr>
              <w:t>71</w:t>
            </w:r>
          </w:p>
        </w:tc>
        <w:tc>
          <w:tcPr>
            <w:tcW w:w="222" w:type="dxa"/>
            <w:noWrap/>
            <w:vAlign w:val="bottom"/>
          </w:tcPr>
          <w:p w14:paraId="3CA7ECFB" w14:textId="77777777" w:rsidR="00E042B6" w:rsidRPr="00205C60" w:rsidRDefault="00E042B6" w:rsidP="00B1483C">
            <w:pPr>
              <w:jc w:val="right"/>
              <w:rPr>
                <w:rFonts w:ascii="Verdana" w:hAnsi="Verdana"/>
                <w:color w:val="000000"/>
                <w:sz w:val="22"/>
                <w:szCs w:val="22"/>
              </w:rPr>
            </w:pPr>
          </w:p>
        </w:tc>
        <w:tc>
          <w:tcPr>
            <w:tcW w:w="1456" w:type="dxa"/>
            <w:tcBorders>
              <w:top w:val="nil"/>
              <w:left w:val="nil"/>
              <w:bottom w:val="double" w:sz="6" w:space="0" w:color="auto"/>
              <w:right w:val="nil"/>
            </w:tcBorders>
            <w:noWrap/>
            <w:vAlign w:val="bottom"/>
          </w:tcPr>
          <w:p w14:paraId="3CA7ECFC" w14:textId="63099637" w:rsidR="00E042B6" w:rsidRPr="00205C60" w:rsidRDefault="00E042B6" w:rsidP="00B1483C">
            <w:pPr>
              <w:jc w:val="right"/>
              <w:rPr>
                <w:rFonts w:ascii="Verdana" w:hAnsi="Verdana"/>
                <w:color w:val="000000"/>
                <w:sz w:val="22"/>
                <w:szCs w:val="22"/>
              </w:rPr>
            </w:pPr>
            <w:r w:rsidRPr="00205C60">
              <w:rPr>
                <w:rFonts w:ascii="Verdana" w:hAnsi="Verdana"/>
                <w:color w:val="000000"/>
                <w:sz w:val="22"/>
                <w:szCs w:val="22"/>
              </w:rPr>
              <w:t>(</w:t>
            </w:r>
            <w:r w:rsidR="00C16D94" w:rsidRPr="00205C60">
              <w:rPr>
                <w:rFonts w:ascii="Verdana" w:hAnsi="Verdana"/>
                <w:color w:val="000000"/>
                <w:sz w:val="22"/>
                <w:szCs w:val="22"/>
              </w:rPr>
              <w:t>1.5</w:t>
            </w:r>
            <w:r w:rsidR="008160AE" w:rsidRPr="00205C60">
              <w:rPr>
                <w:rFonts w:ascii="Verdana" w:hAnsi="Verdana"/>
                <w:color w:val="000000"/>
                <w:sz w:val="22"/>
                <w:szCs w:val="22"/>
              </w:rPr>
              <w:t>48</w:t>
            </w:r>
            <w:r w:rsidR="00C16D94" w:rsidRPr="00205C60">
              <w:rPr>
                <w:rFonts w:ascii="Verdana" w:hAnsi="Verdana"/>
                <w:color w:val="000000"/>
                <w:sz w:val="22"/>
                <w:szCs w:val="22"/>
              </w:rPr>
              <w:t>.8</w:t>
            </w:r>
            <w:r w:rsidR="00AB2547" w:rsidRPr="00205C60">
              <w:rPr>
                <w:rFonts w:ascii="Verdana" w:hAnsi="Verdana"/>
                <w:color w:val="000000"/>
                <w:sz w:val="22"/>
                <w:szCs w:val="22"/>
              </w:rPr>
              <w:t>71</w:t>
            </w:r>
            <w:r w:rsidRPr="00205C60">
              <w:rPr>
                <w:rFonts w:ascii="Verdana" w:hAnsi="Verdana"/>
                <w:color w:val="000000"/>
                <w:sz w:val="22"/>
                <w:szCs w:val="22"/>
              </w:rPr>
              <w:t>)</w:t>
            </w:r>
          </w:p>
        </w:tc>
      </w:tr>
    </w:tbl>
    <w:p w14:paraId="3CA7ECFE" w14:textId="4DDF5830" w:rsidR="00496CDC" w:rsidRPr="00205C60" w:rsidRDefault="00496CDC" w:rsidP="00453107">
      <w:pPr>
        <w:pStyle w:val="parrafo"/>
        <w:ind w:left="0" w:firstLine="0"/>
        <w:rPr>
          <w:rFonts w:ascii="Verdana" w:eastAsia="Times New Roman" w:hAnsi="Verdana" w:cs="Arial"/>
          <w:sz w:val="22"/>
          <w:szCs w:val="22"/>
          <w:u w:val="none"/>
          <w:lang w:val="es-CR" w:eastAsia="es-ES"/>
        </w:rPr>
      </w:pPr>
    </w:p>
    <w:p w14:paraId="0C4707DA" w14:textId="1C04E494" w:rsidR="00130225" w:rsidRPr="00205C60" w:rsidRDefault="00130225" w:rsidP="00453107">
      <w:pPr>
        <w:pStyle w:val="parrafo"/>
        <w:ind w:left="0" w:firstLine="0"/>
        <w:rPr>
          <w:rFonts w:ascii="Verdana" w:eastAsia="Times New Roman" w:hAnsi="Verdana" w:cs="Arial"/>
          <w:sz w:val="22"/>
          <w:szCs w:val="22"/>
          <w:u w:val="none"/>
          <w:lang w:val="es-CR" w:eastAsia="es-ES"/>
        </w:rPr>
      </w:pPr>
    </w:p>
    <w:p w14:paraId="02C1C5F4" w14:textId="77777777" w:rsidR="00130225" w:rsidRPr="00205C60" w:rsidRDefault="00130225" w:rsidP="00453107">
      <w:pPr>
        <w:pStyle w:val="parrafo"/>
        <w:ind w:left="0" w:firstLine="0"/>
        <w:rPr>
          <w:rFonts w:ascii="Verdana" w:eastAsia="Times New Roman" w:hAnsi="Verdana" w:cs="Arial"/>
          <w:sz w:val="22"/>
          <w:szCs w:val="22"/>
          <w:u w:val="none"/>
          <w:lang w:val="es-CR" w:eastAsia="es-ES"/>
        </w:rPr>
      </w:pPr>
    </w:p>
    <w:p w14:paraId="3CA7ECFF" w14:textId="77777777" w:rsidR="00743D75" w:rsidRPr="00205C60" w:rsidRDefault="00743D75" w:rsidP="00453107">
      <w:pPr>
        <w:pStyle w:val="parrafo"/>
        <w:ind w:left="0" w:firstLine="0"/>
        <w:rPr>
          <w:rFonts w:ascii="Verdana" w:hAnsi="Verdana" w:cs="Arial"/>
          <w:sz w:val="22"/>
          <w:szCs w:val="22"/>
          <w:u w:val="none"/>
          <w:lang w:val="es-CR"/>
        </w:rPr>
      </w:pPr>
    </w:p>
    <w:p w14:paraId="3CA7ED00" w14:textId="77777777" w:rsidR="00B44125" w:rsidRPr="00205C60" w:rsidRDefault="000A7A82" w:rsidP="00882F32">
      <w:pPr>
        <w:pStyle w:val="Ttulo2"/>
        <w:numPr>
          <w:ilvl w:val="2"/>
          <w:numId w:val="22"/>
        </w:numPr>
        <w:tabs>
          <w:tab w:val="clear" w:pos="1241"/>
          <w:tab w:val="clear" w:pos="2480"/>
          <w:tab w:val="clear" w:pos="4181"/>
          <w:tab w:val="clear" w:pos="4536"/>
          <w:tab w:val="clear" w:pos="5103"/>
          <w:tab w:val="left" w:pos="1276"/>
          <w:tab w:val="left" w:pos="3828"/>
        </w:tabs>
        <w:spacing w:line="120" w:lineRule="atLeast"/>
        <w:ind w:right="142"/>
        <w:rPr>
          <w:rFonts w:ascii="Verdana" w:hAnsi="Verdana" w:cs="Arial"/>
          <w:sz w:val="22"/>
          <w:szCs w:val="22"/>
        </w:rPr>
      </w:pPr>
      <w:r w:rsidRPr="00205C60">
        <w:rPr>
          <w:rFonts w:ascii="Verdana" w:hAnsi="Verdana" w:cs="Arial"/>
          <w:sz w:val="22"/>
          <w:szCs w:val="22"/>
        </w:rPr>
        <w:t xml:space="preserve">    </w:t>
      </w:r>
      <w:bookmarkStart w:id="106" w:name="_Toc104529461"/>
      <w:r w:rsidR="00B44125" w:rsidRPr="00205C60">
        <w:rPr>
          <w:rFonts w:ascii="Verdana" w:hAnsi="Verdana" w:cs="Arial"/>
          <w:sz w:val="22"/>
          <w:szCs w:val="22"/>
        </w:rPr>
        <w:t>Endeudamiento y Capitalización</w:t>
      </w:r>
      <w:bookmarkEnd w:id="106"/>
    </w:p>
    <w:p w14:paraId="3CA7ED01" w14:textId="77777777" w:rsidR="00343236" w:rsidRPr="00205C60" w:rsidRDefault="00C918BB" w:rsidP="00C918BB">
      <w:pPr>
        <w:tabs>
          <w:tab w:val="left" w:pos="1276"/>
        </w:tabs>
        <w:rPr>
          <w:rFonts w:ascii="Verdana" w:hAnsi="Verdana" w:cs="Arial"/>
          <w:sz w:val="22"/>
          <w:szCs w:val="22"/>
          <w:lang w:val="es-CR"/>
        </w:rPr>
      </w:pPr>
      <w:r w:rsidRPr="00205C60">
        <w:rPr>
          <w:rFonts w:ascii="Verdana" w:hAnsi="Verdana" w:cs="Arial"/>
          <w:sz w:val="22"/>
          <w:szCs w:val="22"/>
          <w:lang w:val="es-CR"/>
        </w:rPr>
        <w:tab/>
      </w:r>
    </w:p>
    <w:p w14:paraId="3CA7ED02" w14:textId="77777777" w:rsidR="00B44125" w:rsidRPr="00205C60" w:rsidRDefault="00B44125" w:rsidP="00882F32">
      <w:pPr>
        <w:pStyle w:val="Ttulo2"/>
        <w:numPr>
          <w:ilvl w:val="3"/>
          <w:numId w:val="23"/>
        </w:numPr>
        <w:tabs>
          <w:tab w:val="clear" w:pos="708"/>
          <w:tab w:val="clear" w:pos="1241"/>
          <w:tab w:val="clear" w:pos="2480"/>
          <w:tab w:val="clear" w:pos="4181"/>
          <w:tab w:val="clear" w:pos="4536"/>
          <w:tab w:val="clear" w:pos="5103"/>
          <w:tab w:val="left" w:pos="1276"/>
          <w:tab w:val="left" w:pos="3828"/>
        </w:tabs>
        <w:spacing w:line="120" w:lineRule="atLeast"/>
        <w:ind w:right="142"/>
        <w:rPr>
          <w:rFonts w:ascii="Verdana" w:hAnsi="Verdana" w:cs="Arial"/>
          <w:sz w:val="22"/>
          <w:szCs w:val="22"/>
        </w:rPr>
      </w:pPr>
      <w:bookmarkStart w:id="107" w:name="_Toc104529462"/>
      <w:r w:rsidRPr="00205C60">
        <w:rPr>
          <w:rFonts w:ascii="Verdana" w:hAnsi="Verdana" w:cs="Arial"/>
          <w:sz w:val="22"/>
          <w:szCs w:val="22"/>
        </w:rPr>
        <w:t>Endeudamiento</w:t>
      </w:r>
      <w:bookmarkEnd w:id="107"/>
    </w:p>
    <w:p w14:paraId="3CA7ED03" w14:textId="77777777" w:rsidR="0079407B" w:rsidRPr="00205C60" w:rsidRDefault="0079407B" w:rsidP="0079407B">
      <w:pPr>
        <w:rPr>
          <w:rFonts w:ascii="Verdana" w:hAnsi="Verdana"/>
          <w:sz w:val="22"/>
          <w:szCs w:val="22"/>
        </w:rPr>
      </w:pPr>
    </w:p>
    <w:p w14:paraId="3CA7ED05" w14:textId="77777777" w:rsidR="00B44125" w:rsidRPr="00205C60" w:rsidRDefault="00B44125">
      <w:pPr>
        <w:numPr>
          <w:ilvl w:val="12"/>
          <w:numId w:val="0"/>
        </w:numPr>
        <w:jc w:val="both"/>
        <w:rPr>
          <w:rFonts w:ascii="Verdana" w:hAnsi="Verdana" w:cs="Arial"/>
          <w:sz w:val="22"/>
          <w:szCs w:val="22"/>
          <w:lang w:val="es-CR"/>
        </w:rPr>
      </w:pPr>
      <w:r w:rsidRPr="00205C60">
        <w:rPr>
          <w:rFonts w:ascii="Verdana" w:hAnsi="Verdana" w:cs="Arial"/>
          <w:sz w:val="22"/>
          <w:szCs w:val="22"/>
          <w:lang w:val="es-CR"/>
        </w:rPr>
        <w:t>De acuerdo con el artículo 116 de la Ley Orgánica del Banco Central de Costa Rica, empresas que hacen oferta pública de valores debidamente autorizadas por la SUGEVAL, pueden captar recursos para capital de trabajo o para financiar sus propios proyectos de inversión, siempre y cuando sus pasivos totales no excedan de cuatro veces su capital y reservas.</w:t>
      </w:r>
    </w:p>
    <w:p w14:paraId="3CA7ED06" w14:textId="60A03ED4" w:rsidR="00343236" w:rsidRPr="00205C60" w:rsidRDefault="00343236">
      <w:pPr>
        <w:numPr>
          <w:ilvl w:val="12"/>
          <w:numId w:val="0"/>
        </w:numPr>
        <w:jc w:val="both"/>
        <w:rPr>
          <w:rFonts w:ascii="Verdana" w:hAnsi="Verdana" w:cs="Arial"/>
          <w:sz w:val="22"/>
          <w:szCs w:val="22"/>
          <w:lang w:val="es-CR"/>
        </w:rPr>
      </w:pPr>
    </w:p>
    <w:p w14:paraId="7E972E84" w14:textId="08E0868D" w:rsidR="008C4E98" w:rsidRPr="00205C60" w:rsidRDefault="008C4E98">
      <w:pPr>
        <w:numPr>
          <w:ilvl w:val="12"/>
          <w:numId w:val="0"/>
        </w:numPr>
        <w:jc w:val="both"/>
        <w:rPr>
          <w:rFonts w:ascii="Verdana" w:hAnsi="Verdana" w:cs="Arial"/>
          <w:sz w:val="22"/>
          <w:szCs w:val="22"/>
          <w:lang w:val="es-CR"/>
        </w:rPr>
      </w:pPr>
    </w:p>
    <w:p w14:paraId="3CA7ED08" w14:textId="77777777" w:rsidR="001B18F6" w:rsidRPr="00205C60" w:rsidRDefault="00B44125" w:rsidP="00882F32">
      <w:pPr>
        <w:pStyle w:val="Prrafodelista"/>
        <w:numPr>
          <w:ilvl w:val="0"/>
          <w:numId w:val="28"/>
        </w:numPr>
        <w:rPr>
          <w:rFonts w:ascii="Verdana" w:hAnsi="Verdana" w:cs="Arial"/>
          <w:b/>
          <w:sz w:val="22"/>
          <w:szCs w:val="22"/>
        </w:rPr>
      </w:pPr>
      <w:r w:rsidRPr="00205C60">
        <w:rPr>
          <w:rFonts w:ascii="Verdana" w:hAnsi="Verdana" w:cs="Arial"/>
          <w:b/>
          <w:sz w:val="22"/>
          <w:szCs w:val="22"/>
        </w:rPr>
        <w:t>Pasivo total a patrimonio neto (se excluyen las utilidades disponibles)</w:t>
      </w:r>
    </w:p>
    <w:p w14:paraId="3CA7ED09" w14:textId="77777777" w:rsidR="001B18F6" w:rsidRPr="00205C60" w:rsidRDefault="001B18F6" w:rsidP="001B18F6">
      <w:pPr>
        <w:rPr>
          <w:rFonts w:ascii="Verdana" w:hAnsi="Verdana" w:cs="Arial"/>
          <w:b/>
          <w:sz w:val="22"/>
          <w:szCs w:val="22"/>
        </w:rPr>
      </w:pPr>
    </w:p>
    <w:p w14:paraId="3CA7ED0A" w14:textId="00BFBBAA" w:rsidR="006F5307" w:rsidRPr="00205C60" w:rsidRDefault="00BB12C8" w:rsidP="006F5307">
      <w:pPr>
        <w:pStyle w:val="Sangradetextonormal"/>
        <w:tabs>
          <w:tab w:val="left" w:pos="360"/>
        </w:tabs>
        <w:ind w:left="0"/>
        <w:jc w:val="both"/>
        <w:rPr>
          <w:rFonts w:ascii="Verdana" w:hAnsi="Verdana" w:cs="Arial"/>
          <w:b w:val="0"/>
          <w:color w:val="auto"/>
          <w:sz w:val="22"/>
          <w:szCs w:val="22"/>
        </w:rPr>
      </w:pPr>
      <w:r w:rsidRPr="00205C60">
        <w:rPr>
          <w:rFonts w:ascii="Verdana" w:hAnsi="Verdana" w:cs="Arial"/>
          <w:b w:val="0"/>
          <w:color w:val="auto"/>
          <w:sz w:val="22"/>
          <w:szCs w:val="22"/>
          <w:lang w:val="es-ES"/>
        </w:rPr>
        <w:t>Corresponde a</w:t>
      </w:r>
      <w:r w:rsidR="006F5307" w:rsidRPr="00205C60">
        <w:rPr>
          <w:rFonts w:ascii="Verdana" w:hAnsi="Verdana" w:cs="Arial"/>
          <w:b w:val="0"/>
          <w:color w:val="auto"/>
          <w:sz w:val="22"/>
          <w:szCs w:val="22"/>
        </w:rPr>
        <w:t xml:space="preserve"> la proporción del patrimonio neto que se ve comprometido por el Pasivo Total. Se excluyen las utilidades disponibles que no se encuentran restringidas para ser entregadas como dividendos. Se presenta las cifras en miles de colones.</w:t>
      </w:r>
    </w:p>
    <w:p w14:paraId="70E50F12" w14:textId="77777777" w:rsidR="00B456BA" w:rsidRPr="00205C60" w:rsidRDefault="00B456BA" w:rsidP="006F5307">
      <w:pPr>
        <w:pStyle w:val="Sangradetextonormal"/>
        <w:tabs>
          <w:tab w:val="left" w:pos="360"/>
        </w:tabs>
        <w:ind w:left="0"/>
        <w:jc w:val="both"/>
        <w:rPr>
          <w:rFonts w:ascii="Verdana" w:hAnsi="Verdana" w:cs="Arial"/>
          <w:b w:val="0"/>
          <w:color w:val="auto"/>
          <w:sz w:val="22"/>
          <w:szCs w:val="22"/>
        </w:rPr>
      </w:pPr>
    </w:p>
    <w:p w14:paraId="3CA7ED0C" w14:textId="77777777" w:rsidR="006679C8" w:rsidRPr="00205C60" w:rsidRDefault="006679C8" w:rsidP="006F5307">
      <w:pPr>
        <w:pStyle w:val="Sangradetextonormal"/>
        <w:tabs>
          <w:tab w:val="left" w:pos="360"/>
        </w:tabs>
        <w:ind w:left="0"/>
        <w:jc w:val="both"/>
        <w:rPr>
          <w:rFonts w:ascii="Verdana" w:hAnsi="Verdana" w:cs="Arial"/>
          <w:b w:val="0"/>
          <w:color w:val="auto"/>
          <w:sz w:val="22"/>
          <w:szCs w:val="22"/>
        </w:rPr>
      </w:pPr>
    </w:p>
    <w:tbl>
      <w:tblPr>
        <w:tblW w:w="5000" w:type="pct"/>
        <w:jc w:val="center"/>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1556"/>
        <w:gridCol w:w="1603"/>
        <w:gridCol w:w="274"/>
        <w:gridCol w:w="2606"/>
        <w:gridCol w:w="248"/>
        <w:gridCol w:w="2832"/>
      </w:tblGrid>
      <w:tr w:rsidR="00B44125" w:rsidRPr="00205C60" w14:paraId="3CA7ED0E" w14:textId="77777777" w:rsidTr="00D37B6E">
        <w:trPr>
          <w:cantSplit/>
          <w:trHeight w:val="496"/>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3CA7ED0D" w14:textId="77777777" w:rsidR="00B44125" w:rsidRPr="00205C60" w:rsidRDefault="006E18E7" w:rsidP="006E18E7">
            <w:pPr>
              <w:jc w:val="center"/>
              <w:rPr>
                <w:rFonts w:ascii="Verdana" w:hAnsi="Verdana" w:cs="Arial"/>
                <w:b/>
                <w:snapToGrid w:val="0"/>
                <w:sz w:val="22"/>
                <w:szCs w:val="22"/>
              </w:rPr>
            </w:pPr>
            <w:r w:rsidRPr="00205C60">
              <w:rPr>
                <w:rFonts w:ascii="Verdana" w:hAnsi="Verdana" w:cs="Arial"/>
                <w:b/>
                <w:snapToGrid w:val="0"/>
                <w:sz w:val="22"/>
                <w:szCs w:val="22"/>
              </w:rPr>
              <w:t>Cá</w:t>
            </w:r>
            <w:r w:rsidR="00B44125" w:rsidRPr="00205C60">
              <w:rPr>
                <w:rFonts w:ascii="Verdana" w:hAnsi="Verdana" w:cs="Arial"/>
                <w:b/>
                <w:snapToGrid w:val="0"/>
                <w:sz w:val="22"/>
                <w:szCs w:val="22"/>
              </w:rPr>
              <w:t>lculo del Patrimonio Menos las utilidades retenidas</w:t>
            </w:r>
            <w:r w:rsidR="00634C92" w:rsidRPr="00205C60">
              <w:rPr>
                <w:rFonts w:ascii="Verdana" w:hAnsi="Verdana" w:cs="Arial"/>
                <w:b/>
                <w:snapToGrid w:val="0"/>
                <w:sz w:val="22"/>
                <w:szCs w:val="22"/>
              </w:rPr>
              <w:t xml:space="preserve"> (miles de colones)</w:t>
            </w:r>
          </w:p>
        </w:tc>
      </w:tr>
      <w:tr w:rsidR="00B44125" w:rsidRPr="00205C60" w14:paraId="3CA7ED15" w14:textId="77777777" w:rsidTr="006A3BAE">
        <w:trPr>
          <w:trHeight w:val="257"/>
          <w:jc w:val="center"/>
        </w:trPr>
        <w:tc>
          <w:tcPr>
            <w:tcW w:w="853" w:type="pct"/>
            <w:tcBorders>
              <w:top w:val="single" w:sz="4" w:space="0" w:color="auto"/>
              <w:left w:val="single" w:sz="4" w:space="0" w:color="auto"/>
              <w:bottom w:val="single" w:sz="4" w:space="0" w:color="auto"/>
              <w:right w:val="single" w:sz="4" w:space="0" w:color="auto"/>
            </w:tcBorders>
            <w:vAlign w:val="center"/>
          </w:tcPr>
          <w:p w14:paraId="3CA7ED0F" w14:textId="77777777" w:rsidR="00B44125" w:rsidRPr="00205C60" w:rsidRDefault="00BA2F2B" w:rsidP="006E18E7">
            <w:pPr>
              <w:jc w:val="center"/>
              <w:rPr>
                <w:rFonts w:ascii="Verdana" w:hAnsi="Verdana" w:cs="Arial"/>
                <w:b/>
                <w:snapToGrid w:val="0"/>
                <w:sz w:val="22"/>
                <w:szCs w:val="22"/>
              </w:rPr>
            </w:pPr>
            <w:r w:rsidRPr="00205C60">
              <w:rPr>
                <w:rFonts w:ascii="Verdana" w:hAnsi="Verdana" w:cs="Arial"/>
                <w:b/>
                <w:snapToGrid w:val="0"/>
                <w:sz w:val="22"/>
                <w:szCs w:val="22"/>
              </w:rPr>
              <w:lastRenderedPageBreak/>
              <w:t>Año</w:t>
            </w:r>
          </w:p>
        </w:tc>
        <w:tc>
          <w:tcPr>
            <w:tcW w:w="879" w:type="pct"/>
            <w:tcBorders>
              <w:top w:val="single" w:sz="4" w:space="0" w:color="auto"/>
              <w:left w:val="single" w:sz="4" w:space="0" w:color="auto"/>
              <w:bottom w:val="single" w:sz="4" w:space="0" w:color="auto"/>
              <w:right w:val="nil"/>
            </w:tcBorders>
            <w:shd w:val="solid" w:color="FFFFFF" w:fill="auto"/>
            <w:vAlign w:val="center"/>
          </w:tcPr>
          <w:p w14:paraId="3CA7ED10" w14:textId="77777777" w:rsidR="00B44125" w:rsidRPr="00205C60" w:rsidRDefault="00BA2F2B" w:rsidP="006E18E7">
            <w:pPr>
              <w:jc w:val="center"/>
              <w:rPr>
                <w:rFonts w:ascii="Verdana" w:hAnsi="Verdana" w:cs="Arial"/>
                <w:b/>
                <w:snapToGrid w:val="0"/>
                <w:sz w:val="22"/>
                <w:szCs w:val="22"/>
              </w:rPr>
            </w:pPr>
            <w:r w:rsidRPr="00205C60">
              <w:rPr>
                <w:rFonts w:ascii="Verdana" w:hAnsi="Verdana" w:cs="Arial"/>
                <w:b/>
                <w:snapToGrid w:val="0"/>
                <w:sz w:val="22"/>
                <w:szCs w:val="22"/>
              </w:rPr>
              <w:t>Patrimonio</w:t>
            </w:r>
          </w:p>
        </w:tc>
        <w:tc>
          <w:tcPr>
            <w:tcW w:w="150" w:type="pct"/>
            <w:tcBorders>
              <w:top w:val="single" w:sz="4" w:space="0" w:color="auto"/>
              <w:left w:val="nil"/>
              <w:bottom w:val="single" w:sz="4" w:space="0" w:color="auto"/>
              <w:right w:val="single" w:sz="4" w:space="0" w:color="auto"/>
            </w:tcBorders>
            <w:vAlign w:val="center"/>
          </w:tcPr>
          <w:p w14:paraId="3CA7ED11" w14:textId="77777777" w:rsidR="00B44125" w:rsidRPr="00205C60" w:rsidRDefault="00B44125" w:rsidP="006E18E7">
            <w:pPr>
              <w:jc w:val="center"/>
              <w:rPr>
                <w:rFonts w:ascii="Verdana" w:hAnsi="Verdana" w:cs="Arial"/>
                <w:snapToGrid w:val="0"/>
                <w:sz w:val="22"/>
                <w:szCs w:val="22"/>
              </w:rPr>
            </w:pPr>
          </w:p>
        </w:tc>
        <w:tc>
          <w:tcPr>
            <w:tcW w:w="1429" w:type="pct"/>
            <w:tcBorders>
              <w:top w:val="single" w:sz="4" w:space="0" w:color="auto"/>
              <w:left w:val="single" w:sz="4" w:space="0" w:color="auto"/>
              <w:bottom w:val="single" w:sz="4" w:space="0" w:color="auto"/>
              <w:right w:val="nil"/>
            </w:tcBorders>
            <w:vAlign w:val="center"/>
          </w:tcPr>
          <w:p w14:paraId="3CA7ED12" w14:textId="77777777" w:rsidR="00B44125" w:rsidRPr="00205C60" w:rsidRDefault="00BA2F2B" w:rsidP="006E18E7">
            <w:pPr>
              <w:jc w:val="center"/>
              <w:rPr>
                <w:rFonts w:ascii="Verdana" w:hAnsi="Verdana" w:cs="Arial"/>
                <w:b/>
                <w:snapToGrid w:val="0"/>
                <w:sz w:val="22"/>
                <w:szCs w:val="22"/>
              </w:rPr>
            </w:pPr>
            <w:r w:rsidRPr="00205C60">
              <w:rPr>
                <w:rFonts w:ascii="Verdana" w:hAnsi="Verdana" w:cs="Arial"/>
                <w:b/>
                <w:snapToGrid w:val="0"/>
                <w:sz w:val="22"/>
                <w:szCs w:val="22"/>
              </w:rPr>
              <w:t>Utilidades Retenidas</w:t>
            </w:r>
          </w:p>
        </w:tc>
        <w:tc>
          <w:tcPr>
            <w:tcW w:w="136" w:type="pct"/>
            <w:tcBorders>
              <w:top w:val="single" w:sz="4" w:space="0" w:color="auto"/>
              <w:left w:val="nil"/>
              <w:bottom w:val="single" w:sz="4" w:space="0" w:color="auto"/>
              <w:right w:val="single" w:sz="4" w:space="0" w:color="auto"/>
            </w:tcBorders>
            <w:vAlign w:val="center"/>
          </w:tcPr>
          <w:p w14:paraId="3CA7ED13" w14:textId="77777777" w:rsidR="00B44125" w:rsidRPr="00205C60" w:rsidRDefault="00B44125" w:rsidP="006E18E7">
            <w:pPr>
              <w:jc w:val="center"/>
              <w:rPr>
                <w:rFonts w:ascii="Verdana" w:hAnsi="Verdana" w:cs="Arial"/>
                <w:snapToGrid w:val="0"/>
                <w:sz w:val="22"/>
                <w:szCs w:val="22"/>
              </w:rPr>
            </w:pPr>
          </w:p>
        </w:tc>
        <w:tc>
          <w:tcPr>
            <w:tcW w:w="1553" w:type="pct"/>
            <w:tcBorders>
              <w:top w:val="single" w:sz="4" w:space="0" w:color="auto"/>
              <w:left w:val="single" w:sz="4" w:space="0" w:color="auto"/>
              <w:bottom w:val="single" w:sz="4" w:space="0" w:color="auto"/>
              <w:right w:val="single" w:sz="4" w:space="0" w:color="auto"/>
            </w:tcBorders>
            <w:vAlign w:val="center"/>
          </w:tcPr>
          <w:p w14:paraId="3CA7ED14" w14:textId="77777777" w:rsidR="00B44125" w:rsidRPr="00205C60" w:rsidRDefault="00BA2F2B" w:rsidP="006E18E7">
            <w:pPr>
              <w:jc w:val="center"/>
              <w:rPr>
                <w:rFonts w:ascii="Verdana" w:hAnsi="Verdana" w:cs="Arial"/>
                <w:b/>
                <w:bCs/>
                <w:snapToGrid w:val="0"/>
                <w:sz w:val="22"/>
                <w:szCs w:val="22"/>
              </w:rPr>
            </w:pPr>
            <w:r w:rsidRPr="00205C60">
              <w:rPr>
                <w:rFonts w:ascii="Verdana" w:hAnsi="Verdana" w:cs="Arial"/>
                <w:b/>
                <w:bCs/>
                <w:snapToGrid w:val="0"/>
                <w:sz w:val="22"/>
                <w:szCs w:val="22"/>
              </w:rPr>
              <w:t>Patrimonio neto</w:t>
            </w:r>
          </w:p>
        </w:tc>
      </w:tr>
      <w:tr w:rsidR="007A7107" w:rsidRPr="00205C60" w14:paraId="3CA7ED23" w14:textId="77777777" w:rsidTr="006A3BAE">
        <w:trPr>
          <w:trHeight w:val="257"/>
          <w:jc w:val="center"/>
        </w:trPr>
        <w:tc>
          <w:tcPr>
            <w:tcW w:w="853" w:type="pct"/>
            <w:tcBorders>
              <w:top w:val="single" w:sz="4" w:space="0" w:color="auto"/>
              <w:left w:val="single" w:sz="4" w:space="0" w:color="auto"/>
              <w:bottom w:val="single" w:sz="4" w:space="0" w:color="auto"/>
              <w:right w:val="single" w:sz="4" w:space="0" w:color="auto"/>
            </w:tcBorders>
            <w:vAlign w:val="center"/>
          </w:tcPr>
          <w:p w14:paraId="3CA7ED1D" w14:textId="73C81052" w:rsidR="007A7107" w:rsidRPr="00205C60" w:rsidRDefault="007A7107" w:rsidP="007A7107">
            <w:pPr>
              <w:jc w:val="center"/>
              <w:rPr>
                <w:rFonts w:ascii="Verdana" w:hAnsi="Verdana" w:cs="Arial"/>
                <w:snapToGrid w:val="0"/>
                <w:sz w:val="22"/>
                <w:szCs w:val="22"/>
              </w:rPr>
            </w:pPr>
            <w:r w:rsidRPr="00205C60">
              <w:rPr>
                <w:rFonts w:ascii="Verdana" w:hAnsi="Verdana" w:cs="Arial"/>
                <w:snapToGrid w:val="0"/>
                <w:sz w:val="22"/>
                <w:szCs w:val="22"/>
              </w:rPr>
              <w:t>2020</w:t>
            </w:r>
          </w:p>
        </w:tc>
        <w:tc>
          <w:tcPr>
            <w:tcW w:w="879" w:type="pct"/>
            <w:tcBorders>
              <w:top w:val="single" w:sz="4" w:space="0" w:color="auto"/>
              <w:left w:val="single" w:sz="4" w:space="0" w:color="auto"/>
              <w:bottom w:val="single" w:sz="4" w:space="0" w:color="auto"/>
              <w:right w:val="nil"/>
            </w:tcBorders>
            <w:shd w:val="solid" w:color="FFFFFF" w:fill="auto"/>
            <w:vAlign w:val="bottom"/>
          </w:tcPr>
          <w:p w14:paraId="3CA7ED1E" w14:textId="3FA15C82" w:rsidR="007A7107" w:rsidRPr="00205C60" w:rsidRDefault="007A7107" w:rsidP="007A7107">
            <w:pPr>
              <w:jc w:val="center"/>
              <w:rPr>
                <w:rFonts w:ascii="Verdana" w:hAnsi="Verdana" w:cs="Arial"/>
                <w:snapToGrid w:val="0"/>
                <w:sz w:val="22"/>
                <w:szCs w:val="22"/>
              </w:rPr>
            </w:pPr>
            <w:r w:rsidRPr="00205C60">
              <w:rPr>
                <w:rFonts w:ascii="Verdana" w:hAnsi="Verdana" w:cs="Arial"/>
                <w:snapToGrid w:val="0"/>
                <w:sz w:val="22"/>
                <w:szCs w:val="22"/>
              </w:rPr>
              <w:t>409.887.227</w:t>
            </w:r>
          </w:p>
        </w:tc>
        <w:tc>
          <w:tcPr>
            <w:tcW w:w="150" w:type="pct"/>
            <w:tcBorders>
              <w:top w:val="single" w:sz="4" w:space="0" w:color="auto"/>
              <w:left w:val="nil"/>
              <w:bottom w:val="single" w:sz="4" w:space="0" w:color="auto"/>
              <w:right w:val="single" w:sz="4" w:space="0" w:color="auto"/>
            </w:tcBorders>
            <w:vAlign w:val="center"/>
          </w:tcPr>
          <w:p w14:paraId="3CA7ED1F" w14:textId="77777777" w:rsidR="007A7107" w:rsidRPr="00205C60" w:rsidRDefault="007A7107" w:rsidP="007A7107">
            <w:pPr>
              <w:jc w:val="center"/>
              <w:rPr>
                <w:rFonts w:ascii="Verdana" w:hAnsi="Verdana" w:cs="Arial"/>
                <w:snapToGrid w:val="0"/>
                <w:sz w:val="22"/>
                <w:szCs w:val="22"/>
              </w:rPr>
            </w:pPr>
          </w:p>
        </w:tc>
        <w:tc>
          <w:tcPr>
            <w:tcW w:w="1429" w:type="pct"/>
            <w:tcBorders>
              <w:top w:val="single" w:sz="4" w:space="0" w:color="auto"/>
              <w:left w:val="single" w:sz="4" w:space="0" w:color="auto"/>
              <w:bottom w:val="single" w:sz="4" w:space="0" w:color="auto"/>
              <w:right w:val="nil"/>
            </w:tcBorders>
            <w:vAlign w:val="center"/>
          </w:tcPr>
          <w:p w14:paraId="3CA7ED20" w14:textId="7AC7B4D7" w:rsidR="007A7107" w:rsidRPr="00205C60" w:rsidRDefault="007A7107" w:rsidP="007A7107">
            <w:pPr>
              <w:jc w:val="center"/>
              <w:rPr>
                <w:rFonts w:ascii="Verdana" w:hAnsi="Verdana" w:cs="Arial"/>
                <w:snapToGrid w:val="0"/>
                <w:sz w:val="22"/>
                <w:szCs w:val="22"/>
              </w:rPr>
            </w:pPr>
            <w:r w:rsidRPr="00205C60">
              <w:rPr>
                <w:rFonts w:ascii="Verdana" w:hAnsi="Verdana" w:cs="Arial"/>
                <w:snapToGrid w:val="0"/>
                <w:sz w:val="22"/>
                <w:szCs w:val="22"/>
              </w:rPr>
              <w:t>111.707.761</w:t>
            </w:r>
          </w:p>
        </w:tc>
        <w:tc>
          <w:tcPr>
            <w:tcW w:w="136" w:type="pct"/>
            <w:tcBorders>
              <w:top w:val="single" w:sz="4" w:space="0" w:color="auto"/>
              <w:left w:val="nil"/>
              <w:bottom w:val="single" w:sz="4" w:space="0" w:color="auto"/>
              <w:right w:val="single" w:sz="4" w:space="0" w:color="auto"/>
            </w:tcBorders>
            <w:vAlign w:val="center"/>
          </w:tcPr>
          <w:p w14:paraId="3CA7ED21" w14:textId="77777777" w:rsidR="007A7107" w:rsidRPr="00205C60" w:rsidRDefault="007A7107" w:rsidP="007A7107">
            <w:pPr>
              <w:jc w:val="center"/>
              <w:rPr>
                <w:rFonts w:ascii="Verdana" w:hAnsi="Verdana" w:cs="Arial"/>
                <w:snapToGrid w:val="0"/>
                <w:sz w:val="22"/>
                <w:szCs w:val="22"/>
              </w:rPr>
            </w:pPr>
          </w:p>
        </w:tc>
        <w:tc>
          <w:tcPr>
            <w:tcW w:w="1553" w:type="pct"/>
            <w:tcBorders>
              <w:top w:val="single" w:sz="4" w:space="0" w:color="auto"/>
              <w:left w:val="single" w:sz="4" w:space="0" w:color="auto"/>
              <w:bottom w:val="single" w:sz="4" w:space="0" w:color="auto"/>
              <w:right w:val="single" w:sz="4" w:space="0" w:color="auto"/>
            </w:tcBorders>
            <w:vAlign w:val="center"/>
          </w:tcPr>
          <w:p w14:paraId="3CA7ED22" w14:textId="511C502D" w:rsidR="007A7107" w:rsidRPr="00205C60" w:rsidRDefault="007A7107" w:rsidP="007A7107">
            <w:pPr>
              <w:jc w:val="center"/>
              <w:rPr>
                <w:rFonts w:ascii="Verdana" w:hAnsi="Verdana" w:cs="Arial"/>
                <w:bCs/>
                <w:snapToGrid w:val="0"/>
                <w:sz w:val="22"/>
                <w:szCs w:val="22"/>
              </w:rPr>
            </w:pPr>
            <w:r w:rsidRPr="00205C60">
              <w:rPr>
                <w:rFonts w:ascii="Verdana" w:hAnsi="Verdana" w:cs="Arial"/>
                <w:bCs/>
                <w:snapToGrid w:val="0"/>
                <w:sz w:val="22"/>
                <w:szCs w:val="22"/>
              </w:rPr>
              <w:t>298.179.466</w:t>
            </w:r>
          </w:p>
        </w:tc>
      </w:tr>
      <w:tr w:rsidR="007A7107" w:rsidRPr="00205C60" w14:paraId="3CA7ED2A" w14:textId="77777777" w:rsidTr="006A3BAE">
        <w:trPr>
          <w:trHeight w:val="257"/>
          <w:jc w:val="center"/>
        </w:trPr>
        <w:tc>
          <w:tcPr>
            <w:tcW w:w="853" w:type="pct"/>
            <w:tcBorders>
              <w:top w:val="single" w:sz="4" w:space="0" w:color="auto"/>
              <w:left w:val="single" w:sz="4" w:space="0" w:color="auto"/>
              <w:bottom w:val="single" w:sz="4" w:space="0" w:color="auto"/>
              <w:right w:val="single" w:sz="4" w:space="0" w:color="auto"/>
            </w:tcBorders>
            <w:vAlign w:val="center"/>
          </w:tcPr>
          <w:p w14:paraId="3CA7ED24" w14:textId="2088A58D" w:rsidR="007A7107" w:rsidRPr="00205C60" w:rsidRDefault="007A7107" w:rsidP="007A7107">
            <w:pPr>
              <w:jc w:val="center"/>
              <w:rPr>
                <w:rFonts w:ascii="Verdana" w:hAnsi="Verdana" w:cs="Arial"/>
                <w:snapToGrid w:val="0"/>
                <w:sz w:val="22"/>
                <w:szCs w:val="22"/>
              </w:rPr>
            </w:pPr>
            <w:r w:rsidRPr="00205C60">
              <w:rPr>
                <w:rFonts w:ascii="Verdana" w:hAnsi="Verdana" w:cs="Arial"/>
                <w:snapToGrid w:val="0"/>
                <w:sz w:val="22"/>
                <w:szCs w:val="22"/>
              </w:rPr>
              <w:t>2021</w:t>
            </w:r>
          </w:p>
        </w:tc>
        <w:tc>
          <w:tcPr>
            <w:tcW w:w="879" w:type="pct"/>
            <w:tcBorders>
              <w:top w:val="single" w:sz="4" w:space="0" w:color="auto"/>
              <w:left w:val="single" w:sz="4" w:space="0" w:color="auto"/>
              <w:bottom w:val="single" w:sz="4" w:space="0" w:color="auto"/>
              <w:right w:val="nil"/>
            </w:tcBorders>
            <w:shd w:val="solid" w:color="FFFFFF" w:fill="auto"/>
            <w:vAlign w:val="bottom"/>
          </w:tcPr>
          <w:p w14:paraId="3CA7ED25" w14:textId="06237D43" w:rsidR="007A7107" w:rsidRPr="00205C60" w:rsidRDefault="007A7107" w:rsidP="007A7107">
            <w:pPr>
              <w:jc w:val="center"/>
              <w:rPr>
                <w:rFonts w:ascii="Verdana" w:hAnsi="Verdana" w:cs="Arial"/>
                <w:snapToGrid w:val="0"/>
                <w:sz w:val="22"/>
                <w:szCs w:val="22"/>
              </w:rPr>
            </w:pPr>
            <w:r w:rsidRPr="00205C60">
              <w:rPr>
                <w:rFonts w:ascii="Verdana" w:hAnsi="Verdana" w:cs="Arial"/>
                <w:snapToGrid w:val="0"/>
                <w:sz w:val="22"/>
                <w:szCs w:val="22"/>
              </w:rPr>
              <w:t>394.219.446</w:t>
            </w:r>
          </w:p>
        </w:tc>
        <w:tc>
          <w:tcPr>
            <w:tcW w:w="150" w:type="pct"/>
            <w:tcBorders>
              <w:top w:val="single" w:sz="4" w:space="0" w:color="auto"/>
              <w:left w:val="nil"/>
              <w:bottom w:val="single" w:sz="4" w:space="0" w:color="auto"/>
              <w:right w:val="single" w:sz="4" w:space="0" w:color="auto"/>
            </w:tcBorders>
            <w:vAlign w:val="center"/>
          </w:tcPr>
          <w:p w14:paraId="3CA7ED26" w14:textId="77777777" w:rsidR="007A7107" w:rsidRPr="00205C60" w:rsidRDefault="007A7107" w:rsidP="007A7107">
            <w:pPr>
              <w:jc w:val="center"/>
              <w:rPr>
                <w:rFonts w:ascii="Verdana" w:hAnsi="Verdana" w:cs="Arial"/>
                <w:snapToGrid w:val="0"/>
                <w:sz w:val="22"/>
                <w:szCs w:val="22"/>
              </w:rPr>
            </w:pPr>
          </w:p>
        </w:tc>
        <w:tc>
          <w:tcPr>
            <w:tcW w:w="1429" w:type="pct"/>
            <w:tcBorders>
              <w:top w:val="single" w:sz="4" w:space="0" w:color="auto"/>
              <w:left w:val="single" w:sz="4" w:space="0" w:color="auto"/>
              <w:bottom w:val="single" w:sz="4" w:space="0" w:color="auto"/>
              <w:right w:val="nil"/>
            </w:tcBorders>
            <w:vAlign w:val="center"/>
          </w:tcPr>
          <w:p w14:paraId="3CA7ED27" w14:textId="18D4266C" w:rsidR="007A7107" w:rsidRPr="00205C60" w:rsidRDefault="007A7107" w:rsidP="007A7107">
            <w:pPr>
              <w:jc w:val="center"/>
              <w:rPr>
                <w:rFonts w:ascii="Verdana" w:hAnsi="Verdana" w:cs="Arial"/>
                <w:snapToGrid w:val="0"/>
                <w:sz w:val="22"/>
                <w:szCs w:val="22"/>
              </w:rPr>
            </w:pPr>
            <w:r w:rsidRPr="00205C60">
              <w:rPr>
                <w:rFonts w:ascii="Verdana" w:hAnsi="Verdana" w:cs="Arial"/>
                <w:snapToGrid w:val="0"/>
                <w:sz w:val="22"/>
                <w:szCs w:val="22"/>
              </w:rPr>
              <w:t>111.280.544</w:t>
            </w:r>
          </w:p>
        </w:tc>
        <w:tc>
          <w:tcPr>
            <w:tcW w:w="136" w:type="pct"/>
            <w:tcBorders>
              <w:top w:val="single" w:sz="4" w:space="0" w:color="auto"/>
              <w:left w:val="nil"/>
              <w:bottom w:val="single" w:sz="4" w:space="0" w:color="auto"/>
              <w:right w:val="single" w:sz="4" w:space="0" w:color="auto"/>
            </w:tcBorders>
            <w:vAlign w:val="center"/>
          </w:tcPr>
          <w:p w14:paraId="3CA7ED28" w14:textId="77777777" w:rsidR="007A7107" w:rsidRPr="00205C60" w:rsidRDefault="007A7107" w:rsidP="007A7107">
            <w:pPr>
              <w:jc w:val="center"/>
              <w:rPr>
                <w:rFonts w:ascii="Verdana" w:hAnsi="Verdana" w:cs="Arial"/>
                <w:snapToGrid w:val="0"/>
                <w:sz w:val="22"/>
                <w:szCs w:val="22"/>
              </w:rPr>
            </w:pPr>
          </w:p>
        </w:tc>
        <w:tc>
          <w:tcPr>
            <w:tcW w:w="1553" w:type="pct"/>
            <w:tcBorders>
              <w:top w:val="single" w:sz="4" w:space="0" w:color="auto"/>
              <w:left w:val="single" w:sz="4" w:space="0" w:color="auto"/>
              <w:bottom w:val="single" w:sz="4" w:space="0" w:color="auto"/>
              <w:right w:val="single" w:sz="4" w:space="0" w:color="auto"/>
            </w:tcBorders>
            <w:vAlign w:val="center"/>
          </w:tcPr>
          <w:p w14:paraId="3CA7ED29" w14:textId="3872D50A" w:rsidR="007A7107" w:rsidRPr="00205C60" w:rsidRDefault="007A7107" w:rsidP="007A7107">
            <w:pPr>
              <w:jc w:val="center"/>
              <w:rPr>
                <w:rFonts w:ascii="Verdana" w:hAnsi="Verdana" w:cs="Arial"/>
                <w:bCs/>
                <w:snapToGrid w:val="0"/>
                <w:sz w:val="22"/>
                <w:szCs w:val="22"/>
              </w:rPr>
            </w:pPr>
            <w:r w:rsidRPr="00205C60">
              <w:rPr>
                <w:rFonts w:ascii="Verdana" w:hAnsi="Verdana" w:cs="Arial"/>
                <w:bCs/>
                <w:snapToGrid w:val="0"/>
                <w:sz w:val="22"/>
                <w:szCs w:val="22"/>
              </w:rPr>
              <w:t>282.938.902</w:t>
            </w:r>
          </w:p>
        </w:tc>
      </w:tr>
      <w:tr w:rsidR="00CB4A38" w:rsidRPr="00205C60" w14:paraId="132011CB" w14:textId="77777777" w:rsidTr="006A3BAE">
        <w:trPr>
          <w:trHeight w:val="257"/>
          <w:jc w:val="center"/>
        </w:trPr>
        <w:tc>
          <w:tcPr>
            <w:tcW w:w="853" w:type="pct"/>
            <w:tcBorders>
              <w:top w:val="single" w:sz="4" w:space="0" w:color="auto"/>
              <w:left w:val="single" w:sz="4" w:space="0" w:color="auto"/>
              <w:bottom w:val="single" w:sz="4" w:space="0" w:color="auto"/>
              <w:right w:val="single" w:sz="4" w:space="0" w:color="auto"/>
            </w:tcBorders>
            <w:vAlign w:val="center"/>
          </w:tcPr>
          <w:p w14:paraId="16C29624" w14:textId="07873503" w:rsidR="00CB4A38" w:rsidRPr="00205C60" w:rsidRDefault="00CB4A38" w:rsidP="006E18E7">
            <w:pPr>
              <w:jc w:val="center"/>
              <w:rPr>
                <w:rFonts w:ascii="Verdana" w:hAnsi="Verdana" w:cs="Arial"/>
                <w:snapToGrid w:val="0"/>
                <w:sz w:val="22"/>
                <w:szCs w:val="22"/>
              </w:rPr>
            </w:pPr>
            <w:r w:rsidRPr="00205C60">
              <w:rPr>
                <w:rFonts w:ascii="Verdana" w:hAnsi="Verdana" w:cs="Arial"/>
                <w:snapToGrid w:val="0"/>
                <w:sz w:val="22"/>
                <w:szCs w:val="22"/>
              </w:rPr>
              <w:t>20</w:t>
            </w:r>
            <w:r w:rsidR="00F2762C" w:rsidRPr="00205C60">
              <w:rPr>
                <w:rFonts w:ascii="Verdana" w:hAnsi="Verdana" w:cs="Arial"/>
                <w:snapToGrid w:val="0"/>
                <w:sz w:val="22"/>
                <w:szCs w:val="22"/>
              </w:rPr>
              <w:t>22</w:t>
            </w:r>
          </w:p>
        </w:tc>
        <w:tc>
          <w:tcPr>
            <w:tcW w:w="879" w:type="pct"/>
            <w:tcBorders>
              <w:top w:val="single" w:sz="4" w:space="0" w:color="auto"/>
              <w:left w:val="single" w:sz="4" w:space="0" w:color="auto"/>
              <w:bottom w:val="single" w:sz="4" w:space="0" w:color="auto"/>
              <w:right w:val="nil"/>
            </w:tcBorders>
            <w:shd w:val="solid" w:color="FFFFFF" w:fill="auto"/>
            <w:vAlign w:val="bottom"/>
          </w:tcPr>
          <w:p w14:paraId="4206B3ED" w14:textId="6B2B8606" w:rsidR="00CB4A38" w:rsidRPr="00205C60" w:rsidRDefault="00D85F65" w:rsidP="0028206E">
            <w:pPr>
              <w:jc w:val="center"/>
              <w:rPr>
                <w:rFonts w:ascii="Verdana" w:hAnsi="Verdana" w:cs="Arial"/>
                <w:snapToGrid w:val="0"/>
                <w:sz w:val="22"/>
                <w:szCs w:val="22"/>
              </w:rPr>
            </w:pPr>
            <w:r w:rsidRPr="00205C60">
              <w:rPr>
                <w:rFonts w:ascii="Verdana" w:hAnsi="Verdana" w:cs="Arial"/>
                <w:snapToGrid w:val="0"/>
                <w:sz w:val="22"/>
                <w:szCs w:val="22"/>
              </w:rPr>
              <w:t>419</w:t>
            </w:r>
            <w:r w:rsidR="001842C7" w:rsidRPr="00205C60">
              <w:rPr>
                <w:rFonts w:ascii="Verdana" w:hAnsi="Verdana" w:cs="Arial"/>
                <w:snapToGrid w:val="0"/>
                <w:sz w:val="22"/>
                <w:szCs w:val="22"/>
              </w:rPr>
              <w:t>.</w:t>
            </w:r>
            <w:r w:rsidRPr="00205C60">
              <w:rPr>
                <w:rFonts w:ascii="Verdana" w:hAnsi="Verdana" w:cs="Arial"/>
                <w:snapToGrid w:val="0"/>
                <w:sz w:val="22"/>
                <w:szCs w:val="22"/>
              </w:rPr>
              <w:t>943</w:t>
            </w:r>
            <w:r w:rsidR="001842C7" w:rsidRPr="00205C60">
              <w:rPr>
                <w:rFonts w:ascii="Verdana" w:hAnsi="Verdana" w:cs="Arial"/>
                <w:snapToGrid w:val="0"/>
                <w:sz w:val="22"/>
                <w:szCs w:val="22"/>
              </w:rPr>
              <w:t>.</w:t>
            </w:r>
            <w:r w:rsidRPr="00205C60">
              <w:rPr>
                <w:rFonts w:ascii="Verdana" w:hAnsi="Verdana" w:cs="Arial"/>
                <w:snapToGrid w:val="0"/>
                <w:sz w:val="22"/>
                <w:szCs w:val="22"/>
              </w:rPr>
              <w:t>530</w:t>
            </w:r>
          </w:p>
        </w:tc>
        <w:tc>
          <w:tcPr>
            <w:tcW w:w="150" w:type="pct"/>
            <w:tcBorders>
              <w:top w:val="single" w:sz="4" w:space="0" w:color="auto"/>
              <w:left w:val="nil"/>
              <w:bottom w:val="single" w:sz="4" w:space="0" w:color="auto"/>
              <w:right w:val="single" w:sz="4" w:space="0" w:color="auto"/>
            </w:tcBorders>
            <w:vAlign w:val="center"/>
          </w:tcPr>
          <w:p w14:paraId="16316491" w14:textId="77777777" w:rsidR="00CB4A38" w:rsidRPr="00205C60" w:rsidRDefault="00CB4A38" w:rsidP="006E18E7">
            <w:pPr>
              <w:jc w:val="center"/>
              <w:rPr>
                <w:rFonts w:ascii="Verdana" w:hAnsi="Verdana" w:cs="Arial"/>
                <w:snapToGrid w:val="0"/>
                <w:sz w:val="22"/>
                <w:szCs w:val="22"/>
              </w:rPr>
            </w:pPr>
          </w:p>
        </w:tc>
        <w:tc>
          <w:tcPr>
            <w:tcW w:w="1429" w:type="pct"/>
            <w:tcBorders>
              <w:top w:val="single" w:sz="4" w:space="0" w:color="auto"/>
              <w:left w:val="single" w:sz="4" w:space="0" w:color="auto"/>
              <w:bottom w:val="single" w:sz="4" w:space="0" w:color="auto"/>
              <w:right w:val="nil"/>
            </w:tcBorders>
            <w:vAlign w:val="center"/>
          </w:tcPr>
          <w:p w14:paraId="7FEBBD81" w14:textId="15F85BF7" w:rsidR="0048177E" w:rsidRPr="00205C60" w:rsidRDefault="0048177E" w:rsidP="0048177E">
            <w:pPr>
              <w:jc w:val="center"/>
              <w:rPr>
                <w:rFonts w:ascii="Verdana" w:hAnsi="Verdana" w:cs="Arial"/>
                <w:snapToGrid w:val="0"/>
                <w:sz w:val="22"/>
                <w:szCs w:val="22"/>
              </w:rPr>
            </w:pPr>
            <w:r w:rsidRPr="00205C60">
              <w:rPr>
                <w:rFonts w:ascii="Verdana" w:hAnsi="Verdana" w:cs="Arial"/>
                <w:snapToGrid w:val="0"/>
                <w:sz w:val="22"/>
                <w:szCs w:val="22"/>
              </w:rPr>
              <w:t>1</w:t>
            </w:r>
            <w:r w:rsidR="00D85F65" w:rsidRPr="00205C60">
              <w:rPr>
                <w:rFonts w:ascii="Verdana" w:hAnsi="Verdana" w:cs="Arial"/>
                <w:snapToGrid w:val="0"/>
                <w:sz w:val="22"/>
                <w:szCs w:val="22"/>
              </w:rPr>
              <w:t>41</w:t>
            </w:r>
            <w:r w:rsidRPr="00205C60">
              <w:rPr>
                <w:rFonts w:ascii="Verdana" w:hAnsi="Verdana" w:cs="Arial"/>
                <w:snapToGrid w:val="0"/>
                <w:sz w:val="22"/>
                <w:szCs w:val="22"/>
              </w:rPr>
              <w:t>.</w:t>
            </w:r>
            <w:r w:rsidR="00D85F65" w:rsidRPr="00205C60">
              <w:rPr>
                <w:rFonts w:ascii="Verdana" w:hAnsi="Verdana" w:cs="Arial"/>
                <w:snapToGrid w:val="0"/>
                <w:sz w:val="22"/>
                <w:szCs w:val="22"/>
              </w:rPr>
              <w:t>164</w:t>
            </w:r>
            <w:r w:rsidRPr="00205C60">
              <w:rPr>
                <w:rFonts w:ascii="Verdana" w:hAnsi="Verdana" w:cs="Arial"/>
                <w:snapToGrid w:val="0"/>
                <w:sz w:val="22"/>
                <w:szCs w:val="22"/>
              </w:rPr>
              <w:t>.</w:t>
            </w:r>
            <w:r w:rsidR="00FD223E" w:rsidRPr="00205C60">
              <w:rPr>
                <w:rFonts w:ascii="Verdana" w:hAnsi="Verdana" w:cs="Arial"/>
                <w:snapToGrid w:val="0"/>
                <w:sz w:val="22"/>
                <w:szCs w:val="22"/>
              </w:rPr>
              <w:t>335</w:t>
            </w:r>
          </w:p>
        </w:tc>
        <w:tc>
          <w:tcPr>
            <w:tcW w:w="136" w:type="pct"/>
            <w:tcBorders>
              <w:top w:val="single" w:sz="4" w:space="0" w:color="auto"/>
              <w:left w:val="nil"/>
              <w:bottom w:val="single" w:sz="4" w:space="0" w:color="auto"/>
              <w:right w:val="single" w:sz="4" w:space="0" w:color="auto"/>
            </w:tcBorders>
            <w:vAlign w:val="center"/>
          </w:tcPr>
          <w:p w14:paraId="11D1EBDC" w14:textId="77777777" w:rsidR="00CB4A38" w:rsidRPr="00205C60" w:rsidRDefault="00CB4A38" w:rsidP="006E18E7">
            <w:pPr>
              <w:jc w:val="center"/>
              <w:rPr>
                <w:rFonts w:ascii="Verdana" w:hAnsi="Verdana" w:cs="Arial"/>
                <w:snapToGrid w:val="0"/>
                <w:sz w:val="22"/>
                <w:szCs w:val="22"/>
              </w:rPr>
            </w:pPr>
          </w:p>
        </w:tc>
        <w:tc>
          <w:tcPr>
            <w:tcW w:w="1553" w:type="pct"/>
            <w:tcBorders>
              <w:top w:val="single" w:sz="4" w:space="0" w:color="auto"/>
              <w:left w:val="single" w:sz="4" w:space="0" w:color="auto"/>
              <w:bottom w:val="single" w:sz="4" w:space="0" w:color="auto"/>
              <w:right w:val="single" w:sz="4" w:space="0" w:color="auto"/>
            </w:tcBorders>
            <w:vAlign w:val="center"/>
          </w:tcPr>
          <w:p w14:paraId="3D522346" w14:textId="43120FEA" w:rsidR="00CB4A38" w:rsidRPr="00205C60" w:rsidRDefault="00204A47" w:rsidP="001A2FB6">
            <w:pPr>
              <w:jc w:val="center"/>
              <w:rPr>
                <w:rFonts w:ascii="Verdana" w:hAnsi="Verdana" w:cs="Arial"/>
                <w:bCs/>
                <w:snapToGrid w:val="0"/>
                <w:sz w:val="22"/>
                <w:szCs w:val="22"/>
              </w:rPr>
            </w:pPr>
            <w:r w:rsidRPr="00205C60">
              <w:rPr>
                <w:rFonts w:ascii="Verdana" w:hAnsi="Verdana" w:cs="Arial"/>
                <w:bCs/>
                <w:snapToGrid w:val="0"/>
                <w:sz w:val="22"/>
                <w:szCs w:val="22"/>
              </w:rPr>
              <w:t>2</w:t>
            </w:r>
            <w:r w:rsidR="00FD223E" w:rsidRPr="00205C60">
              <w:rPr>
                <w:rFonts w:ascii="Verdana" w:hAnsi="Verdana" w:cs="Arial"/>
                <w:bCs/>
                <w:snapToGrid w:val="0"/>
                <w:sz w:val="22"/>
                <w:szCs w:val="22"/>
              </w:rPr>
              <w:t>78</w:t>
            </w:r>
            <w:r w:rsidRPr="00205C60">
              <w:rPr>
                <w:rFonts w:ascii="Verdana" w:hAnsi="Verdana" w:cs="Arial"/>
                <w:bCs/>
                <w:snapToGrid w:val="0"/>
                <w:sz w:val="22"/>
                <w:szCs w:val="22"/>
              </w:rPr>
              <w:t>.</w:t>
            </w:r>
            <w:r w:rsidR="00FD223E" w:rsidRPr="00205C60">
              <w:rPr>
                <w:rFonts w:ascii="Verdana" w:hAnsi="Verdana" w:cs="Arial"/>
                <w:bCs/>
                <w:snapToGrid w:val="0"/>
                <w:sz w:val="22"/>
                <w:szCs w:val="22"/>
              </w:rPr>
              <w:t>779</w:t>
            </w:r>
            <w:r w:rsidRPr="00205C60">
              <w:rPr>
                <w:rFonts w:ascii="Verdana" w:hAnsi="Verdana" w:cs="Arial"/>
                <w:bCs/>
                <w:snapToGrid w:val="0"/>
                <w:sz w:val="22"/>
                <w:szCs w:val="22"/>
              </w:rPr>
              <w:t>.</w:t>
            </w:r>
            <w:r w:rsidR="00FD223E" w:rsidRPr="00205C60">
              <w:rPr>
                <w:rFonts w:ascii="Verdana" w:hAnsi="Verdana" w:cs="Arial"/>
                <w:bCs/>
                <w:snapToGrid w:val="0"/>
                <w:sz w:val="22"/>
                <w:szCs w:val="22"/>
              </w:rPr>
              <w:t>195</w:t>
            </w:r>
          </w:p>
        </w:tc>
      </w:tr>
      <w:tr w:rsidR="00300F30" w:rsidRPr="00205C60" w14:paraId="3CA7ED2E" w14:textId="77777777" w:rsidTr="00D37B6E">
        <w:tblPrEx>
          <w:tblBorders>
            <w:top w:val="none" w:sz="0" w:space="0" w:color="auto"/>
            <w:left w:val="none" w:sz="0" w:space="0" w:color="auto"/>
            <w:bottom w:val="none" w:sz="0" w:space="0" w:color="auto"/>
            <w:right w:val="none" w:sz="0" w:space="0" w:color="auto"/>
          </w:tblBorders>
        </w:tblPrEx>
        <w:trPr>
          <w:cantSplit/>
          <w:trHeight w:val="476"/>
          <w:jc w:val="center"/>
        </w:trPr>
        <w:tc>
          <w:tcPr>
            <w:tcW w:w="3311" w:type="pct"/>
            <w:gridSpan w:val="4"/>
            <w:tcBorders>
              <w:top w:val="single" w:sz="4" w:space="0" w:color="auto"/>
              <w:left w:val="single" w:sz="4" w:space="0" w:color="auto"/>
              <w:bottom w:val="single" w:sz="4" w:space="0" w:color="auto"/>
              <w:right w:val="nil"/>
            </w:tcBorders>
            <w:shd w:val="solid" w:color="FFFFFF" w:fill="auto"/>
            <w:vAlign w:val="center"/>
          </w:tcPr>
          <w:p w14:paraId="3CA7ED2B" w14:textId="77777777" w:rsidR="00300F30" w:rsidRPr="00205C60" w:rsidRDefault="00300F30" w:rsidP="006E18E7">
            <w:pPr>
              <w:jc w:val="center"/>
              <w:rPr>
                <w:rFonts w:ascii="Verdana" w:hAnsi="Verdana" w:cs="Arial"/>
                <w:b/>
                <w:snapToGrid w:val="0"/>
                <w:sz w:val="22"/>
                <w:szCs w:val="22"/>
              </w:rPr>
            </w:pPr>
            <w:r w:rsidRPr="00205C60">
              <w:rPr>
                <w:rFonts w:ascii="Verdana" w:hAnsi="Verdana" w:cs="Arial"/>
                <w:b/>
                <w:snapToGrid w:val="0"/>
                <w:sz w:val="22"/>
                <w:szCs w:val="22"/>
              </w:rPr>
              <w:t>Cálculos</w:t>
            </w:r>
          </w:p>
        </w:tc>
        <w:tc>
          <w:tcPr>
            <w:tcW w:w="136" w:type="pct"/>
            <w:tcBorders>
              <w:top w:val="single" w:sz="4" w:space="0" w:color="auto"/>
              <w:left w:val="nil"/>
              <w:bottom w:val="single" w:sz="4" w:space="0" w:color="auto"/>
              <w:right w:val="nil"/>
            </w:tcBorders>
            <w:shd w:val="solid" w:color="FFFFFF" w:fill="auto"/>
            <w:vAlign w:val="center"/>
          </w:tcPr>
          <w:p w14:paraId="3CA7ED2C" w14:textId="77777777" w:rsidR="00300F30" w:rsidRPr="00205C60" w:rsidRDefault="00300F30" w:rsidP="006E18E7">
            <w:pPr>
              <w:jc w:val="center"/>
              <w:rPr>
                <w:rFonts w:ascii="Verdana" w:hAnsi="Verdana" w:cs="Arial"/>
                <w:b/>
                <w:snapToGrid w:val="0"/>
                <w:sz w:val="22"/>
                <w:szCs w:val="22"/>
              </w:rPr>
            </w:pPr>
          </w:p>
        </w:tc>
        <w:tc>
          <w:tcPr>
            <w:tcW w:w="1553" w:type="pct"/>
            <w:tcBorders>
              <w:top w:val="single" w:sz="4" w:space="0" w:color="auto"/>
              <w:left w:val="nil"/>
              <w:bottom w:val="single" w:sz="4" w:space="0" w:color="auto"/>
              <w:right w:val="single" w:sz="4" w:space="0" w:color="auto"/>
            </w:tcBorders>
            <w:shd w:val="solid" w:color="FFFFFF" w:fill="auto"/>
            <w:vAlign w:val="center"/>
          </w:tcPr>
          <w:p w14:paraId="3CA7ED2D" w14:textId="77777777" w:rsidR="00300F30" w:rsidRPr="00205C60" w:rsidRDefault="00300F30" w:rsidP="006E18E7">
            <w:pPr>
              <w:jc w:val="center"/>
              <w:rPr>
                <w:rFonts w:ascii="Verdana" w:hAnsi="Verdana" w:cs="Arial"/>
                <w:b/>
                <w:snapToGrid w:val="0"/>
                <w:sz w:val="22"/>
                <w:szCs w:val="22"/>
              </w:rPr>
            </w:pPr>
            <w:r w:rsidRPr="00205C60">
              <w:rPr>
                <w:rFonts w:ascii="Verdana" w:hAnsi="Verdana" w:cs="Arial"/>
                <w:b/>
                <w:snapToGrid w:val="0"/>
                <w:sz w:val="22"/>
                <w:szCs w:val="22"/>
              </w:rPr>
              <w:t>Resultados</w:t>
            </w:r>
          </w:p>
        </w:tc>
      </w:tr>
      <w:tr w:rsidR="00300F30" w:rsidRPr="00205C60" w14:paraId="3CA7ED35" w14:textId="77777777" w:rsidTr="006A3BAE">
        <w:tblPrEx>
          <w:tblBorders>
            <w:top w:val="none" w:sz="0" w:space="0" w:color="auto"/>
            <w:left w:val="none" w:sz="0" w:space="0" w:color="auto"/>
            <w:bottom w:val="none" w:sz="0" w:space="0" w:color="auto"/>
            <w:right w:val="none" w:sz="0" w:space="0" w:color="auto"/>
          </w:tblBorders>
        </w:tblPrEx>
        <w:trPr>
          <w:trHeight w:val="341"/>
          <w:jc w:val="center"/>
        </w:trPr>
        <w:tc>
          <w:tcPr>
            <w:tcW w:w="853" w:type="pct"/>
            <w:tcBorders>
              <w:top w:val="single" w:sz="4" w:space="0" w:color="auto"/>
              <w:left w:val="single" w:sz="4" w:space="0" w:color="auto"/>
              <w:bottom w:val="single" w:sz="4" w:space="0" w:color="auto"/>
              <w:right w:val="single" w:sz="4" w:space="0" w:color="auto"/>
            </w:tcBorders>
            <w:shd w:val="solid" w:color="FFFFFF" w:fill="auto"/>
            <w:vAlign w:val="center"/>
          </w:tcPr>
          <w:p w14:paraId="3CA7ED2F" w14:textId="77777777" w:rsidR="00300F30" w:rsidRPr="00205C60" w:rsidRDefault="00300F30" w:rsidP="006E18E7">
            <w:pPr>
              <w:jc w:val="center"/>
              <w:rPr>
                <w:rFonts w:ascii="Verdana" w:hAnsi="Verdana" w:cs="Arial"/>
                <w:b/>
                <w:bCs/>
                <w:snapToGrid w:val="0"/>
                <w:sz w:val="22"/>
                <w:szCs w:val="22"/>
              </w:rPr>
            </w:pPr>
            <w:r w:rsidRPr="00205C60">
              <w:rPr>
                <w:rFonts w:ascii="Verdana" w:hAnsi="Verdana" w:cs="Arial"/>
                <w:b/>
                <w:bCs/>
                <w:snapToGrid w:val="0"/>
                <w:sz w:val="22"/>
                <w:szCs w:val="22"/>
              </w:rPr>
              <w:t>Año</w:t>
            </w:r>
          </w:p>
        </w:tc>
        <w:tc>
          <w:tcPr>
            <w:tcW w:w="879" w:type="pct"/>
            <w:tcBorders>
              <w:top w:val="single" w:sz="4" w:space="0" w:color="auto"/>
              <w:left w:val="single" w:sz="4" w:space="0" w:color="auto"/>
              <w:bottom w:val="single" w:sz="4" w:space="0" w:color="auto"/>
              <w:right w:val="nil"/>
            </w:tcBorders>
            <w:shd w:val="solid" w:color="FFFFFF" w:fill="auto"/>
            <w:vAlign w:val="center"/>
          </w:tcPr>
          <w:p w14:paraId="3CA7ED30" w14:textId="77777777" w:rsidR="00300F30" w:rsidRPr="00205C60" w:rsidRDefault="00300F30" w:rsidP="006E18E7">
            <w:pPr>
              <w:jc w:val="center"/>
              <w:rPr>
                <w:rFonts w:ascii="Verdana" w:hAnsi="Verdana" w:cs="Arial"/>
                <w:b/>
                <w:bCs/>
                <w:snapToGrid w:val="0"/>
                <w:sz w:val="22"/>
                <w:szCs w:val="22"/>
              </w:rPr>
            </w:pPr>
            <w:r w:rsidRPr="00205C60">
              <w:rPr>
                <w:rFonts w:ascii="Verdana" w:hAnsi="Verdana" w:cs="Arial"/>
                <w:b/>
                <w:bCs/>
                <w:snapToGrid w:val="0"/>
                <w:sz w:val="22"/>
                <w:szCs w:val="22"/>
              </w:rPr>
              <w:t>Pasivo Total</w:t>
            </w:r>
          </w:p>
        </w:tc>
        <w:tc>
          <w:tcPr>
            <w:tcW w:w="150" w:type="pct"/>
            <w:tcBorders>
              <w:top w:val="single" w:sz="4" w:space="0" w:color="auto"/>
              <w:left w:val="nil"/>
              <w:bottom w:val="single" w:sz="4" w:space="0" w:color="auto"/>
              <w:right w:val="nil"/>
            </w:tcBorders>
            <w:shd w:val="solid" w:color="FFFFFF" w:fill="auto"/>
            <w:vAlign w:val="center"/>
          </w:tcPr>
          <w:p w14:paraId="3CA7ED31" w14:textId="77777777" w:rsidR="00300F30" w:rsidRPr="00205C60" w:rsidRDefault="00300F30" w:rsidP="006E18E7">
            <w:pPr>
              <w:jc w:val="center"/>
              <w:rPr>
                <w:rFonts w:ascii="Verdana" w:hAnsi="Verdana" w:cs="Arial"/>
                <w:b/>
                <w:bCs/>
                <w:snapToGrid w:val="0"/>
                <w:sz w:val="22"/>
                <w:szCs w:val="22"/>
              </w:rPr>
            </w:pPr>
            <w:r w:rsidRPr="00205C60">
              <w:rPr>
                <w:rFonts w:ascii="Verdana" w:hAnsi="Verdana" w:cs="Arial"/>
                <w:b/>
                <w:bCs/>
                <w:snapToGrid w:val="0"/>
                <w:sz w:val="22"/>
                <w:szCs w:val="22"/>
              </w:rPr>
              <w:t>÷</w:t>
            </w:r>
          </w:p>
        </w:tc>
        <w:tc>
          <w:tcPr>
            <w:tcW w:w="1429" w:type="pct"/>
            <w:tcBorders>
              <w:top w:val="single" w:sz="4" w:space="0" w:color="auto"/>
              <w:left w:val="nil"/>
              <w:bottom w:val="single" w:sz="4" w:space="0" w:color="auto"/>
              <w:right w:val="nil"/>
            </w:tcBorders>
            <w:shd w:val="solid" w:color="FFFFFF" w:fill="auto"/>
            <w:vAlign w:val="center"/>
          </w:tcPr>
          <w:p w14:paraId="3CA7ED32" w14:textId="77777777" w:rsidR="00300F30" w:rsidRPr="00205C60" w:rsidRDefault="00300F30" w:rsidP="006E18E7">
            <w:pPr>
              <w:jc w:val="center"/>
              <w:rPr>
                <w:rFonts w:ascii="Verdana" w:hAnsi="Verdana" w:cs="Arial"/>
                <w:b/>
                <w:bCs/>
                <w:snapToGrid w:val="0"/>
                <w:sz w:val="22"/>
                <w:szCs w:val="22"/>
              </w:rPr>
            </w:pPr>
            <w:r w:rsidRPr="00205C60">
              <w:rPr>
                <w:rFonts w:ascii="Verdana" w:hAnsi="Verdana" w:cs="Arial"/>
                <w:b/>
                <w:bCs/>
                <w:snapToGrid w:val="0"/>
                <w:sz w:val="22"/>
                <w:szCs w:val="22"/>
              </w:rPr>
              <w:t>Patrimonio Neto</w:t>
            </w:r>
          </w:p>
        </w:tc>
        <w:tc>
          <w:tcPr>
            <w:tcW w:w="136" w:type="pct"/>
            <w:tcBorders>
              <w:top w:val="single" w:sz="4" w:space="0" w:color="auto"/>
              <w:left w:val="nil"/>
              <w:bottom w:val="single" w:sz="4" w:space="0" w:color="auto"/>
              <w:right w:val="nil"/>
            </w:tcBorders>
            <w:shd w:val="solid" w:color="FFFFFF" w:fill="auto"/>
            <w:vAlign w:val="center"/>
          </w:tcPr>
          <w:p w14:paraId="3CA7ED33" w14:textId="77777777" w:rsidR="00300F30" w:rsidRPr="00205C60" w:rsidRDefault="00300F30" w:rsidP="006E18E7">
            <w:pPr>
              <w:jc w:val="center"/>
              <w:rPr>
                <w:rFonts w:ascii="Verdana" w:hAnsi="Verdana" w:cs="Arial"/>
                <w:snapToGrid w:val="0"/>
                <w:sz w:val="22"/>
                <w:szCs w:val="22"/>
              </w:rPr>
            </w:pPr>
            <w:r w:rsidRPr="00205C60">
              <w:rPr>
                <w:rFonts w:ascii="Verdana" w:hAnsi="Verdana" w:cs="Arial"/>
                <w:snapToGrid w:val="0"/>
                <w:sz w:val="22"/>
                <w:szCs w:val="22"/>
              </w:rPr>
              <w:t>=</w:t>
            </w:r>
          </w:p>
        </w:tc>
        <w:tc>
          <w:tcPr>
            <w:tcW w:w="1553" w:type="pct"/>
            <w:tcBorders>
              <w:top w:val="single" w:sz="4" w:space="0" w:color="auto"/>
              <w:left w:val="nil"/>
              <w:bottom w:val="single" w:sz="4" w:space="0" w:color="auto"/>
              <w:right w:val="single" w:sz="4" w:space="0" w:color="auto"/>
            </w:tcBorders>
            <w:shd w:val="solid" w:color="FFFFFF" w:fill="auto"/>
            <w:vAlign w:val="center"/>
          </w:tcPr>
          <w:p w14:paraId="3CA7ED34" w14:textId="77777777" w:rsidR="00300F30" w:rsidRPr="00205C60" w:rsidRDefault="00300F30" w:rsidP="006E18E7">
            <w:pPr>
              <w:jc w:val="center"/>
              <w:rPr>
                <w:rFonts w:ascii="Verdana" w:hAnsi="Verdana" w:cs="Arial"/>
                <w:b/>
                <w:bCs/>
                <w:snapToGrid w:val="0"/>
                <w:sz w:val="22"/>
                <w:szCs w:val="22"/>
              </w:rPr>
            </w:pPr>
            <w:r w:rsidRPr="00205C60">
              <w:rPr>
                <w:rFonts w:ascii="Verdana" w:hAnsi="Verdana" w:cs="Arial"/>
                <w:b/>
                <w:bCs/>
                <w:snapToGrid w:val="0"/>
                <w:sz w:val="22"/>
                <w:szCs w:val="22"/>
              </w:rPr>
              <w:t>Indicador (veces)</w:t>
            </w:r>
          </w:p>
        </w:tc>
      </w:tr>
      <w:tr w:rsidR="00FD223E" w:rsidRPr="00205C60" w14:paraId="3CA7ED43" w14:textId="77777777" w:rsidTr="006A3BAE">
        <w:tblPrEx>
          <w:tblBorders>
            <w:top w:val="none" w:sz="0" w:space="0" w:color="auto"/>
            <w:left w:val="none" w:sz="0" w:space="0" w:color="auto"/>
            <w:bottom w:val="none" w:sz="0" w:space="0" w:color="auto"/>
            <w:right w:val="none" w:sz="0" w:space="0" w:color="auto"/>
          </w:tblBorders>
        </w:tblPrEx>
        <w:trPr>
          <w:trHeight w:val="257"/>
          <w:jc w:val="center"/>
        </w:trPr>
        <w:tc>
          <w:tcPr>
            <w:tcW w:w="853" w:type="pct"/>
            <w:tcBorders>
              <w:top w:val="single" w:sz="4" w:space="0" w:color="auto"/>
              <w:left w:val="single" w:sz="4" w:space="0" w:color="auto"/>
              <w:bottom w:val="single" w:sz="4" w:space="0" w:color="auto"/>
              <w:right w:val="single" w:sz="4" w:space="0" w:color="auto"/>
            </w:tcBorders>
            <w:shd w:val="solid" w:color="FFFFFF" w:fill="auto"/>
            <w:vAlign w:val="center"/>
          </w:tcPr>
          <w:p w14:paraId="3CA7ED3D" w14:textId="64943559" w:rsidR="00FD223E" w:rsidRPr="00205C60" w:rsidRDefault="00FD223E" w:rsidP="00FD223E">
            <w:pPr>
              <w:jc w:val="center"/>
              <w:rPr>
                <w:rFonts w:ascii="Verdana" w:hAnsi="Verdana" w:cs="Arial"/>
                <w:snapToGrid w:val="0"/>
                <w:sz w:val="22"/>
                <w:szCs w:val="22"/>
              </w:rPr>
            </w:pPr>
            <w:r w:rsidRPr="00205C60">
              <w:rPr>
                <w:rFonts w:ascii="Verdana" w:hAnsi="Verdana" w:cs="Arial"/>
                <w:snapToGrid w:val="0"/>
                <w:sz w:val="22"/>
                <w:szCs w:val="22"/>
              </w:rPr>
              <w:t>2020</w:t>
            </w:r>
          </w:p>
        </w:tc>
        <w:tc>
          <w:tcPr>
            <w:tcW w:w="879" w:type="pct"/>
            <w:tcBorders>
              <w:top w:val="single" w:sz="4" w:space="0" w:color="auto"/>
              <w:left w:val="single" w:sz="4" w:space="0" w:color="auto"/>
              <w:bottom w:val="single" w:sz="4" w:space="0" w:color="auto"/>
              <w:right w:val="nil"/>
            </w:tcBorders>
            <w:shd w:val="solid" w:color="FFFFFF" w:fill="auto"/>
            <w:vAlign w:val="center"/>
          </w:tcPr>
          <w:p w14:paraId="3CA7ED3E" w14:textId="46468A5F" w:rsidR="00FD223E" w:rsidRPr="00205C60" w:rsidRDefault="00FD223E" w:rsidP="00FD223E">
            <w:pPr>
              <w:jc w:val="center"/>
              <w:rPr>
                <w:rFonts w:ascii="Verdana" w:hAnsi="Verdana" w:cs="Arial"/>
                <w:snapToGrid w:val="0"/>
                <w:sz w:val="22"/>
                <w:szCs w:val="22"/>
              </w:rPr>
            </w:pPr>
            <w:r w:rsidRPr="00205C60">
              <w:rPr>
                <w:rFonts w:ascii="Verdana" w:hAnsi="Verdana" w:cs="Arial"/>
                <w:snapToGrid w:val="0"/>
                <w:sz w:val="22"/>
                <w:szCs w:val="22"/>
              </w:rPr>
              <w:t>357.253.556</w:t>
            </w:r>
          </w:p>
        </w:tc>
        <w:tc>
          <w:tcPr>
            <w:tcW w:w="150" w:type="pct"/>
            <w:tcBorders>
              <w:top w:val="single" w:sz="4" w:space="0" w:color="auto"/>
              <w:left w:val="nil"/>
              <w:bottom w:val="single" w:sz="4" w:space="0" w:color="auto"/>
              <w:right w:val="single" w:sz="4" w:space="0" w:color="auto"/>
            </w:tcBorders>
            <w:shd w:val="solid" w:color="FFFFFF" w:fill="auto"/>
            <w:vAlign w:val="center"/>
          </w:tcPr>
          <w:p w14:paraId="3CA7ED3F" w14:textId="77777777" w:rsidR="00FD223E" w:rsidRPr="00205C60" w:rsidRDefault="00FD223E" w:rsidP="00FD223E">
            <w:pPr>
              <w:jc w:val="center"/>
              <w:rPr>
                <w:rFonts w:ascii="Verdana" w:hAnsi="Verdana" w:cs="Arial"/>
                <w:snapToGrid w:val="0"/>
                <w:sz w:val="22"/>
                <w:szCs w:val="22"/>
              </w:rPr>
            </w:pPr>
          </w:p>
        </w:tc>
        <w:tc>
          <w:tcPr>
            <w:tcW w:w="1429" w:type="pct"/>
            <w:tcBorders>
              <w:top w:val="single" w:sz="4" w:space="0" w:color="auto"/>
              <w:left w:val="single" w:sz="4" w:space="0" w:color="auto"/>
              <w:bottom w:val="single" w:sz="4" w:space="0" w:color="auto"/>
              <w:right w:val="nil"/>
            </w:tcBorders>
            <w:shd w:val="solid" w:color="FFFFFF" w:fill="auto"/>
            <w:vAlign w:val="center"/>
          </w:tcPr>
          <w:p w14:paraId="3CA7ED40" w14:textId="2F3A94B9" w:rsidR="00FD223E" w:rsidRPr="00205C60" w:rsidRDefault="00FD223E" w:rsidP="00FD223E">
            <w:pPr>
              <w:jc w:val="center"/>
              <w:rPr>
                <w:rFonts w:ascii="Verdana" w:hAnsi="Verdana" w:cs="Arial"/>
                <w:bCs/>
                <w:snapToGrid w:val="0"/>
                <w:sz w:val="22"/>
                <w:szCs w:val="22"/>
              </w:rPr>
            </w:pPr>
            <w:r w:rsidRPr="00205C60">
              <w:rPr>
                <w:rFonts w:ascii="Verdana" w:hAnsi="Verdana" w:cs="Arial"/>
                <w:bCs/>
                <w:snapToGrid w:val="0"/>
                <w:sz w:val="22"/>
                <w:szCs w:val="22"/>
              </w:rPr>
              <w:t>298.179.466</w:t>
            </w:r>
          </w:p>
        </w:tc>
        <w:tc>
          <w:tcPr>
            <w:tcW w:w="136" w:type="pct"/>
            <w:tcBorders>
              <w:top w:val="single" w:sz="4" w:space="0" w:color="auto"/>
              <w:left w:val="nil"/>
              <w:bottom w:val="single" w:sz="4" w:space="0" w:color="auto"/>
              <w:right w:val="single" w:sz="4" w:space="0" w:color="auto"/>
            </w:tcBorders>
            <w:shd w:val="solid" w:color="FFFFFF" w:fill="auto"/>
            <w:vAlign w:val="center"/>
          </w:tcPr>
          <w:p w14:paraId="3CA7ED41" w14:textId="77777777" w:rsidR="00FD223E" w:rsidRPr="00205C60" w:rsidRDefault="00FD223E" w:rsidP="00FD223E">
            <w:pPr>
              <w:jc w:val="center"/>
              <w:rPr>
                <w:rFonts w:ascii="Verdana" w:hAnsi="Verdana" w:cs="Arial"/>
                <w:snapToGrid w:val="0"/>
                <w:sz w:val="22"/>
                <w:szCs w:val="22"/>
              </w:rPr>
            </w:pPr>
          </w:p>
        </w:tc>
        <w:tc>
          <w:tcPr>
            <w:tcW w:w="1553" w:type="pct"/>
            <w:tcBorders>
              <w:top w:val="single" w:sz="4" w:space="0" w:color="auto"/>
              <w:left w:val="single" w:sz="4" w:space="0" w:color="auto"/>
              <w:bottom w:val="single" w:sz="4" w:space="0" w:color="auto"/>
              <w:right w:val="single" w:sz="4" w:space="0" w:color="auto"/>
            </w:tcBorders>
            <w:shd w:val="solid" w:color="FFFFFF" w:fill="auto"/>
            <w:vAlign w:val="center"/>
          </w:tcPr>
          <w:p w14:paraId="3CA7ED42" w14:textId="3E5EDEDA" w:rsidR="00FD223E" w:rsidRPr="00205C60" w:rsidRDefault="00FD223E" w:rsidP="00FD223E">
            <w:pPr>
              <w:jc w:val="center"/>
              <w:rPr>
                <w:rFonts w:ascii="Verdana" w:hAnsi="Verdana" w:cs="Arial"/>
                <w:snapToGrid w:val="0"/>
                <w:sz w:val="22"/>
                <w:szCs w:val="22"/>
              </w:rPr>
            </w:pPr>
            <w:r w:rsidRPr="00205C60">
              <w:rPr>
                <w:rFonts w:ascii="Verdana" w:hAnsi="Verdana" w:cs="Arial"/>
                <w:snapToGrid w:val="0"/>
                <w:sz w:val="22"/>
                <w:szCs w:val="22"/>
              </w:rPr>
              <w:t>1,20</w:t>
            </w:r>
          </w:p>
        </w:tc>
      </w:tr>
      <w:tr w:rsidR="00FD223E" w:rsidRPr="00205C60" w14:paraId="3CA7ED4A" w14:textId="77777777" w:rsidTr="006A3BAE">
        <w:tblPrEx>
          <w:tblBorders>
            <w:top w:val="none" w:sz="0" w:space="0" w:color="auto"/>
            <w:left w:val="none" w:sz="0" w:space="0" w:color="auto"/>
            <w:bottom w:val="none" w:sz="0" w:space="0" w:color="auto"/>
            <w:right w:val="none" w:sz="0" w:space="0" w:color="auto"/>
          </w:tblBorders>
        </w:tblPrEx>
        <w:trPr>
          <w:trHeight w:val="257"/>
          <w:jc w:val="center"/>
        </w:trPr>
        <w:tc>
          <w:tcPr>
            <w:tcW w:w="853" w:type="pct"/>
            <w:tcBorders>
              <w:top w:val="single" w:sz="4" w:space="0" w:color="auto"/>
              <w:left w:val="single" w:sz="4" w:space="0" w:color="auto"/>
              <w:bottom w:val="single" w:sz="4" w:space="0" w:color="auto"/>
              <w:right w:val="single" w:sz="4" w:space="0" w:color="auto"/>
            </w:tcBorders>
            <w:shd w:val="solid" w:color="FFFFFF" w:fill="auto"/>
            <w:vAlign w:val="center"/>
          </w:tcPr>
          <w:p w14:paraId="3CA7ED44" w14:textId="5FB51594" w:rsidR="00FD223E" w:rsidRPr="00205C60" w:rsidRDefault="00FD223E" w:rsidP="00FD223E">
            <w:pPr>
              <w:jc w:val="center"/>
              <w:rPr>
                <w:rFonts w:ascii="Verdana" w:hAnsi="Verdana" w:cs="Arial"/>
                <w:snapToGrid w:val="0"/>
                <w:sz w:val="22"/>
                <w:szCs w:val="22"/>
              </w:rPr>
            </w:pPr>
            <w:r w:rsidRPr="00205C60">
              <w:rPr>
                <w:rFonts w:ascii="Verdana" w:hAnsi="Verdana" w:cs="Arial"/>
                <w:snapToGrid w:val="0"/>
                <w:sz w:val="22"/>
                <w:szCs w:val="22"/>
              </w:rPr>
              <w:t>2021</w:t>
            </w:r>
          </w:p>
        </w:tc>
        <w:tc>
          <w:tcPr>
            <w:tcW w:w="879" w:type="pct"/>
            <w:tcBorders>
              <w:top w:val="single" w:sz="4" w:space="0" w:color="auto"/>
              <w:left w:val="single" w:sz="4" w:space="0" w:color="auto"/>
              <w:bottom w:val="single" w:sz="4" w:space="0" w:color="auto"/>
              <w:right w:val="nil"/>
            </w:tcBorders>
            <w:shd w:val="solid" w:color="FFFFFF" w:fill="auto"/>
            <w:vAlign w:val="center"/>
          </w:tcPr>
          <w:p w14:paraId="3CA7ED45" w14:textId="2E5BE887" w:rsidR="00FD223E" w:rsidRPr="00205C60" w:rsidRDefault="00FD223E" w:rsidP="00FD223E">
            <w:pPr>
              <w:jc w:val="center"/>
              <w:rPr>
                <w:rFonts w:ascii="Verdana" w:hAnsi="Verdana" w:cs="Arial"/>
                <w:snapToGrid w:val="0"/>
                <w:sz w:val="22"/>
                <w:szCs w:val="22"/>
              </w:rPr>
            </w:pPr>
            <w:r w:rsidRPr="00205C60">
              <w:rPr>
                <w:rFonts w:ascii="Verdana" w:hAnsi="Verdana" w:cs="Arial"/>
                <w:snapToGrid w:val="0"/>
                <w:sz w:val="22"/>
                <w:szCs w:val="22"/>
              </w:rPr>
              <w:t>343.585.974</w:t>
            </w:r>
          </w:p>
        </w:tc>
        <w:tc>
          <w:tcPr>
            <w:tcW w:w="150" w:type="pct"/>
            <w:tcBorders>
              <w:top w:val="single" w:sz="4" w:space="0" w:color="auto"/>
              <w:left w:val="nil"/>
              <w:bottom w:val="single" w:sz="4" w:space="0" w:color="auto"/>
              <w:right w:val="single" w:sz="4" w:space="0" w:color="auto"/>
            </w:tcBorders>
            <w:shd w:val="solid" w:color="FFFFFF" w:fill="auto"/>
            <w:vAlign w:val="center"/>
          </w:tcPr>
          <w:p w14:paraId="3CA7ED46" w14:textId="77777777" w:rsidR="00FD223E" w:rsidRPr="00205C60" w:rsidRDefault="00FD223E" w:rsidP="00FD223E">
            <w:pPr>
              <w:jc w:val="center"/>
              <w:rPr>
                <w:rFonts w:ascii="Verdana" w:hAnsi="Verdana" w:cs="Arial"/>
                <w:snapToGrid w:val="0"/>
                <w:sz w:val="22"/>
                <w:szCs w:val="22"/>
              </w:rPr>
            </w:pPr>
          </w:p>
        </w:tc>
        <w:tc>
          <w:tcPr>
            <w:tcW w:w="1429" w:type="pct"/>
            <w:tcBorders>
              <w:top w:val="single" w:sz="4" w:space="0" w:color="auto"/>
              <w:left w:val="single" w:sz="4" w:space="0" w:color="auto"/>
              <w:bottom w:val="single" w:sz="4" w:space="0" w:color="auto"/>
              <w:right w:val="nil"/>
            </w:tcBorders>
            <w:shd w:val="solid" w:color="FFFFFF" w:fill="auto"/>
            <w:vAlign w:val="center"/>
          </w:tcPr>
          <w:p w14:paraId="3CA7ED47" w14:textId="3700E2C2" w:rsidR="00FD223E" w:rsidRPr="00205C60" w:rsidRDefault="00FD223E" w:rsidP="00FD223E">
            <w:pPr>
              <w:jc w:val="center"/>
              <w:rPr>
                <w:rFonts w:ascii="Verdana" w:hAnsi="Verdana" w:cs="Arial"/>
                <w:bCs/>
                <w:snapToGrid w:val="0"/>
                <w:sz w:val="22"/>
                <w:szCs w:val="22"/>
              </w:rPr>
            </w:pPr>
            <w:r w:rsidRPr="00205C60">
              <w:rPr>
                <w:rFonts w:ascii="Verdana" w:hAnsi="Verdana" w:cs="Arial"/>
                <w:bCs/>
                <w:snapToGrid w:val="0"/>
                <w:sz w:val="22"/>
                <w:szCs w:val="22"/>
              </w:rPr>
              <w:t>282.938.902</w:t>
            </w:r>
          </w:p>
        </w:tc>
        <w:tc>
          <w:tcPr>
            <w:tcW w:w="136" w:type="pct"/>
            <w:tcBorders>
              <w:top w:val="single" w:sz="4" w:space="0" w:color="auto"/>
              <w:left w:val="nil"/>
              <w:bottom w:val="single" w:sz="4" w:space="0" w:color="auto"/>
              <w:right w:val="single" w:sz="4" w:space="0" w:color="auto"/>
            </w:tcBorders>
            <w:shd w:val="solid" w:color="FFFFFF" w:fill="auto"/>
            <w:vAlign w:val="center"/>
          </w:tcPr>
          <w:p w14:paraId="3CA7ED48" w14:textId="77777777" w:rsidR="00FD223E" w:rsidRPr="00205C60" w:rsidRDefault="00FD223E" w:rsidP="00FD223E">
            <w:pPr>
              <w:jc w:val="center"/>
              <w:rPr>
                <w:rFonts w:ascii="Verdana" w:hAnsi="Verdana" w:cs="Arial"/>
                <w:snapToGrid w:val="0"/>
                <w:sz w:val="22"/>
                <w:szCs w:val="22"/>
              </w:rPr>
            </w:pPr>
          </w:p>
        </w:tc>
        <w:tc>
          <w:tcPr>
            <w:tcW w:w="1553" w:type="pct"/>
            <w:tcBorders>
              <w:top w:val="single" w:sz="4" w:space="0" w:color="auto"/>
              <w:left w:val="single" w:sz="4" w:space="0" w:color="auto"/>
              <w:bottom w:val="single" w:sz="4" w:space="0" w:color="auto"/>
              <w:right w:val="single" w:sz="4" w:space="0" w:color="auto"/>
            </w:tcBorders>
            <w:shd w:val="solid" w:color="FFFFFF" w:fill="auto"/>
            <w:vAlign w:val="center"/>
          </w:tcPr>
          <w:p w14:paraId="3CA7ED49" w14:textId="6A67E820" w:rsidR="00FD223E" w:rsidRPr="00205C60" w:rsidRDefault="00FD223E" w:rsidP="00FD223E">
            <w:pPr>
              <w:jc w:val="center"/>
              <w:rPr>
                <w:rFonts w:ascii="Verdana" w:hAnsi="Verdana" w:cs="Arial"/>
                <w:snapToGrid w:val="0"/>
                <w:sz w:val="22"/>
                <w:szCs w:val="22"/>
              </w:rPr>
            </w:pPr>
            <w:r w:rsidRPr="00205C60">
              <w:rPr>
                <w:rFonts w:ascii="Verdana" w:hAnsi="Verdana" w:cs="Arial"/>
                <w:snapToGrid w:val="0"/>
                <w:sz w:val="22"/>
                <w:szCs w:val="22"/>
              </w:rPr>
              <w:t>1</w:t>
            </w:r>
            <w:r w:rsidR="00DB7D7D">
              <w:rPr>
                <w:rFonts w:ascii="Verdana" w:hAnsi="Verdana" w:cs="Arial"/>
                <w:snapToGrid w:val="0"/>
                <w:sz w:val="22"/>
                <w:szCs w:val="22"/>
              </w:rPr>
              <w:t>,</w:t>
            </w:r>
            <w:r w:rsidRPr="00205C60">
              <w:rPr>
                <w:rFonts w:ascii="Verdana" w:hAnsi="Verdana" w:cs="Arial"/>
                <w:snapToGrid w:val="0"/>
                <w:sz w:val="22"/>
                <w:szCs w:val="22"/>
              </w:rPr>
              <w:t>21</w:t>
            </w:r>
          </w:p>
        </w:tc>
      </w:tr>
      <w:tr w:rsidR="00021D2A" w:rsidRPr="00205C60" w14:paraId="44FE3900" w14:textId="77777777" w:rsidTr="006A3BAE">
        <w:tblPrEx>
          <w:tblBorders>
            <w:top w:val="none" w:sz="0" w:space="0" w:color="auto"/>
            <w:left w:val="none" w:sz="0" w:space="0" w:color="auto"/>
            <w:bottom w:val="none" w:sz="0" w:space="0" w:color="auto"/>
            <w:right w:val="none" w:sz="0" w:space="0" w:color="auto"/>
          </w:tblBorders>
        </w:tblPrEx>
        <w:trPr>
          <w:trHeight w:val="257"/>
          <w:jc w:val="center"/>
        </w:trPr>
        <w:tc>
          <w:tcPr>
            <w:tcW w:w="853" w:type="pct"/>
            <w:tcBorders>
              <w:top w:val="single" w:sz="4" w:space="0" w:color="auto"/>
              <w:left w:val="single" w:sz="4" w:space="0" w:color="auto"/>
              <w:bottom w:val="single" w:sz="4" w:space="0" w:color="auto"/>
              <w:right w:val="single" w:sz="4" w:space="0" w:color="auto"/>
            </w:tcBorders>
            <w:shd w:val="solid" w:color="FFFFFF" w:fill="auto"/>
            <w:vAlign w:val="center"/>
          </w:tcPr>
          <w:p w14:paraId="305BE822" w14:textId="470299FF" w:rsidR="00021D2A" w:rsidRPr="00205C60" w:rsidRDefault="00021D2A" w:rsidP="006E18E7">
            <w:pPr>
              <w:jc w:val="center"/>
              <w:rPr>
                <w:rFonts w:ascii="Verdana" w:hAnsi="Verdana" w:cs="Arial"/>
                <w:snapToGrid w:val="0"/>
                <w:sz w:val="22"/>
                <w:szCs w:val="22"/>
              </w:rPr>
            </w:pPr>
            <w:r w:rsidRPr="00205C60">
              <w:rPr>
                <w:rFonts w:ascii="Verdana" w:hAnsi="Verdana" w:cs="Arial"/>
                <w:snapToGrid w:val="0"/>
                <w:sz w:val="22"/>
                <w:szCs w:val="22"/>
              </w:rPr>
              <w:t>202</w:t>
            </w:r>
            <w:r w:rsidR="00FD223E" w:rsidRPr="00205C60">
              <w:rPr>
                <w:rFonts w:ascii="Verdana" w:hAnsi="Verdana" w:cs="Arial"/>
                <w:snapToGrid w:val="0"/>
                <w:sz w:val="22"/>
                <w:szCs w:val="22"/>
              </w:rPr>
              <w:t>2</w:t>
            </w:r>
          </w:p>
        </w:tc>
        <w:tc>
          <w:tcPr>
            <w:tcW w:w="879" w:type="pct"/>
            <w:tcBorders>
              <w:top w:val="single" w:sz="4" w:space="0" w:color="auto"/>
              <w:left w:val="single" w:sz="4" w:space="0" w:color="auto"/>
              <w:bottom w:val="single" w:sz="4" w:space="0" w:color="auto"/>
              <w:right w:val="nil"/>
            </w:tcBorders>
            <w:shd w:val="solid" w:color="FFFFFF" w:fill="auto"/>
            <w:vAlign w:val="center"/>
          </w:tcPr>
          <w:p w14:paraId="50E53CE3" w14:textId="38DC79D5" w:rsidR="00021D2A" w:rsidRPr="00205C60" w:rsidRDefault="006A3BAE" w:rsidP="006E18E7">
            <w:pPr>
              <w:jc w:val="center"/>
              <w:rPr>
                <w:rFonts w:ascii="Verdana" w:hAnsi="Verdana" w:cs="Arial"/>
                <w:snapToGrid w:val="0"/>
                <w:sz w:val="22"/>
                <w:szCs w:val="22"/>
              </w:rPr>
            </w:pPr>
            <w:r w:rsidRPr="00205C60">
              <w:rPr>
                <w:rFonts w:ascii="Verdana" w:hAnsi="Verdana" w:cs="Arial"/>
                <w:snapToGrid w:val="0"/>
                <w:sz w:val="22"/>
                <w:szCs w:val="22"/>
              </w:rPr>
              <w:t>314.412.833</w:t>
            </w:r>
          </w:p>
        </w:tc>
        <w:tc>
          <w:tcPr>
            <w:tcW w:w="150" w:type="pct"/>
            <w:tcBorders>
              <w:top w:val="single" w:sz="4" w:space="0" w:color="auto"/>
              <w:left w:val="nil"/>
              <w:bottom w:val="single" w:sz="4" w:space="0" w:color="auto"/>
              <w:right w:val="single" w:sz="4" w:space="0" w:color="auto"/>
            </w:tcBorders>
            <w:shd w:val="solid" w:color="FFFFFF" w:fill="auto"/>
            <w:vAlign w:val="center"/>
          </w:tcPr>
          <w:p w14:paraId="055DB6D2" w14:textId="77777777" w:rsidR="00021D2A" w:rsidRPr="00205C60" w:rsidRDefault="00021D2A" w:rsidP="006E18E7">
            <w:pPr>
              <w:jc w:val="center"/>
              <w:rPr>
                <w:rFonts w:ascii="Verdana" w:hAnsi="Verdana" w:cs="Arial"/>
                <w:snapToGrid w:val="0"/>
                <w:sz w:val="22"/>
                <w:szCs w:val="22"/>
              </w:rPr>
            </w:pPr>
          </w:p>
        </w:tc>
        <w:tc>
          <w:tcPr>
            <w:tcW w:w="1429" w:type="pct"/>
            <w:tcBorders>
              <w:top w:val="single" w:sz="4" w:space="0" w:color="auto"/>
              <w:left w:val="single" w:sz="4" w:space="0" w:color="auto"/>
              <w:bottom w:val="single" w:sz="4" w:space="0" w:color="auto"/>
              <w:right w:val="nil"/>
            </w:tcBorders>
            <w:shd w:val="solid" w:color="FFFFFF" w:fill="auto"/>
            <w:vAlign w:val="center"/>
          </w:tcPr>
          <w:p w14:paraId="773B4E68" w14:textId="08B81F84" w:rsidR="00021D2A" w:rsidRPr="00205C60" w:rsidRDefault="002B6885" w:rsidP="001A2FB6">
            <w:pPr>
              <w:jc w:val="center"/>
              <w:rPr>
                <w:rFonts w:ascii="Verdana" w:hAnsi="Verdana" w:cs="Arial"/>
                <w:bCs/>
                <w:snapToGrid w:val="0"/>
                <w:sz w:val="22"/>
                <w:szCs w:val="22"/>
              </w:rPr>
            </w:pPr>
            <w:r w:rsidRPr="00205C60">
              <w:rPr>
                <w:rFonts w:ascii="Verdana" w:hAnsi="Verdana" w:cs="Arial"/>
                <w:bCs/>
                <w:snapToGrid w:val="0"/>
                <w:sz w:val="22"/>
                <w:szCs w:val="22"/>
              </w:rPr>
              <w:t>2</w:t>
            </w:r>
            <w:r w:rsidR="00B71A0B" w:rsidRPr="00205C60">
              <w:rPr>
                <w:rFonts w:ascii="Verdana" w:hAnsi="Verdana" w:cs="Arial"/>
                <w:bCs/>
                <w:snapToGrid w:val="0"/>
                <w:sz w:val="22"/>
                <w:szCs w:val="22"/>
              </w:rPr>
              <w:t>78</w:t>
            </w:r>
            <w:r w:rsidRPr="00205C60">
              <w:rPr>
                <w:rFonts w:ascii="Verdana" w:hAnsi="Verdana" w:cs="Arial"/>
                <w:bCs/>
                <w:snapToGrid w:val="0"/>
                <w:sz w:val="22"/>
                <w:szCs w:val="22"/>
              </w:rPr>
              <w:t>.</w:t>
            </w:r>
            <w:r w:rsidR="00B71A0B" w:rsidRPr="00205C60">
              <w:rPr>
                <w:rFonts w:ascii="Verdana" w:hAnsi="Verdana" w:cs="Arial"/>
                <w:bCs/>
                <w:snapToGrid w:val="0"/>
                <w:sz w:val="22"/>
                <w:szCs w:val="22"/>
              </w:rPr>
              <w:t>779</w:t>
            </w:r>
            <w:r w:rsidRPr="00205C60">
              <w:rPr>
                <w:rFonts w:ascii="Verdana" w:hAnsi="Verdana" w:cs="Arial"/>
                <w:bCs/>
                <w:snapToGrid w:val="0"/>
                <w:sz w:val="22"/>
                <w:szCs w:val="22"/>
              </w:rPr>
              <w:t>.</w:t>
            </w:r>
            <w:r w:rsidR="00B71A0B" w:rsidRPr="00205C60">
              <w:rPr>
                <w:rFonts w:ascii="Verdana" w:hAnsi="Verdana" w:cs="Arial"/>
                <w:bCs/>
                <w:snapToGrid w:val="0"/>
                <w:sz w:val="22"/>
                <w:szCs w:val="22"/>
              </w:rPr>
              <w:t>195</w:t>
            </w:r>
          </w:p>
        </w:tc>
        <w:tc>
          <w:tcPr>
            <w:tcW w:w="136" w:type="pct"/>
            <w:tcBorders>
              <w:top w:val="single" w:sz="4" w:space="0" w:color="auto"/>
              <w:left w:val="nil"/>
              <w:bottom w:val="single" w:sz="4" w:space="0" w:color="auto"/>
              <w:right w:val="single" w:sz="4" w:space="0" w:color="auto"/>
            </w:tcBorders>
            <w:shd w:val="solid" w:color="FFFFFF" w:fill="auto"/>
            <w:vAlign w:val="center"/>
          </w:tcPr>
          <w:p w14:paraId="393BEDDC" w14:textId="77777777" w:rsidR="00021D2A" w:rsidRPr="00205C60" w:rsidRDefault="00021D2A" w:rsidP="006E18E7">
            <w:pPr>
              <w:jc w:val="center"/>
              <w:rPr>
                <w:rFonts w:ascii="Verdana" w:hAnsi="Verdana" w:cs="Arial"/>
                <w:snapToGrid w:val="0"/>
                <w:sz w:val="22"/>
                <w:szCs w:val="22"/>
              </w:rPr>
            </w:pPr>
          </w:p>
        </w:tc>
        <w:tc>
          <w:tcPr>
            <w:tcW w:w="1553" w:type="pct"/>
            <w:tcBorders>
              <w:top w:val="single" w:sz="4" w:space="0" w:color="auto"/>
              <w:left w:val="single" w:sz="4" w:space="0" w:color="auto"/>
              <w:bottom w:val="single" w:sz="4" w:space="0" w:color="auto"/>
              <w:right w:val="single" w:sz="4" w:space="0" w:color="auto"/>
            </w:tcBorders>
            <w:shd w:val="solid" w:color="FFFFFF" w:fill="auto"/>
            <w:vAlign w:val="center"/>
          </w:tcPr>
          <w:p w14:paraId="4B20D0FC" w14:textId="6AA60B99" w:rsidR="00021D2A" w:rsidRPr="00205C60" w:rsidRDefault="00DA061E" w:rsidP="006E18E7">
            <w:pPr>
              <w:jc w:val="center"/>
              <w:rPr>
                <w:rFonts w:ascii="Verdana" w:hAnsi="Verdana" w:cs="Arial"/>
                <w:snapToGrid w:val="0"/>
                <w:sz w:val="22"/>
                <w:szCs w:val="22"/>
              </w:rPr>
            </w:pPr>
            <w:r w:rsidRPr="00205C60">
              <w:rPr>
                <w:rFonts w:ascii="Verdana" w:hAnsi="Verdana" w:cs="Arial"/>
                <w:snapToGrid w:val="0"/>
                <w:sz w:val="22"/>
                <w:szCs w:val="22"/>
              </w:rPr>
              <w:t>1</w:t>
            </w:r>
            <w:r w:rsidR="00DB7D7D">
              <w:rPr>
                <w:rFonts w:ascii="Verdana" w:hAnsi="Verdana" w:cs="Arial"/>
                <w:snapToGrid w:val="0"/>
                <w:sz w:val="22"/>
                <w:szCs w:val="22"/>
              </w:rPr>
              <w:t>,</w:t>
            </w:r>
            <w:r w:rsidR="0008306F" w:rsidRPr="00205C60">
              <w:rPr>
                <w:rFonts w:ascii="Verdana" w:hAnsi="Verdana" w:cs="Arial"/>
                <w:snapToGrid w:val="0"/>
                <w:sz w:val="22"/>
                <w:szCs w:val="22"/>
              </w:rPr>
              <w:t>13</w:t>
            </w:r>
          </w:p>
        </w:tc>
      </w:tr>
    </w:tbl>
    <w:p w14:paraId="3CA7ED4B" w14:textId="77777777" w:rsidR="00EB2831" w:rsidRPr="00205C60" w:rsidRDefault="00EB2831">
      <w:pPr>
        <w:pStyle w:val="Sangradetextonormal"/>
        <w:ind w:left="0"/>
        <w:jc w:val="both"/>
        <w:rPr>
          <w:rFonts w:ascii="Verdana" w:hAnsi="Verdana" w:cs="Arial"/>
          <w:b w:val="0"/>
          <w:color w:val="auto"/>
          <w:sz w:val="22"/>
          <w:szCs w:val="22"/>
        </w:rPr>
      </w:pPr>
    </w:p>
    <w:p w14:paraId="3CA7ED4D" w14:textId="3E997121" w:rsidR="00361428" w:rsidRPr="00205C60" w:rsidRDefault="00361428">
      <w:pPr>
        <w:pStyle w:val="Sangradetextonormal"/>
        <w:ind w:left="0"/>
        <w:jc w:val="both"/>
        <w:rPr>
          <w:rFonts w:ascii="Verdana" w:hAnsi="Verdana" w:cs="Arial"/>
          <w:b w:val="0"/>
          <w:color w:val="auto"/>
          <w:sz w:val="22"/>
          <w:szCs w:val="22"/>
        </w:rPr>
      </w:pPr>
      <w:r w:rsidRPr="00205C60">
        <w:rPr>
          <w:rFonts w:ascii="Verdana" w:hAnsi="Verdana" w:cs="Arial"/>
          <w:b w:val="0"/>
          <w:color w:val="auto"/>
          <w:sz w:val="22"/>
          <w:szCs w:val="22"/>
        </w:rPr>
        <w:t>Cabe mencionar, que la Compañía se encuentra dentro del límite establecido por el artículo 116 de la Ley Orgánica del Banco Central de Costa Rica, el cual indica que “…los pasivos totales de las empresas emisoras no pueden exceder de cuatro veces su capital y reservas, conforme a las reglas que emita la Comisión Nacional de Valores”</w:t>
      </w:r>
      <w:r w:rsidR="00FD7B01" w:rsidRPr="00205C60">
        <w:rPr>
          <w:rFonts w:ascii="Verdana" w:hAnsi="Verdana" w:cs="Arial"/>
          <w:b w:val="0"/>
          <w:color w:val="auto"/>
          <w:sz w:val="22"/>
          <w:szCs w:val="22"/>
        </w:rPr>
        <w:t xml:space="preserve"> (actual Superintendencia General de Valores)</w:t>
      </w:r>
      <w:r w:rsidRPr="00205C60">
        <w:rPr>
          <w:rFonts w:ascii="Verdana" w:hAnsi="Verdana" w:cs="Arial"/>
          <w:b w:val="0"/>
          <w:color w:val="auto"/>
          <w:sz w:val="22"/>
          <w:szCs w:val="22"/>
        </w:rPr>
        <w:t>.</w:t>
      </w:r>
      <w:r w:rsidR="00FD7B01" w:rsidRPr="00205C60">
        <w:rPr>
          <w:rFonts w:ascii="Verdana" w:hAnsi="Verdana" w:cs="Arial"/>
          <w:b w:val="0"/>
          <w:color w:val="auto"/>
          <w:sz w:val="22"/>
          <w:szCs w:val="22"/>
        </w:rPr>
        <w:t xml:space="preserve"> </w:t>
      </w:r>
    </w:p>
    <w:p w14:paraId="1F95C93F" w14:textId="50562996" w:rsidR="007940F8" w:rsidRPr="00205C60" w:rsidRDefault="007940F8">
      <w:pPr>
        <w:pStyle w:val="Sangradetextonormal"/>
        <w:ind w:left="0"/>
        <w:jc w:val="both"/>
        <w:rPr>
          <w:rFonts w:ascii="Verdana" w:hAnsi="Verdana" w:cs="Arial"/>
          <w:b w:val="0"/>
          <w:color w:val="auto"/>
          <w:sz w:val="22"/>
          <w:szCs w:val="22"/>
        </w:rPr>
      </w:pPr>
    </w:p>
    <w:p w14:paraId="3CA7ED4E" w14:textId="77777777" w:rsidR="00CD2E3D" w:rsidRPr="00205C60" w:rsidRDefault="00CD2E3D">
      <w:pPr>
        <w:pStyle w:val="Sangradetextonormal"/>
        <w:ind w:left="0"/>
        <w:jc w:val="both"/>
        <w:rPr>
          <w:rFonts w:ascii="Verdana" w:hAnsi="Verdana" w:cs="Arial"/>
          <w:b w:val="0"/>
          <w:color w:val="auto"/>
          <w:sz w:val="22"/>
          <w:szCs w:val="22"/>
        </w:rPr>
      </w:pPr>
    </w:p>
    <w:p w14:paraId="3CA7ED4F" w14:textId="77777777" w:rsidR="00731454" w:rsidRPr="00205C60" w:rsidRDefault="00B44125" w:rsidP="00882F32">
      <w:pPr>
        <w:pStyle w:val="Prrafodelista"/>
        <w:numPr>
          <w:ilvl w:val="0"/>
          <w:numId w:val="28"/>
        </w:numPr>
        <w:rPr>
          <w:rFonts w:ascii="Verdana" w:hAnsi="Verdana" w:cs="Arial"/>
          <w:b/>
          <w:sz w:val="22"/>
          <w:szCs w:val="22"/>
        </w:rPr>
      </w:pPr>
      <w:r w:rsidRPr="00205C60">
        <w:rPr>
          <w:rFonts w:ascii="Verdana" w:hAnsi="Verdana" w:cs="Arial"/>
          <w:b/>
          <w:sz w:val="22"/>
          <w:szCs w:val="22"/>
        </w:rPr>
        <w:t>Pasivo total más contingentes a patrimonio neto (se excluyen las utilidades disponibles</w:t>
      </w:r>
    </w:p>
    <w:p w14:paraId="3CA7ED50" w14:textId="77777777" w:rsidR="00731454" w:rsidRPr="00205C60" w:rsidRDefault="00731454" w:rsidP="00731454">
      <w:pPr>
        <w:tabs>
          <w:tab w:val="left" w:pos="360"/>
        </w:tabs>
        <w:ind w:left="1080"/>
        <w:jc w:val="both"/>
        <w:rPr>
          <w:rFonts w:ascii="Verdana" w:hAnsi="Verdana" w:cs="Arial"/>
          <w:b/>
          <w:bCs/>
          <w:sz w:val="22"/>
          <w:szCs w:val="22"/>
          <w:lang w:val="es-CR"/>
        </w:rPr>
      </w:pPr>
    </w:p>
    <w:p w14:paraId="3CA7ED51" w14:textId="2BE49060" w:rsidR="00731454" w:rsidRPr="00205C60" w:rsidRDefault="008F2744" w:rsidP="00731454">
      <w:pPr>
        <w:tabs>
          <w:tab w:val="left" w:pos="360"/>
        </w:tabs>
        <w:jc w:val="both"/>
        <w:rPr>
          <w:rFonts w:ascii="Verdana" w:hAnsi="Verdana" w:cs="Arial"/>
          <w:snapToGrid w:val="0"/>
          <w:sz w:val="22"/>
          <w:szCs w:val="22"/>
          <w:lang w:val="es-CR"/>
        </w:rPr>
      </w:pPr>
      <w:r w:rsidRPr="00205C60">
        <w:rPr>
          <w:rFonts w:ascii="Verdana" w:hAnsi="Verdana" w:cs="Arial"/>
          <w:snapToGrid w:val="0"/>
          <w:sz w:val="22"/>
          <w:szCs w:val="22"/>
          <w:lang w:val="es-CR"/>
        </w:rPr>
        <w:t>Al 31 de diciembre del 20</w:t>
      </w:r>
      <w:r w:rsidR="00DD558F" w:rsidRPr="00205C60">
        <w:rPr>
          <w:rFonts w:ascii="Verdana" w:hAnsi="Verdana" w:cs="Arial"/>
          <w:snapToGrid w:val="0"/>
          <w:sz w:val="22"/>
          <w:szCs w:val="22"/>
          <w:lang w:val="es-CR"/>
        </w:rPr>
        <w:t>2</w:t>
      </w:r>
      <w:r w:rsidR="008F7F6B" w:rsidRPr="00205C60">
        <w:rPr>
          <w:rFonts w:ascii="Verdana" w:hAnsi="Verdana" w:cs="Arial"/>
          <w:snapToGrid w:val="0"/>
          <w:sz w:val="22"/>
          <w:szCs w:val="22"/>
          <w:lang w:val="es-CR"/>
        </w:rPr>
        <w:t>2</w:t>
      </w:r>
      <w:r w:rsidR="00D966A6" w:rsidRPr="00205C60">
        <w:rPr>
          <w:rFonts w:ascii="Verdana" w:hAnsi="Verdana" w:cs="Arial"/>
          <w:snapToGrid w:val="0"/>
          <w:sz w:val="22"/>
          <w:szCs w:val="22"/>
          <w:lang w:val="es-CR"/>
        </w:rPr>
        <w:t xml:space="preserve"> l</w:t>
      </w:r>
      <w:r w:rsidRPr="00205C60">
        <w:rPr>
          <w:rFonts w:ascii="Verdana" w:hAnsi="Verdana" w:cs="Arial"/>
          <w:snapToGrid w:val="0"/>
          <w:sz w:val="22"/>
          <w:szCs w:val="22"/>
          <w:lang w:val="es-CR"/>
        </w:rPr>
        <w:t xml:space="preserve">a Compañía mantiene pasivos contingentes por un monto de </w:t>
      </w:r>
      <w:r w:rsidR="00574687" w:rsidRPr="00205C60">
        <w:rPr>
          <w:rFonts w:ascii="Verdana" w:hAnsi="Verdana" w:cs="Arial"/>
          <w:snapToGrid w:val="0"/>
          <w:sz w:val="22"/>
          <w:szCs w:val="22"/>
          <w:lang w:val="es-CR"/>
        </w:rPr>
        <w:t>₡</w:t>
      </w:r>
      <w:r w:rsidR="000D4A4E" w:rsidRPr="00205C60">
        <w:rPr>
          <w:rFonts w:ascii="Verdana" w:hAnsi="Verdana" w:cs="Arial"/>
          <w:snapToGrid w:val="0"/>
          <w:sz w:val="22"/>
          <w:szCs w:val="22"/>
          <w:lang w:val="es-CR"/>
        </w:rPr>
        <w:t>4</w:t>
      </w:r>
      <w:r w:rsidR="00682A76" w:rsidRPr="00205C60">
        <w:rPr>
          <w:rFonts w:ascii="Verdana" w:hAnsi="Verdana" w:cs="Arial"/>
          <w:snapToGrid w:val="0"/>
          <w:sz w:val="22"/>
          <w:szCs w:val="22"/>
          <w:lang w:val="es-CR"/>
        </w:rPr>
        <w:t>0</w:t>
      </w:r>
      <w:r w:rsidRPr="00205C60">
        <w:rPr>
          <w:rFonts w:ascii="Verdana" w:hAnsi="Verdana" w:cs="Arial"/>
          <w:snapToGrid w:val="0"/>
          <w:sz w:val="22"/>
          <w:szCs w:val="22"/>
          <w:lang w:val="es-CR"/>
        </w:rPr>
        <w:t>.</w:t>
      </w:r>
      <w:r w:rsidR="00682A76" w:rsidRPr="00205C60">
        <w:rPr>
          <w:rFonts w:ascii="Verdana" w:hAnsi="Verdana" w:cs="Arial"/>
          <w:snapToGrid w:val="0"/>
          <w:sz w:val="22"/>
          <w:szCs w:val="22"/>
          <w:lang w:val="es-CR"/>
        </w:rPr>
        <w:t>733</w:t>
      </w:r>
      <w:r w:rsidR="000D4A4E" w:rsidRPr="00205C60">
        <w:rPr>
          <w:rFonts w:ascii="Verdana" w:hAnsi="Verdana" w:cs="Arial"/>
          <w:snapToGrid w:val="0"/>
          <w:sz w:val="22"/>
          <w:szCs w:val="22"/>
          <w:lang w:val="es-CR"/>
        </w:rPr>
        <w:t>.</w:t>
      </w:r>
      <w:r w:rsidR="00682A76" w:rsidRPr="00205C60">
        <w:rPr>
          <w:rFonts w:ascii="Verdana" w:hAnsi="Verdana" w:cs="Arial"/>
          <w:snapToGrid w:val="0"/>
          <w:sz w:val="22"/>
          <w:szCs w:val="22"/>
          <w:lang w:val="es-CR"/>
        </w:rPr>
        <w:t>149</w:t>
      </w:r>
      <w:r w:rsidRPr="00205C60">
        <w:rPr>
          <w:rFonts w:ascii="Verdana" w:hAnsi="Verdana" w:cs="Arial"/>
          <w:snapToGrid w:val="0"/>
          <w:sz w:val="22"/>
          <w:szCs w:val="22"/>
          <w:lang w:val="es-CR"/>
        </w:rPr>
        <w:t xml:space="preserve"> miles según estados financieros auditados. </w:t>
      </w:r>
      <w:r w:rsidR="009802C1" w:rsidRPr="00205C60">
        <w:rPr>
          <w:rFonts w:ascii="Verdana" w:hAnsi="Verdana" w:cs="Arial"/>
          <w:snapToGrid w:val="0"/>
          <w:sz w:val="22"/>
          <w:szCs w:val="22"/>
          <w:lang w:val="es-CR"/>
        </w:rPr>
        <w:t xml:space="preserve"> (ver </w:t>
      </w:r>
      <w:r w:rsidR="00035715" w:rsidRPr="00205C60">
        <w:rPr>
          <w:rFonts w:ascii="Verdana" w:hAnsi="Verdana" w:cs="Arial"/>
          <w:snapToGrid w:val="0"/>
          <w:sz w:val="22"/>
          <w:szCs w:val="22"/>
          <w:lang w:val="es-CR"/>
        </w:rPr>
        <w:t>nota</w:t>
      </w:r>
      <w:r w:rsidR="009802C1" w:rsidRPr="00205C60">
        <w:rPr>
          <w:rFonts w:ascii="Verdana" w:hAnsi="Verdana" w:cs="Arial"/>
          <w:snapToGrid w:val="0"/>
          <w:sz w:val="22"/>
          <w:szCs w:val="22"/>
          <w:lang w:val="es-CR"/>
        </w:rPr>
        <w:t xml:space="preserve"> 3</w:t>
      </w:r>
      <w:r w:rsidR="00035715" w:rsidRPr="00205C60">
        <w:rPr>
          <w:rFonts w:ascii="Verdana" w:hAnsi="Verdana" w:cs="Arial"/>
          <w:snapToGrid w:val="0"/>
          <w:sz w:val="22"/>
          <w:szCs w:val="22"/>
          <w:lang w:val="es-CR"/>
        </w:rPr>
        <w:t>1</w:t>
      </w:r>
      <w:r w:rsidR="00E05158" w:rsidRPr="00205C60">
        <w:rPr>
          <w:rFonts w:ascii="Verdana" w:hAnsi="Verdana" w:cs="Arial"/>
          <w:snapToGrid w:val="0"/>
          <w:sz w:val="22"/>
          <w:szCs w:val="22"/>
          <w:lang w:val="es-CR"/>
        </w:rPr>
        <w:t xml:space="preserve"> </w:t>
      </w:r>
      <w:r w:rsidR="00035715" w:rsidRPr="00205C60">
        <w:rPr>
          <w:rFonts w:ascii="Verdana" w:hAnsi="Verdana" w:cs="Arial"/>
          <w:snapToGrid w:val="0"/>
          <w:sz w:val="22"/>
          <w:szCs w:val="22"/>
          <w:lang w:val="es-CR"/>
        </w:rPr>
        <w:t>Contingencias</w:t>
      </w:r>
      <w:r w:rsidR="00E05158" w:rsidRPr="00205C60">
        <w:rPr>
          <w:rFonts w:ascii="Verdana" w:hAnsi="Verdana" w:cs="Arial"/>
          <w:snapToGrid w:val="0"/>
          <w:sz w:val="22"/>
          <w:szCs w:val="22"/>
          <w:lang w:val="es-CR"/>
        </w:rPr>
        <w:t>)</w:t>
      </w:r>
      <w:r w:rsidR="0067187A" w:rsidRPr="00205C60">
        <w:rPr>
          <w:rFonts w:ascii="Verdana" w:hAnsi="Verdana" w:cs="Arial"/>
          <w:snapToGrid w:val="0"/>
          <w:sz w:val="22"/>
          <w:szCs w:val="22"/>
          <w:lang w:val="es-CR"/>
        </w:rPr>
        <w:t>.</w:t>
      </w:r>
    </w:p>
    <w:p w14:paraId="3CA7ED53" w14:textId="77777777" w:rsidR="00731454" w:rsidRPr="00205C60" w:rsidRDefault="00731454" w:rsidP="00731454">
      <w:pPr>
        <w:tabs>
          <w:tab w:val="left" w:pos="360"/>
        </w:tabs>
        <w:ind w:left="720"/>
        <w:jc w:val="both"/>
        <w:rPr>
          <w:rFonts w:ascii="Verdana" w:hAnsi="Verdana" w:cs="Arial"/>
          <w:snapToGrid w:val="0"/>
          <w:sz w:val="22"/>
          <w:szCs w:val="22"/>
          <w:lang w:val="es-CR"/>
        </w:rPr>
      </w:pPr>
    </w:p>
    <w:p w14:paraId="3CA7ED54" w14:textId="08008AB5" w:rsidR="008F2744" w:rsidRPr="00205C60" w:rsidRDefault="008F2744" w:rsidP="00731454">
      <w:pPr>
        <w:tabs>
          <w:tab w:val="left" w:pos="360"/>
        </w:tabs>
        <w:jc w:val="both"/>
        <w:rPr>
          <w:rFonts w:ascii="Verdana" w:hAnsi="Verdana" w:cs="Arial"/>
          <w:snapToGrid w:val="0"/>
          <w:sz w:val="22"/>
          <w:szCs w:val="22"/>
          <w:lang w:val="es-CR"/>
        </w:rPr>
      </w:pPr>
      <w:r w:rsidRPr="00205C60">
        <w:rPr>
          <w:rFonts w:ascii="Verdana" w:hAnsi="Verdana" w:cs="Arial"/>
          <w:snapToGrid w:val="0"/>
          <w:sz w:val="22"/>
          <w:szCs w:val="22"/>
          <w:lang w:val="es-CR"/>
        </w:rPr>
        <w:t>Al respecto debe tomarse en cuenta que dichos</w:t>
      </w:r>
      <w:r w:rsidR="00AF738D" w:rsidRPr="00205C60">
        <w:rPr>
          <w:rFonts w:ascii="Verdana" w:hAnsi="Verdana" w:cs="Arial"/>
          <w:snapToGrid w:val="0"/>
          <w:sz w:val="22"/>
          <w:szCs w:val="22"/>
          <w:lang w:val="es-CR"/>
        </w:rPr>
        <w:t xml:space="preserve"> </w:t>
      </w:r>
      <w:r w:rsidRPr="00205C60">
        <w:rPr>
          <w:rFonts w:ascii="Verdana" w:hAnsi="Verdana" w:cs="Arial"/>
          <w:snapToGrid w:val="0"/>
          <w:sz w:val="22"/>
          <w:szCs w:val="22"/>
          <w:lang w:val="es-CR"/>
        </w:rPr>
        <w:t xml:space="preserve">contingentes representan únicamente un </w:t>
      </w:r>
      <w:r w:rsidR="008C0D72" w:rsidRPr="00205C60">
        <w:rPr>
          <w:rFonts w:ascii="Verdana" w:hAnsi="Verdana" w:cs="Arial"/>
          <w:snapToGrid w:val="0"/>
          <w:sz w:val="22"/>
          <w:szCs w:val="22"/>
          <w:lang w:val="es-CR"/>
        </w:rPr>
        <w:t>5</w:t>
      </w:r>
      <w:r w:rsidRPr="00205C60">
        <w:rPr>
          <w:rFonts w:ascii="Verdana" w:hAnsi="Verdana" w:cs="Arial"/>
          <w:snapToGrid w:val="0"/>
          <w:sz w:val="22"/>
          <w:szCs w:val="22"/>
          <w:lang w:val="es-CR"/>
        </w:rPr>
        <w:t>,</w:t>
      </w:r>
      <w:r w:rsidR="00044CF7" w:rsidRPr="00205C60">
        <w:rPr>
          <w:rFonts w:ascii="Verdana" w:hAnsi="Verdana" w:cs="Arial"/>
          <w:snapToGrid w:val="0"/>
          <w:sz w:val="22"/>
          <w:szCs w:val="22"/>
          <w:lang w:val="es-CR"/>
        </w:rPr>
        <w:t>5</w:t>
      </w:r>
      <w:r w:rsidR="008C0D72" w:rsidRPr="00205C60">
        <w:rPr>
          <w:rFonts w:ascii="Verdana" w:hAnsi="Verdana" w:cs="Arial"/>
          <w:snapToGrid w:val="0"/>
          <w:sz w:val="22"/>
          <w:szCs w:val="22"/>
          <w:lang w:val="es-CR"/>
        </w:rPr>
        <w:t>5</w:t>
      </w:r>
      <w:r w:rsidRPr="00205C60">
        <w:rPr>
          <w:rFonts w:ascii="Verdana" w:hAnsi="Verdana" w:cs="Arial"/>
          <w:snapToGrid w:val="0"/>
          <w:sz w:val="22"/>
          <w:szCs w:val="22"/>
          <w:lang w:val="es-CR"/>
        </w:rPr>
        <w:t xml:space="preserve">% del total de activos de la CNFL, por lo que de tener que cancelarlos no representa una pérdida importante debido a su monto. </w:t>
      </w:r>
    </w:p>
    <w:p w14:paraId="3CA7ED55" w14:textId="77777777" w:rsidR="001B45AE" w:rsidRPr="00205C60" w:rsidRDefault="001B45AE" w:rsidP="00731454">
      <w:pPr>
        <w:tabs>
          <w:tab w:val="left" w:pos="360"/>
        </w:tabs>
        <w:jc w:val="both"/>
        <w:rPr>
          <w:rFonts w:ascii="Verdana" w:hAnsi="Verdana" w:cs="Arial"/>
          <w:snapToGrid w:val="0"/>
          <w:sz w:val="22"/>
          <w:szCs w:val="22"/>
          <w:lang w:val="es-CR"/>
        </w:rPr>
      </w:pPr>
    </w:p>
    <w:p w14:paraId="7B5FE4A8" w14:textId="77777777" w:rsidR="007956EB" w:rsidRPr="00205C60" w:rsidRDefault="007956EB" w:rsidP="00731454">
      <w:pPr>
        <w:tabs>
          <w:tab w:val="left" w:pos="360"/>
        </w:tabs>
        <w:jc w:val="both"/>
        <w:rPr>
          <w:rFonts w:ascii="Verdana" w:hAnsi="Verdana" w:cs="Arial"/>
          <w:snapToGrid w:val="0"/>
          <w:sz w:val="22"/>
          <w:szCs w:val="22"/>
          <w:lang w:val="es-CR"/>
        </w:rPr>
      </w:pPr>
    </w:p>
    <w:tbl>
      <w:tblPr>
        <w:tblpPr w:leftFromText="141" w:rightFromText="141" w:vertAnchor="text" w:horzAnchor="margin" w:tblpXSpec="center"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4"/>
        <w:gridCol w:w="3133"/>
      </w:tblGrid>
      <w:tr w:rsidR="00D60A58" w:rsidRPr="00205C60" w14:paraId="3CA7ED59" w14:textId="77777777" w:rsidTr="00B97BA6">
        <w:trPr>
          <w:trHeight w:val="576"/>
        </w:trPr>
        <w:tc>
          <w:tcPr>
            <w:tcW w:w="4767" w:type="dxa"/>
            <w:gridSpan w:val="2"/>
            <w:vAlign w:val="center"/>
          </w:tcPr>
          <w:p w14:paraId="3CA7ED57" w14:textId="77777777" w:rsidR="00D37B6E" w:rsidRPr="00205C60" w:rsidRDefault="00D60A58" w:rsidP="00D60A58">
            <w:pPr>
              <w:pStyle w:val="Sangradetextonormal"/>
              <w:tabs>
                <w:tab w:val="left" w:pos="360"/>
              </w:tabs>
              <w:ind w:left="0"/>
              <w:jc w:val="center"/>
              <w:rPr>
                <w:rFonts w:ascii="Verdana" w:hAnsi="Verdana" w:cs="Arial"/>
                <w:color w:val="auto"/>
                <w:sz w:val="22"/>
                <w:szCs w:val="22"/>
              </w:rPr>
            </w:pPr>
            <w:r w:rsidRPr="00205C60">
              <w:rPr>
                <w:rFonts w:ascii="Verdana" w:hAnsi="Verdana" w:cs="Arial"/>
                <w:color w:val="auto"/>
                <w:sz w:val="22"/>
                <w:szCs w:val="22"/>
              </w:rPr>
              <w:t xml:space="preserve">Detalle de los Pasivos Contingentes   </w:t>
            </w:r>
          </w:p>
          <w:p w14:paraId="3CA7ED58" w14:textId="77777777" w:rsidR="00D60A58" w:rsidRPr="00205C60" w:rsidRDefault="00D60A58" w:rsidP="00D60A58">
            <w:pPr>
              <w:pStyle w:val="Sangradetextonormal"/>
              <w:tabs>
                <w:tab w:val="left" w:pos="360"/>
              </w:tabs>
              <w:ind w:left="0"/>
              <w:jc w:val="center"/>
              <w:rPr>
                <w:rFonts w:ascii="Verdana" w:hAnsi="Verdana" w:cs="Arial"/>
                <w:b w:val="0"/>
                <w:color w:val="auto"/>
                <w:sz w:val="22"/>
                <w:szCs w:val="22"/>
              </w:rPr>
            </w:pPr>
            <w:r w:rsidRPr="00205C60">
              <w:rPr>
                <w:rFonts w:ascii="Verdana" w:hAnsi="Verdana" w:cs="Arial"/>
                <w:color w:val="auto"/>
                <w:sz w:val="22"/>
                <w:szCs w:val="22"/>
              </w:rPr>
              <w:t xml:space="preserve">  (miles de colones)</w:t>
            </w:r>
          </w:p>
        </w:tc>
      </w:tr>
      <w:tr w:rsidR="00D60A58" w:rsidRPr="00205C60" w14:paraId="3CA7ED5C" w14:textId="77777777" w:rsidTr="008945BB">
        <w:trPr>
          <w:trHeight w:val="232"/>
        </w:trPr>
        <w:tc>
          <w:tcPr>
            <w:tcW w:w="1634" w:type="dxa"/>
            <w:vAlign w:val="center"/>
          </w:tcPr>
          <w:p w14:paraId="3CA7ED5A" w14:textId="77777777" w:rsidR="00D60A58" w:rsidRPr="00205C60" w:rsidRDefault="00D60A58" w:rsidP="00D60A58">
            <w:pPr>
              <w:pStyle w:val="Sangradetextonormal"/>
              <w:tabs>
                <w:tab w:val="left" w:pos="360"/>
              </w:tabs>
              <w:ind w:left="0"/>
              <w:jc w:val="center"/>
              <w:rPr>
                <w:rFonts w:ascii="Verdana" w:hAnsi="Verdana" w:cs="Arial"/>
                <w:color w:val="auto"/>
                <w:sz w:val="22"/>
                <w:szCs w:val="22"/>
              </w:rPr>
            </w:pPr>
            <w:r w:rsidRPr="00205C60">
              <w:rPr>
                <w:rFonts w:ascii="Verdana" w:hAnsi="Verdana" w:cs="Arial"/>
                <w:color w:val="auto"/>
                <w:sz w:val="22"/>
                <w:szCs w:val="22"/>
              </w:rPr>
              <w:t>Año</w:t>
            </w:r>
          </w:p>
        </w:tc>
        <w:tc>
          <w:tcPr>
            <w:tcW w:w="3133" w:type="dxa"/>
            <w:vAlign w:val="center"/>
          </w:tcPr>
          <w:p w14:paraId="3CA7ED5B" w14:textId="77777777" w:rsidR="00D60A58" w:rsidRPr="00205C60" w:rsidRDefault="00D60A58" w:rsidP="00D60A58">
            <w:pPr>
              <w:pStyle w:val="Sangradetextonormal"/>
              <w:tabs>
                <w:tab w:val="left" w:pos="360"/>
              </w:tabs>
              <w:ind w:left="0"/>
              <w:jc w:val="center"/>
              <w:rPr>
                <w:rFonts w:ascii="Verdana" w:hAnsi="Verdana" w:cs="Arial"/>
                <w:color w:val="auto"/>
                <w:sz w:val="22"/>
                <w:szCs w:val="22"/>
              </w:rPr>
            </w:pPr>
            <w:r w:rsidRPr="00205C60">
              <w:rPr>
                <w:rFonts w:ascii="Verdana" w:hAnsi="Verdana" w:cs="Arial"/>
                <w:color w:val="auto"/>
                <w:sz w:val="22"/>
                <w:szCs w:val="22"/>
              </w:rPr>
              <w:t>Pasivos Contingentes</w:t>
            </w:r>
          </w:p>
        </w:tc>
      </w:tr>
      <w:tr w:rsidR="009B119B" w:rsidRPr="00205C60" w14:paraId="3CA7ED62" w14:textId="77777777" w:rsidTr="008945BB">
        <w:trPr>
          <w:trHeight w:val="330"/>
        </w:trPr>
        <w:tc>
          <w:tcPr>
            <w:tcW w:w="1634" w:type="dxa"/>
            <w:vAlign w:val="center"/>
          </w:tcPr>
          <w:p w14:paraId="3CA7ED60" w14:textId="540EFA34" w:rsidR="009B119B" w:rsidRPr="00205C60" w:rsidRDefault="009B119B" w:rsidP="009B119B">
            <w:pPr>
              <w:pStyle w:val="Sangradetextonormal"/>
              <w:tabs>
                <w:tab w:val="left" w:pos="360"/>
              </w:tabs>
              <w:ind w:left="0"/>
              <w:jc w:val="center"/>
              <w:rPr>
                <w:rFonts w:ascii="Verdana" w:hAnsi="Verdana" w:cs="Arial"/>
                <w:b w:val="0"/>
                <w:color w:val="auto"/>
                <w:sz w:val="22"/>
                <w:szCs w:val="22"/>
              </w:rPr>
            </w:pPr>
            <w:r w:rsidRPr="00205C60">
              <w:rPr>
                <w:rFonts w:ascii="Verdana" w:hAnsi="Verdana" w:cs="Arial"/>
                <w:b w:val="0"/>
                <w:color w:val="auto"/>
                <w:sz w:val="22"/>
                <w:szCs w:val="22"/>
              </w:rPr>
              <w:t>2020</w:t>
            </w:r>
          </w:p>
        </w:tc>
        <w:tc>
          <w:tcPr>
            <w:tcW w:w="3133" w:type="dxa"/>
            <w:vAlign w:val="center"/>
          </w:tcPr>
          <w:p w14:paraId="3CA7ED61" w14:textId="16F88E3D" w:rsidR="009B119B" w:rsidRPr="00205C60" w:rsidRDefault="009B119B" w:rsidP="009B119B">
            <w:pPr>
              <w:pStyle w:val="Sangradetextonormal"/>
              <w:tabs>
                <w:tab w:val="left" w:pos="360"/>
              </w:tabs>
              <w:ind w:left="0"/>
              <w:jc w:val="center"/>
              <w:rPr>
                <w:rFonts w:ascii="Verdana" w:hAnsi="Verdana" w:cs="Arial"/>
                <w:b w:val="0"/>
                <w:color w:val="auto"/>
                <w:sz w:val="22"/>
                <w:szCs w:val="22"/>
              </w:rPr>
            </w:pPr>
            <w:r w:rsidRPr="00205C60">
              <w:rPr>
                <w:rFonts w:ascii="Verdana" w:hAnsi="Verdana" w:cs="Arial"/>
                <w:b w:val="0"/>
                <w:color w:val="auto"/>
                <w:sz w:val="22"/>
                <w:szCs w:val="22"/>
              </w:rPr>
              <w:t>37.242.319</w:t>
            </w:r>
          </w:p>
        </w:tc>
      </w:tr>
      <w:tr w:rsidR="009B119B" w:rsidRPr="00205C60" w14:paraId="3CA7ED65" w14:textId="77777777" w:rsidTr="008945BB">
        <w:trPr>
          <w:trHeight w:val="330"/>
        </w:trPr>
        <w:tc>
          <w:tcPr>
            <w:tcW w:w="1634" w:type="dxa"/>
            <w:vAlign w:val="center"/>
          </w:tcPr>
          <w:p w14:paraId="3CA7ED63" w14:textId="2B3580D0" w:rsidR="009B119B" w:rsidRPr="00205C60" w:rsidRDefault="009B119B" w:rsidP="009B119B">
            <w:pPr>
              <w:pStyle w:val="Sangradetextonormal"/>
              <w:tabs>
                <w:tab w:val="left" w:pos="360"/>
              </w:tabs>
              <w:ind w:left="0"/>
              <w:jc w:val="center"/>
              <w:rPr>
                <w:rFonts w:ascii="Verdana" w:hAnsi="Verdana" w:cs="Arial"/>
                <w:b w:val="0"/>
                <w:color w:val="auto"/>
                <w:sz w:val="22"/>
                <w:szCs w:val="22"/>
              </w:rPr>
            </w:pPr>
            <w:r w:rsidRPr="00205C60">
              <w:rPr>
                <w:rFonts w:ascii="Verdana" w:hAnsi="Verdana" w:cs="Arial"/>
                <w:b w:val="0"/>
                <w:color w:val="auto"/>
                <w:sz w:val="22"/>
                <w:szCs w:val="22"/>
              </w:rPr>
              <w:t>2021</w:t>
            </w:r>
          </w:p>
        </w:tc>
        <w:tc>
          <w:tcPr>
            <w:tcW w:w="3133" w:type="dxa"/>
            <w:vAlign w:val="center"/>
          </w:tcPr>
          <w:p w14:paraId="3CA7ED64" w14:textId="6BE719CA" w:rsidR="009B119B" w:rsidRPr="00205C60" w:rsidRDefault="009B119B" w:rsidP="009B119B">
            <w:pPr>
              <w:pStyle w:val="Sangradetextonormal"/>
              <w:tabs>
                <w:tab w:val="left" w:pos="360"/>
              </w:tabs>
              <w:ind w:left="0"/>
              <w:jc w:val="center"/>
              <w:rPr>
                <w:rFonts w:ascii="Verdana" w:hAnsi="Verdana" w:cs="Arial"/>
                <w:b w:val="0"/>
                <w:color w:val="auto"/>
                <w:sz w:val="22"/>
                <w:szCs w:val="22"/>
              </w:rPr>
            </w:pPr>
            <w:r w:rsidRPr="00205C60">
              <w:rPr>
                <w:rFonts w:ascii="Verdana" w:hAnsi="Verdana" w:cs="Arial"/>
                <w:b w:val="0"/>
                <w:color w:val="auto"/>
                <w:sz w:val="22"/>
                <w:szCs w:val="22"/>
              </w:rPr>
              <w:t>48.108.616</w:t>
            </w:r>
          </w:p>
        </w:tc>
      </w:tr>
      <w:tr w:rsidR="003E4E1A" w:rsidRPr="00205C60" w14:paraId="791FCC9E" w14:textId="77777777" w:rsidTr="008945BB">
        <w:trPr>
          <w:trHeight w:val="330"/>
        </w:trPr>
        <w:tc>
          <w:tcPr>
            <w:tcW w:w="1634" w:type="dxa"/>
            <w:vAlign w:val="center"/>
          </w:tcPr>
          <w:p w14:paraId="1110E5DB" w14:textId="08DF07B1" w:rsidR="003E4E1A" w:rsidRPr="00205C60" w:rsidRDefault="003E4E1A" w:rsidP="00D60A58">
            <w:pPr>
              <w:pStyle w:val="Sangradetextonormal"/>
              <w:tabs>
                <w:tab w:val="left" w:pos="360"/>
              </w:tabs>
              <w:ind w:left="0"/>
              <w:jc w:val="center"/>
              <w:rPr>
                <w:rFonts w:ascii="Verdana" w:hAnsi="Verdana" w:cs="Arial"/>
                <w:b w:val="0"/>
                <w:color w:val="auto"/>
                <w:sz w:val="22"/>
                <w:szCs w:val="22"/>
              </w:rPr>
            </w:pPr>
            <w:r w:rsidRPr="00205C60">
              <w:rPr>
                <w:rFonts w:ascii="Verdana" w:hAnsi="Verdana" w:cs="Arial"/>
                <w:b w:val="0"/>
                <w:color w:val="auto"/>
                <w:sz w:val="22"/>
                <w:szCs w:val="22"/>
              </w:rPr>
              <w:t>202</w:t>
            </w:r>
            <w:r w:rsidR="009B119B" w:rsidRPr="00205C60">
              <w:rPr>
                <w:rFonts w:ascii="Verdana" w:hAnsi="Verdana" w:cs="Arial"/>
                <w:b w:val="0"/>
                <w:color w:val="auto"/>
                <w:sz w:val="22"/>
                <w:szCs w:val="22"/>
              </w:rPr>
              <w:t>2</w:t>
            </w:r>
          </w:p>
        </w:tc>
        <w:tc>
          <w:tcPr>
            <w:tcW w:w="3133" w:type="dxa"/>
            <w:vAlign w:val="center"/>
          </w:tcPr>
          <w:p w14:paraId="504EC671" w14:textId="6C0D9E6C" w:rsidR="003E4E1A" w:rsidRPr="00205C60" w:rsidRDefault="003E4E1A" w:rsidP="004D5AEB">
            <w:pPr>
              <w:pStyle w:val="Sangradetextonormal"/>
              <w:tabs>
                <w:tab w:val="left" w:pos="360"/>
              </w:tabs>
              <w:ind w:left="0"/>
              <w:jc w:val="center"/>
              <w:rPr>
                <w:rFonts w:ascii="Verdana" w:hAnsi="Verdana" w:cs="Arial"/>
                <w:b w:val="0"/>
                <w:color w:val="auto"/>
                <w:sz w:val="22"/>
                <w:szCs w:val="22"/>
              </w:rPr>
            </w:pPr>
            <w:r w:rsidRPr="00205C60">
              <w:rPr>
                <w:rFonts w:ascii="Verdana" w:hAnsi="Verdana" w:cs="Arial"/>
                <w:b w:val="0"/>
                <w:color w:val="auto"/>
                <w:sz w:val="22"/>
                <w:szCs w:val="22"/>
              </w:rPr>
              <w:t>4</w:t>
            </w:r>
            <w:r w:rsidR="00682A76" w:rsidRPr="00205C60">
              <w:rPr>
                <w:rFonts w:ascii="Verdana" w:hAnsi="Verdana" w:cs="Arial"/>
                <w:b w:val="0"/>
                <w:color w:val="auto"/>
                <w:sz w:val="22"/>
                <w:szCs w:val="22"/>
              </w:rPr>
              <w:t>0</w:t>
            </w:r>
            <w:r w:rsidRPr="00205C60">
              <w:rPr>
                <w:rFonts w:ascii="Verdana" w:hAnsi="Verdana" w:cs="Arial"/>
                <w:b w:val="0"/>
                <w:color w:val="auto"/>
                <w:sz w:val="22"/>
                <w:szCs w:val="22"/>
              </w:rPr>
              <w:t>.</w:t>
            </w:r>
            <w:r w:rsidR="00682A76" w:rsidRPr="00205C60">
              <w:rPr>
                <w:rFonts w:ascii="Verdana" w:hAnsi="Verdana" w:cs="Arial"/>
                <w:b w:val="0"/>
                <w:color w:val="auto"/>
                <w:sz w:val="22"/>
                <w:szCs w:val="22"/>
              </w:rPr>
              <w:t>733</w:t>
            </w:r>
            <w:r w:rsidRPr="00205C60">
              <w:rPr>
                <w:rFonts w:ascii="Verdana" w:hAnsi="Verdana" w:cs="Arial"/>
                <w:b w:val="0"/>
                <w:color w:val="auto"/>
                <w:sz w:val="22"/>
                <w:szCs w:val="22"/>
              </w:rPr>
              <w:t>.</w:t>
            </w:r>
            <w:r w:rsidR="00682A76" w:rsidRPr="00205C60">
              <w:rPr>
                <w:rFonts w:ascii="Verdana" w:hAnsi="Verdana" w:cs="Arial"/>
                <w:b w:val="0"/>
                <w:color w:val="auto"/>
                <w:sz w:val="22"/>
                <w:szCs w:val="22"/>
              </w:rPr>
              <w:t>149</w:t>
            </w:r>
          </w:p>
        </w:tc>
      </w:tr>
    </w:tbl>
    <w:p w14:paraId="3CA7ED66" w14:textId="77777777" w:rsidR="00745766" w:rsidRPr="00205C60" w:rsidRDefault="00745766" w:rsidP="007D4AD0">
      <w:pPr>
        <w:pStyle w:val="Sangradetextonormal"/>
        <w:tabs>
          <w:tab w:val="left" w:pos="360"/>
        </w:tabs>
        <w:ind w:left="0"/>
        <w:jc w:val="both"/>
        <w:rPr>
          <w:rFonts w:ascii="Verdana" w:hAnsi="Verdana" w:cs="Arial"/>
          <w:b w:val="0"/>
          <w:color w:val="auto"/>
          <w:sz w:val="22"/>
          <w:szCs w:val="22"/>
        </w:rPr>
      </w:pPr>
    </w:p>
    <w:p w14:paraId="3CA7ED67" w14:textId="77777777" w:rsidR="00343236" w:rsidRPr="00205C60" w:rsidRDefault="00343236" w:rsidP="007D4AD0">
      <w:pPr>
        <w:pStyle w:val="Sangradetextonormal"/>
        <w:tabs>
          <w:tab w:val="left" w:pos="360"/>
        </w:tabs>
        <w:ind w:left="0"/>
        <w:jc w:val="both"/>
        <w:rPr>
          <w:rFonts w:ascii="Verdana" w:hAnsi="Verdana" w:cs="Arial"/>
          <w:b w:val="0"/>
          <w:color w:val="auto"/>
          <w:sz w:val="22"/>
          <w:szCs w:val="22"/>
        </w:rPr>
      </w:pPr>
    </w:p>
    <w:p w14:paraId="3CA7ED69" w14:textId="77777777" w:rsidR="002470E3" w:rsidRPr="00205C60" w:rsidRDefault="002470E3" w:rsidP="007D4AD0">
      <w:pPr>
        <w:pStyle w:val="Sangradetextonormal"/>
        <w:tabs>
          <w:tab w:val="left" w:pos="360"/>
        </w:tabs>
        <w:ind w:left="0"/>
        <w:jc w:val="both"/>
        <w:rPr>
          <w:rFonts w:ascii="Verdana" w:hAnsi="Verdana" w:cs="Arial"/>
          <w:b w:val="0"/>
          <w:color w:val="auto"/>
          <w:sz w:val="22"/>
          <w:szCs w:val="22"/>
        </w:rPr>
      </w:pPr>
    </w:p>
    <w:p w14:paraId="3CA7ED6A" w14:textId="77777777" w:rsidR="00FD7827" w:rsidRPr="00205C60" w:rsidRDefault="00FD7827" w:rsidP="007D4AD0">
      <w:pPr>
        <w:pStyle w:val="Sangradetextonormal"/>
        <w:tabs>
          <w:tab w:val="left" w:pos="360"/>
        </w:tabs>
        <w:ind w:left="0"/>
        <w:jc w:val="both"/>
        <w:rPr>
          <w:rFonts w:ascii="Verdana" w:hAnsi="Verdana" w:cs="Arial"/>
          <w:b w:val="0"/>
          <w:color w:val="auto"/>
          <w:sz w:val="22"/>
          <w:szCs w:val="22"/>
        </w:rPr>
      </w:pPr>
    </w:p>
    <w:p w14:paraId="3CA7ED6B" w14:textId="77777777" w:rsidR="00296721" w:rsidRPr="00205C60" w:rsidRDefault="00296721" w:rsidP="007D4AD0">
      <w:pPr>
        <w:pStyle w:val="Sangradetextonormal"/>
        <w:tabs>
          <w:tab w:val="left" w:pos="360"/>
        </w:tabs>
        <w:ind w:left="0"/>
        <w:jc w:val="both"/>
        <w:rPr>
          <w:rFonts w:ascii="Verdana" w:hAnsi="Verdana" w:cs="Arial"/>
          <w:b w:val="0"/>
          <w:color w:val="C00000"/>
          <w:sz w:val="22"/>
          <w:szCs w:val="22"/>
        </w:rPr>
      </w:pPr>
    </w:p>
    <w:p w14:paraId="3CA7ED6C" w14:textId="77777777" w:rsidR="00FD074E" w:rsidRPr="00205C60" w:rsidRDefault="00FD074E" w:rsidP="007D4AD0">
      <w:pPr>
        <w:pStyle w:val="Sangradetextonormal"/>
        <w:tabs>
          <w:tab w:val="left" w:pos="360"/>
        </w:tabs>
        <w:ind w:left="0"/>
        <w:jc w:val="both"/>
        <w:rPr>
          <w:rFonts w:ascii="Verdana" w:hAnsi="Verdana" w:cs="Arial"/>
          <w:b w:val="0"/>
          <w:color w:val="C00000"/>
          <w:sz w:val="22"/>
          <w:szCs w:val="22"/>
        </w:rPr>
      </w:pPr>
    </w:p>
    <w:p w14:paraId="3CA7ED6D" w14:textId="77777777" w:rsidR="00FD074E" w:rsidRPr="00205C60" w:rsidRDefault="00FD074E" w:rsidP="007D4AD0">
      <w:pPr>
        <w:pStyle w:val="Sangradetextonormal"/>
        <w:tabs>
          <w:tab w:val="left" w:pos="360"/>
        </w:tabs>
        <w:ind w:left="0"/>
        <w:jc w:val="both"/>
        <w:rPr>
          <w:rFonts w:ascii="Verdana" w:hAnsi="Verdana" w:cs="Arial"/>
          <w:b w:val="0"/>
          <w:color w:val="C00000"/>
          <w:sz w:val="22"/>
          <w:szCs w:val="22"/>
        </w:rPr>
      </w:pPr>
    </w:p>
    <w:p w14:paraId="40C253EA" w14:textId="7A1A10DF" w:rsidR="00527BC7" w:rsidRPr="00205C60" w:rsidRDefault="00527BC7" w:rsidP="007D4AD0">
      <w:pPr>
        <w:pStyle w:val="Sangradetextonormal"/>
        <w:tabs>
          <w:tab w:val="left" w:pos="360"/>
        </w:tabs>
        <w:ind w:left="0"/>
        <w:jc w:val="both"/>
        <w:rPr>
          <w:rFonts w:ascii="Verdana" w:hAnsi="Verdana" w:cs="Arial"/>
          <w:b w:val="0"/>
          <w:color w:val="auto"/>
          <w:sz w:val="22"/>
          <w:szCs w:val="22"/>
        </w:rPr>
      </w:pPr>
    </w:p>
    <w:p w14:paraId="02DEF8B6" w14:textId="6755942B" w:rsidR="00527BC7" w:rsidRPr="00205C60" w:rsidRDefault="00527BC7" w:rsidP="00527BC7">
      <w:pPr>
        <w:pStyle w:val="Sangradetextonormal"/>
        <w:tabs>
          <w:tab w:val="left" w:pos="360"/>
        </w:tabs>
        <w:ind w:left="0"/>
        <w:jc w:val="both"/>
        <w:rPr>
          <w:rFonts w:ascii="Verdana" w:hAnsi="Verdana" w:cs="Arial"/>
          <w:b w:val="0"/>
          <w:color w:val="auto"/>
          <w:sz w:val="22"/>
          <w:szCs w:val="22"/>
        </w:rPr>
      </w:pPr>
      <w:r w:rsidRPr="00205C60">
        <w:rPr>
          <w:rFonts w:ascii="Verdana" w:hAnsi="Verdana" w:cs="Arial"/>
          <w:b w:val="0"/>
          <w:color w:val="auto"/>
          <w:sz w:val="22"/>
          <w:szCs w:val="22"/>
        </w:rPr>
        <w:t xml:space="preserve">En los años </w:t>
      </w:r>
      <w:r w:rsidR="00952B84" w:rsidRPr="00205C60">
        <w:rPr>
          <w:rFonts w:ascii="Verdana" w:hAnsi="Verdana" w:cs="Arial"/>
          <w:b w:val="0"/>
          <w:color w:val="auto"/>
          <w:sz w:val="22"/>
          <w:szCs w:val="22"/>
        </w:rPr>
        <w:t>20</w:t>
      </w:r>
      <w:r w:rsidR="00623241" w:rsidRPr="00205C60">
        <w:rPr>
          <w:rFonts w:ascii="Verdana" w:hAnsi="Verdana" w:cs="Arial"/>
          <w:b w:val="0"/>
          <w:color w:val="auto"/>
          <w:sz w:val="22"/>
          <w:szCs w:val="22"/>
        </w:rPr>
        <w:t>20</w:t>
      </w:r>
      <w:r w:rsidR="00952B84" w:rsidRPr="00205C60">
        <w:rPr>
          <w:rFonts w:ascii="Verdana" w:hAnsi="Verdana" w:cs="Arial"/>
          <w:b w:val="0"/>
          <w:color w:val="auto"/>
          <w:sz w:val="22"/>
          <w:szCs w:val="22"/>
        </w:rPr>
        <w:t>, 202</w:t>
      </w:r>
      <w:r w:rsidR="00623241" w:rsidRPr="00205C60">
        <w:rPr>
          <w:rFonts w:ascii="Verdana" w:hAnsi="Verdana" w:cs="Arial"/>
          <w:b w:val="0"/>
          <w:color w:val="auto"/>
          <w:sz w:val="22"/>
          <w:szCs w:val="22"/>
        </w:rPr>
        <w:t>1</w:t>
      </w:r>
      <w:r w:rsidRPr="00205C60">
        <w:rPr>
          <w:rFonts w:ascii="Verdana" w:hAnsi="Verdana" w:cs="Arial"/>
          <w:b w:val="0"/>
          <w:color w:val="auto"/>
          <w:sz w:val="22"/>
          <w:szCs w:val="22"/>
        </w:rPr>
        <w:t xml:space="preserve"> y 202</w:t>
      </w:r>
      <w:r w:rsidR="00623241" w:rsidRPr="00205C60">
        <w:rPr>
          <w:rFonts w:ascii="Verdana" w:hAnsi="Verdana" w:cs="Arial"/>
          <w:b w:val="0"/>
          <w:color w:val="auto"/>
          <w:sz w:val="22"/>
          <w:szCs w:val="22"/>
        </w:rPr>
        <w:t>2</w:t>
      </w:r>
      <w:r w:rsidRPr="00205C60">
        <w:rPr>
          <w:rFonts w:ascii="Verdana" w:hAnsi="Verdana" w:cs="Arial"/>
          <w:b w:val="0"/>
          <w:color w:val="auto"/>
          <w:sz w:val="22"/>
          <w:szCs w:val="22"/>
        </w:rPr>
        <w:t xml:space="preserve">, el tipo de cambio utilizado para la conversión a colones de los pasivos contingentes en dólares fue de </w:t>
      </w:r>
      <w:r w:rsidR="007956EB" w:rsidRPr="00205C60">
        <w:rPr>
          <w:rFonts w:ascii="Verdana" w:hAnsi="Verdana" w:cs="Arial"/>
          <w:b w:val="0"/>
          <w:color w:val="auto"/>
          <w:sz w:val="22"/>
          <w:szCs w:val="22"/>
        </w:rPr>
        <w:t>₡</w:t>
      </w:r>
      <w:r w:rsidRPr="00205C60">
        <w:rPr>
          <w:rFonts w:ascii="Verdana" w:hAnsi="Verdana" w:cs="Arial"/>
          <w:b w:val="0"/>
          <w:color w:val="auto"/>
          <w:sz w:val="22"/>
          <w:szCs w:val="22"/>
        </w:rPr>
        <w:t xml:space="preserve"> </w:t>
      </w:r>
      <w:r w:rsidR="009D32A7" w:rsidRPr="00205C60">
        <w:rPr>
          <w:rFonts w:ascii="Verdana" w:hAnsi="Verdana" w:cs="Arial"/>
          <w:b w:val="0"/>
          <w:color w:val="auto"/>
          <w:sz w:val="22"/>
          <w:szCs w:val="22"/>
        </w:rPr>
        <w:t>615</w:t>
      </w:r>
      <w:r w:rsidRPr="00205C60">
        <w:rPr>
          <w:rFonts w:ascii="Verdana" w:hAnsi="Verdana" w:cs="Arial"/>
          <w:b w:val="0"/>
          <w:color w:val="auto"/>
          <w:sz w:val="22"/>
          <w:szCs w:val="22"/>
        </w:rPr>
        <w:t>,</w:t>
      </w:r>
      <w:r w:rsidR="009D32A7" w:rsidRPr="00205C60">
        <w:rPr>
          <w:rFonts w:ascii="Verdana" w:hAnsi="Verdana" w:cs="Arial"/>
          <w:b w:val="0"/>
          <w:color w:val="auto"/>
          <w:sz w:val="22"/>
          <w:szCs w:val="22"/>
        </w:rPr>
        <w:t>74</w:t>
      </w:r>
      <w:r w:rsidR="00987872" w:rsidRPr="00205C60">
        <w:rPr>
          <w:rFonts w:ascii="Verdana" w:hAnsi="Verdana" w:cs="Arial"/>
          <w:b w:val="0"/>
          <w:color w:val="auto"/>
          <w:sz w:val="22"/>
          <w:szCs w:val="22"/>
        </w:rPr>
        <w:t xml:space="preserve">, </w:t>
      </w:r>
      <w:r w:rsidR="007956EB" w:rsidRPr="00205C60">
        <w:rPr>
          <w:rFonts w:ascii="Verdana" w:hAnsi="Verdana" w:cs="Arial"/>
          <w:b w:val="0"/>
          <w:color w:val="auto"/>
          <w:sz w:val="22"/>
          <w:szCs w:val="22"/>
        </w:rPr>
        <w:t>₡</w:t>
      </w:r>
      <w:r w:rsidRPr="00205C60">
        <w:rPr>
          <w:rFonts w:ascii="Verdana" w:hAnsi="Verdana" w:cs="Arial"/>
          <w:b w:val="0"/>
          <w:color w:val="auto"/>
          <w:sz w:val="22"/>
          <w:szCs w:val="22"/>
        </w:rPr>
        <w:t xml:space="preserve"> 6</w:t>
      </w:r>
      <w:r w:rsidR="00CF712B" w:rsidRPr="00205C60">
        <w:rPr>
          <w:rFonts w:ascii="Verdana" w:hAnsi="Verdana" w:cs="Arial"/>
          <w:b w:val="0"/>
          <w:color w:val="auto"/>
          <w:sz w:val="22"/>
          <w:szCs w:val="22"/>
        </w:rPr>
        <w:t>42</w:t>
      </w:r>
      <w:r w:rsidRPr="00205C60">
        <w:rPr>
          <w:rFonts w:ascii="Verdana" w:hAnsi="Verdana" w:cs="Arial"/>
          <w:b w:val="0"/>
          <w:color w:val="auto"/>
          <w:sz w:val="22"/>
          <w:szCs w:val="22"/>
        </w:rPr>
        <w:t>,</w:t>
      </w:r>
      <w:r w:rsidR="00CF712B" w:rsidRPr="00205C60">
        <w:rPr>
          <w:rFonts w:ascii="Verdana" w:hAnsi="Verdana" w:cs="Arial"/>
          <w:b w:val="0"/>
          <w:color w:val="auto"/>
          <w:sz w:val="22"/>
          <w:szCs w:val="22"/>
        </w:rPr>
        <w:t>66</w:t>
      </w:r>
      <w:r w:rsidRPr="00205C60">
        <w:rPr>
          <w:rFonts w:ascii="Verdana" w:hAnsi="Verdana" w:cs="Arial"/>
          <w:b w:val="0"/>
          <w:color w:val="auto"/>
          <w:sz w:val="22"/>
          <w:szCs w:val="22"/>
        </w:rPr>
        <w:t xml:space="preserve"> </w:t>
      </w:r>
      <w:r w:rsidR="00987872" w:rsidRPr="00205C60">
        <w:rPr>
          <w:rFonts w:ascii="Verdana" w:hAnsi="Verdana" w:cs="Arial"/>
          <w:b w:val="0"/>
          <w:color w:val="auto"/>
          <w:sz w:val="22"/>
          <w:szCs w:val="22"/>
        </w:rPr>
        <w:t xml:space="preserve">y </w:t>
      </w:r>
      <w:r w:rsidR="0066616F" w:rsidRPr="00205C60">
        <w:rPr>
          <w:rFonts w:ascii="Verdana" w:hAnsi="Verdana" w:cs="Arial"/>
          <w:b w:val="0"/>
          <w:color w:val="auto"/>
          <w:sz w:val="22"/>
          <w:szCs w:val="22"/>
        </w:rPr>
        <w:t xml:space="preserve">₡597,04 </w:t>
      </w:r>
      <w:r w:rsidRPr="00205C60">
        <w:rPr>
          <w:rFonts w:ascii="Verdana" w:hAnsi="Verdana" w:cs="Arial"/>
          <w:b w:val="0"/>
          <w:color w:val="auto"/>
          <w:sz w:val="22"/>
          <w:szCs w:val="22"/>
        </w:rPr>
        <w:t>respectivamente.</w:t>
      </w:r>
    </w:p>
    <w:p w14:paraId="3EF81DCE" w14:textId="77777777" w:rsidR="00527BC7" w:rsidRPr="00205C60" w:rsidRDefault="00527BC7" w:rsidP="00527BC7">
      <w:pPr>
        <w:pStyle w:val="Sangradetextonormal"/>
        <w:tabs>
          <w:tab w:val="left" w:pos="360"/>
        </w:tabs>
        <w:ind w:left="0"/>
        <w:jc w:val="both"/>
        <w:rPr>
          <w:rFonts w:ascii="Verdana" w:hAnsi="Verdana" w:cs="Arial"/>
          <w:b w:val="0"/>
          <w:color w:val="auto"/>
          <w:sz w:val="22"/>
          <w:szCs w:val="22"/>
        </w:rPr>
      </w:pPr>
    </w:p>
    <w:tbl>
      <w:tblPr>
        <w:tblW w:w="4616" w:type="pct"/>
        <w:jc w:val="center"/>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934"/>
        <w:gridCol w:w="2711"/>
        <w:gridCol w:w="251"/>
        <w:gridCol w:w="2059"/>
        <w:gridCol w:w="241"/>
        <w:gridCol w:w="2223"/>
      </w:tblGrid>
      <w:tr w:rsidR="00433C01" w:rsidRPr="00205C60" w14:paraId="3CA7ED71" w14:textId="77777777" w:rsidTr="00D37B6E">
        <w:trPr>
          <w:cantSplit/>
          <w:trHeight w:val="388"/>
          <w:jc w:val="center"/>
        </w:trPr>
        <w:tc>
          <w:tcPr>
            <w:tcW w:w="5000" w:type="pct"/>
            <w:gridSpan w:val="6"/>
            <w:tcBorders>
              <w:bottom w:val="nil"/>
            </w:tcBorders>
            <w:vAlign w:val="center"/>
          </w:tcPr>
          <w:p w14:paraId="3CA7ED70" w14:textId="0DAAA2F9" w:rsidR="00433C01" w:rsidRPr="00205C60" w:rsidRDefault="00433C01" w:rsidP="006E18E7">
            <w:pPr>
              <w:jc w:val="center"/>
              <w:rPr>
                <w:rFonts w:ascii="Verdana" w:hAnsi="Verdana" w:cs="Arial"/>
                <w:b/>
                <w:snapToGrid w:val="0"/>
                <w:sz w:val="22"/>
                <w:szCs w:val="22"/>
              </w:rPr>
            </w:pPr>
            <w:r w:rsidRPr="00205C60">
              <w:rPr>
                <w:rFonts w:ascii="Verdana" w:hAnsi="Verdana" w:cs="Arial"/>
                <w:b/>
                <w:sz w:val="22"/>
                <w:szCs w:val="22"/>
              </w:rPr>
              <w:br w:type="page"/>
            </w:r>
            <w:r w:rsidR="00376B1F" w:rsidRPr="00205C60">
              <w:rPr>
                <w:rFonts w:ascii="Verdana" w:hAnsi="Verdana" w:cs="Arial"/>
                <w:b/>
                <w:snapToGrid w:val="0"/>
                <w:sz w:val="22"/>
                <w:szCs w:val="22"/>
              </w:rPr>
              <w:t>Cá</w:t>
            </w:r>
            <w:r w:rsidRPr="00205C60">
              <w:rPr>
                <w:rFonts w:ascii="Verdana" w:hAnsi="Verdana" w:cs="Arial"/>
                <w:b/>
                <w:snapToGrid w:val="0"/>
                <w:sz w:val="22"/>
                <w:szCs w:val="22"/>
              </w:rPr>
              <w:t xml:space="preserve">lculo del Patrimonio Menos las utilidades </w:t>
            </w:r>
            <w:r w:rsidR="00F101B4" w:rsidRPr="00205C60">
              <w:rPr>
                <w:rFonts w:ascii="Verdana" w:hAnsi="Verdana" w:cs="Arial"/>
                <w:b/>
                <w:snapToGrid w:val="0"/>
                <w:sz w:val="22"/>
                <w:szCs w:val="22"/>
              </w:rPr>
              <w:t>retenidas (</w:t>
            </w:r>
            <w:r w:rsidRPr="00205C60">
              <w:rPr>
                <w:rFonts w:ascii="Verdana" w:hAnsi="Verdana" w:cs="Arial"/>
                <w:b/>
                <w:snapToGrid w:val="0"/>
                <w:sz w:val="22"/>
                <w:szCs w:val="22"/>
              </w:rPr>
              <w:t>miles de colones)</w:t>
            </w:r>
          </w:p>
        </w:tc>
      </w:tr>
      <w:tr w:rsidR="00433C01" w:rsidRPr="00205C60" w14:paraId="3CA7ED78" w14:textId="77777777" w:rsidTr="0067187A">
        <w:trPr>
          <w:trHeight w:val="251"/>
          <w:jc w:val="center"/>
        </w:trPr>
        <w:tc>
          <w:tcPr>
            <w:tcW w:w="555" w:type="pct"/>
            <w:tcBorders>
              <w:top w:val="single" w:sz="4" w:space="0" w:color="auto"/>
              <w:bottom w:val="single" w:sz="4" w:space="0" w:color="auto"/>
              <w:right w:val="single" w:sz="4" w:space="0" w:color="auto"/>
            </w:tcBorders>
            <w:vAlign w:val="center"/>
          </w:tcPr>
          <w:p w14:paraId="3CA7ED72" w14:textId="77777777" w:rsidR="00433C01" w:rsidRPr="00205C60" w:rsidRDefault="00433C01" w:rsidP="006E18E7">
            <w:pPr>
              <w:jc w:val="center"/>
              <w:rPr>
                <w:rFonts w:ascii="Verdana" w:hAnsi="Verdana" w:cs="Arial"/>
                <w:b/>
                <w:bCs/>
                <w:snapToGrid w:val="0"/>
                <w:sz w:val="22"/>
                <w:szCs w:val="22"/>
              </w:rPr>
            </w:pPr>
            <w:r w:rsidRPr="00205C60">
              <w:rPr>
                <w:rFonts w:ascii="Verdana" w:hAnsi="Verdana" w:cs="Arial"/>
                <w:b/>
                <w:bCs/>
                <w:snapToGrid w:val="0"/>
                <w:sz w:val="22"/>
                <w:szCs w:val="22"/>
              </w:rPr>
              <w:t>Año</w:t>
            </w:r>
          </w:p>
        </w:tc>
        <w:tc>
          <w:tcPr>
            <w:tcW w:w="1610" w:type="pct"/>
            <w:tcBorders>
              <w:top w:val="single" w:sz="4" w:space="0" w:color="auto"/>
              <w:left w:val="single" w:sz="4" w:space="0" w:color="auto"/>
              <w:bottom w:val="single" w:sz="4" w:space="0" w:color="auto"/>
            </w:tcBorders>
            <w:shd w:val="solid" w:color="FFFFFF" w:fill="auto"/>
            <w:vAlign w:val="center"/>
          </w:tcPr>
          <w:p w14:paraId="3CA7ED73" w14:textId="77777777" w:rsidR="00433C01" w:rsidRPr="00205C60" w:rsidRDefault="00433C01" w:rsidP="006E18E7">
            <w:pPr>
              <w:jc w:val="center"/>
              <w:rPr>
                <w:rFonts w:ascii="Verdana" w:hAnsi="Verdana" w:cs="Arial"/>
                <w:b/>
                <w:bCs/>
                <w:snapToGrid w:val="0"/>
                <w:sz w:val="22"/>
                <w:szCs w:val="22"/>
              </w:rPr>
            </w:pPr>
            <w:r w:rsidRPr="00205C60">
              <w:rPr>
                <w:rFonts w:ascii="Verdana" w:hAnsi="Verdana" w:cs="Arial"/>
                <w:b/>
                <w:bCs/>
                <w:snapToGrid w:val="0"/>
                <w:sz w:val="22"/>
                <w:szCs w:val="22"/>
              </w:rPr>
              <w:t>Patrimonio</w:t>
            </w:r>
          </w:p>
        </w:tc>
        <w:tc>
          <w:tcPr>
            <w:tcW w:w="149" w:type="pct"/>
            <w:tcBorders>
              <w:top w:val="single" w:sz="4" w:space="0" w:color="auto"/>
              <w:bottom w:val="single" w:sz="4" w:space="0" w:color="auto"/>
            </w:tcBorders>
            <w:vAlign w:val="center"/>
          </w:tcPr>
          <w:p w14:paraId="3CA7ED74" w14:textId="77777777" w:rsidR="00433C01" w:rsidRPr="00205C60" w:rsidRDefault="00433C01" w:rsidP="006E18E7">
            <w:pPr>
              <w:jc w:val="center"/>
              <w:rPr>
                <w:rFonts w:ascii="Verdana" w:hAnsi="Verdana" w:cs="Arial"/>
                <w:b/>
                <w:bCs/>
                <w:snapToGrid w:val="0"/>
                <w:sz w:val="22"/>
                <w:szCs w:val="22"/>
              </w:rPr>
            </w:pPr>
            <w:r w:rsidRPr="00205C60">
              <w:rPr>
                <w:rFonts w:ascii="Verdana" w:hAnsi="Verdana" w:cs="Arial"/>
                <w:b/>
                <w:bCs/>
                <w:snapToGrid w:val="0"/>
                <w:sz w:val="22"/>
                <w:szCs w:val="22"/>
              </w:rPr>
              <w:t>-</w:t>
            </w:r>
          </w:p>
        </w:tc>
        <w:tc>
          <w:tcPr>
            <w:tcW w:w="1223" w:type="pct"/>
            <w:tcBorders>
              <w:top w:val="single" w:sz="4" w:space="0" w:color="auto"/>
              <w:bottom w:val="single" w:sz="4" w:space="0" w:color="auto"/>
            </w:tcBorders>
            <w:vAlign w:val="center"/>
          </w:tcPr>
          <w:p w14:paraId="3CA7ED75" w14:textId="77777777" w:rsidR="00433C01" w:rsidRPr="00205C60" w:rsidRDefault="00433C01" w:rsidP="006E18E7">
            <w:pPr>
              <w:jc w:val="center"/>
              <w:rPr>
                <w:rFonts w:ascii="Verdana" w:hAnsi="Verdana" w:cs="Arial"/>
                <w:b/>
                <w:bCs/>
                <w:snapToGrid w:val="0"/>
                <w:sz w:val="22"/>
                <w:szCs w:val="22"/>
              </w:rPr>
            </w:pPr>
            <w:r w:rsidRPr="00205C60">
              <w:rPr>
                <w:rFonts w:ascii="Verdana" w:hAnsi="Verdana" w:cs="Arial"/>
                <w:b/>
                <w:bCs/>
                <w:snapToGrid w:val="0"/>
                <w:sz w:val="22"/>
                <w:szCs w:val="22"/>
              </w:rPr>
              <w:t>Utilidades Retenidas</w:t>
            </w:r>
          </w:p>
        </w:tc>
        <w:tc>
          <w:tcPr>
            <w:tcW w:w="143" w:type="pct"/>
            <w:tcBorders>
              <w:top w:val="single" w:sz="4" w:space="0" w:color="auto"/>
              <w:bottom w:val="single" w:sz="4" w:space="0" w:color="auto"/>
            </w:tcBorders>
            <w:shd w:val="solid" w:color="FFFFFF" w:fill="auto"/>
            <w:vAlign w:val="center"/>
          </w:tcPr>
          <w:p w14:paraId="3CA7ED76" w14:textId="77777777" w:rsidR="00433C01" w:rsidRPr="00205C60" w:rsidRDefault="00433C01" w:rsidP="006E18E7">
            <w:pPr>
              <w:jc w:val="center"/>
              <w:rPr>
                <w:rFonts w:ascii="Verdana" w:hAnsi="Verdana" w:cs="Arial"/>
                <w:snapToGrid w:val="0"/>
                <w:sz w:val="22"/>
                <w:szCs w:val="22"/>
              </w:rPr>
            </w:pPr>
            <w:r w:rsidRPr="00205C60">
              <w:rPr>
                <w:rFonts w:ascii="Verdana" w:hAnsi="Verdana" w:cs="Arial"/>
                <w:snapToGrid w:val="0"/>
                <w:sz w:val="22"/>
                <w:szCs w:val="22"/>
              </w:rPr>
              <w:t>=</w:t>
            </w:r>
          </w:p>
        </w:tc>
        <w:tc>
          <w:tcPr>
            <w:tcW w:w="1320" w:type="pct"/>
            <w:tcBorders>
              <w:top w:val="single" w:sz="4" w:space="0" w:color="auto"/>
              <w:bottom w:val="single" w:sz="4" w:space="0" w:color="auto"/>
            </w:tcBorders>
            <w:vAlign w:val="center"/>
          </w:tcPr>
          <w:p w14:paraId="3CA7ED77" w14:textId="57B3B3AC" w:rsidR="00433C01" w:rsidRPr="00205C60" w:rsidRDefault="00F101B4" w:rsidP="006E18E7">
            <w:pPr>
              <w:jc w:val="center"/>
              <w:rPr>
                <w:rFonts w:ascii="Verdana" w:hAnsi="Verdana" w:cs="Arial"/>
                <w:b/>
                <w:bCs/>
                <w:snapToGrid w:val="0"/>
                <w:sz w:val="22"/>
                <w:szCs w:val="22"/>
              </w:rPr>
            </w:pPr>
            <w:r w:rsidRPr="00205C60">
              <w:rPr>
                <w:rFonts w:ascii="Verdana" w:hAnsi="Verdana" w:cs="Arial"/>
                <w:b/>
                <w:bCs/>
                <w:snapToGrid w:val="0"/>
                <w:sz w:val="22"/>
                <w:szCs w:val="22"/>
              </w:rPr>
              <w:t>Total,</w:t>
            </w:r>
            <w:r w:rsidR="00433C01" w:rsidRPr="00205C60">
              <w:rPr>
                <w:rFonts w:ascii="Verdana" w:hAnsi="Verdana" w:cs="Arial"/>
                <w:b/>
                <w:bCs/>
                <w:snapToGrid w:val="0"/>
                <w:sz w:val="22"/>
                <w:szCs w:val="22"/>
              </w:rPr>
              <w:t xml:space="preserve"> Patrimonio Neto</w:t>
            </w:r>
          </w:p>
        </w:tc>
      </w:tr>
      <w:tr w:rsidR="0067187A" w:rsidRPr="00205C60" w14:paraId="3CA7ED86" w14:textId="77777777" w:rsidTr="0067187A">
        <w:trPr>
          <w:trHeight w:val="190"/>
          <w:jc w:val="center"/>
        </w:trPr>
        <w:tc>
          <w:tcPr>
            <w:tcW w:w="555" w:type="pct"/>
            <w:tcBorders>
              <w:top w:val="single" w:sz="4" w:space="0" w:color="auto"/>
              <w:bottom w:val="single" w:sz="4" w:space="0" w:color="auto"/>
              <w:right w:val="single" w:sz="4" w:space="0" w:color="auto"/>
            </w:tcBorders>
            <w:vAlign w:val="center"/>
          </w:tcPr>
          <w:p w14:paraId="3CA7ED80" w14:textId="1FABAB8B" w:rsidR="0067187A" w:rsidRPr="00205C60" w:rsidRDefault="0067187A" w:rsidP="0067187A">
            <w:pPr>
              <w:jc w:val="center"/>
              <w:rPr>
                <w:rFonts w:ascii="Verdana" w:hAnsi="Verdana" w:cs="Arial"/>
                <w:snapToGrid w:val="0"/>
                <w:sz w:val="22"/>
                <w:szCs w:val="22"/>
              </w:rPr>
            </w:pPr>
            <w:r w:rsidRPr="00205C60">
              <w:rPr>
                <w:rFonts w:ascii="Verdana" w:hAnsi="Verdana" w:cs="Arial"/>
                <w:snapToGrid w:val="0"/>
                <w:sz w:val="22"/>
                <w:szCs w:val="22"/>
              </w:rPr>
              <w:t>2020</w:t>
            </w:r>
          </w:p>
        </w:tc>
        <w:tc>
          <w:tcPr>
            <w:tcW w:w="1610" w:type="pct"/>
            <w:tcBorders>
              <w:top w:val="single" w:sz="4" w:space="0" w:color="auto"/>
              <w:left w:val="single" w:sz="4" w:space="0" w:color="auto"/>
              <w:bottom w:val="single" w:sz="4" w:space="0" w:color="auto"/>
            </w:tcBorders>
            <w:shd w:val="solid" w:color="FFFFFF" w:fill="auto"/>
            <w:vAlign w:val="bottom"/>
          </w:tcPr>
          <w:p w14:paraId="3CA7ED81" w14:textId="22CB351A" w:rsidR="0067187A" w:rsidRPr="00205C60" w:rsidRDefault="0067187A" w:rsidP="0067187A">
            <w:pPr>
              <w:jc w:val="center"/>
              <w:rPr>
                <w:rFonts w:ascii="Verdana" w:hAnsi="Verdana" w:cs="Arial"/>
                <w:snapToGrid w:val="0"/>
                <w:sz w:val="22"/>
                <w:szCs w:val="22"/>
              </w:rPr>
            </w:pPr>
            <w:r w:rsidRPr="00205C60">
              <w:rPr>
                <w:rFonts w:ascii="Verdana" w:hAnsi="Verdana" w:cs="Arial"/>
                <w:snapToGrid w:val="0"/>
                <w:sz w:val="22"/>
                <w:szCs w:val="22"/>
              </w:rPr>
              <w:t>409.887.227</w:t>
            </w:r>
          </w:p>
        </w:tc>
        <w:tc>
          <w:tcPr>
            <w:tcW w:w="149" w:type="pct"/>
            <w:tcBorders>
              <w:top w:val="single" w:sz="4" w:space="0" w:color="auto"/>
              <w:bottom w:val="single" w:sz="4" w:space="0" w:color="auto"/>
              <w:right w:val="single" w:sz="4" w:space="0" w:color="auto"/>
            </w:tcBorders>
            <w:vAlign w:val="center"/>
          </w:tcPr>
          <w:p w14:paraId="3CA7ED82" w14:textId="77777777" w:rsidR="0067187A" w:rsidRPr="00205C60" w:rsidRDefault="0067187A" w:rsidP="0067187A">
            <w:pPr>
              <w:jc w:val="center"/>
              <w:rPr>
                <w:rFonts w:ascii="Verdana" w:hAnsi="Verdana" w:cs="Arial"/>
                <w:snapToGrid w:val="0"/>
                <w:sz w:val="22"/>
                <w:szCs w:val="22"/>
              </w:rPr>
            </w:pPr>
          </w:p>
        </w:tc>
        <w:tc>
          <w:tcPr>
            <w:tcW w:w="1223" w:type="pct"/>
            <w:tcBorders>
              <w:top w:val="single" w:sz="4" w:space="0" w:color="auto"/>
              <w:left w:val="single" w:sz="4" w:space="0" w:color="auto"/>
              <w:bottom w:val="single" w:sz="4" w:space="0" w:color="auto"/>
            </w:tcBorders>
            <w:vAlign w:val="center"/>
          </w:tcPr>
          <w:p w14:paraId="3CA7ED83" w14:textId="4C8B80D7" w:rsidR="0067187A" w:rsidRPr="00205C60" w:rsidRDefault="0067187A" w:rsidP="0067187A">
            <w:pPr>
              <w:jc w:val="center"/>
              <w:rPr>
                <w:rFonts w:ascii="Verdana" w:hAnsi="Verdana" w:cs="Arial"/>
                <w:snapToGrid w:val="0"/>
                <w:sz w:val="22"/>
                <w:szCs w:val="22"/>
              </w:rPr>
            </w:pPr>
            <w:r w:rsidRPr="00205C60">
              <w:rPr>
                <w:rFonts w:ascii="Verdana" w:hAnsi="Verdana" w:cs="Arial"/>
                <w:snapToGrid w:val="0"/>
                <w:sz w:val="22"/>
                <w:szCs w:val="22"/>
              </w:rPr>
              <w:t>111.707.761</w:t>
            </w:r>
          </w:p>
        </w:tc>
        <w:tc>
          <w:tcPr>
            <w:tcW w:w="143" w:type="pct"/>
            <w:tcBorders>
              <w:top w:val="single" w:sz="4" w:space="0" w:color="auto"/>
              <w:bottom w:val="single" w:sz="4" w:space="0" w:color="auto"/>
              <w:right w:val="single" w:sz="4" w:space="0" w:color="auto"/>
            </w:tcBorders>
            <w:vAlign w:val="center"/>
          </w:tcPr>
          <w:p w14:paraId="3CA7ED84" w14:textId="77777777" w:rsidR="0067187A" w:rsidRPr="00205C60" w:rsidRDefault="0067187A" w:rsidP="0067187A">
            <w:pPr>
              <w:jc w:val="center"/>
              <w:rPr>
                <w:rFonts w:ascii="Verdana" w:hAnsi="Verdana" w:cs="Arial"/>
                <w:snapToGrid w:val="0"/>
                <w:sz w:val="22"/>
                <w:szCs w:val="22"/>
              </w:rPr>
            </w:pPr>
          </w:p>
        </w:tc>
        <w:tc>
          <w:tcPr>
            <w:tcW w:w="1320" w:type="pct"/>
            <w:tcBorders>
              <w:top w:val="single" w:sz="4" w:space="0" w:color="auto"/>
              <w:left w:val="single" w:sz="4" w:space="0" w:color="auto"/>
              <w:bottom w:val="single" w:sz="4" w:space="0" w:color="auto"/>
            </w:tcBorders>
            <w:vAlign w:val="center"/>
          </w:tcPr>
          <w:p w14:paraId="3CA7ED85" w14:textId="44B004F8" w:rsidR="0067187A" w:rsidRPr="00205C60" w:rsidRDefault="0067187A" w:rsidP="0067187A">
            <w:pPr>
              <w:jc w:val="center"/>
              <w:rPr>
                <w:rFonts w:ascii="Verdana" w:hAnsi="Verdana" w:cs="Arial"/>
                <w:bCs/>
                <w:snapToGrid w:val="0"/>
                <w:sz w:val="22"/>
                <w:szCs w:val="22"/>
              </w:rPr>
            </w:pPr>
            <w:r w:rsidRPr="00205C60">
              <w:rPr>
                <w:rFonts w:ascii="Verdana" w:hAnsi="Verdana" w:cs="Arial"/>
                <w:bCs/>
                <w:snapToGrid w:val="0"/>
                <w:sz w:val="22"/>
                <w:szCs w:val="22"/>
              </w:rPr>
              <w:t>298.179.466</w:t>
            </w:r>
          </w:p>
        </w:tc>
      </w:tr>
      <w:tr w:rsidR="0067187A" w:rsidRPr="00205C60" w14:paraId="3CA7ED8D" w14:textId="77777777" w:rsidTr="0067187A">
        <w:trPr>
          <w:trHeight w:val="190"/>
          <w:jc w:val="center"/>
        </w:trPr>
        <w:tc>
          <w:tcPr>
            <w:tcW w:w="555" w:type="pct"/>
            <w:tcBorders>
              <w:top w:val="single" w:sz="4" w:space="0" w:color="auto"/>
              <w:bottom w:val="single" w:sz="4" w:space="0" w:color="auto"/>
              <w:right w:val="single" w:sz="4" w:space="0" w:color="auto"/>
            </w:tcBorders>
            <w:vAlign w:val="center"/>
          </w:tcPr>
          <w:p w14:paraId="3CA7ED87" w14:textId="4830E3C3" w:rsidR="0067187A" w:rsidRPr="00205C60" w:rsidRDefault="0067187A" w:rsidP="0067187A">
            <w:pPr>
              <w:jc w:val="center"/>
              <w:rPr>
                <w:rFonts w:ascii="Verdana" w:hAnsi="Verdana" w:cs="Arial"/>
                <w:snapToGrid w:val="0"/>
                <w:sz w:val="22"/>
                <w:szCs w:val="22"/>
              </w:rPr>
            </w:pPr>
            <w:r w:rsidRPr="00205C60">
              <w:rPr>
                <w:rFonts w:ascii="Verdana" w:hAnsi="Verdana" w:cs="Arial"/>
                <w:snapToGrid w:val="0"/>
                <w:sz w:val="22"/>
                <w:szCs w:val="22"/>
              </w:rPr>
              <w:t>2021</w:t>
            </w:r>
          </w:p>
        </w:tc>
        <w:tc>
          <w:tcPr>
            <w:tcW w:w="1610" w:type="pct"/>
            <w:tcBorders>
              <w:top w:val="single" w:sz="4" w:space="0" w:color="auto"/>
              <w:left w:val="single" w:sz="4" w:space="0" w:color="auto"/>
              <w:bottom w:val="single" w:sz="4" w:space="0" w:color="auto"/>
            </w:tcBorders>
            <w:shd w:val="solid" w:color="FFFFFF" w:fill="auto"/>
            <w:vAlign w:val="bottom"/>
          </w:tcPr>
          <w:p w14:paraId="3CA7ED88" w14:textId="58D8A39E" w:rsidR="0067187A" w:rsidRPr="00205C60" w:rsidRDefault="0067187A" w:rsidP="0067187A">
            <w:pPr>
              <w:jc w:val="center"/>
              <w:rPr>
                <w:rFonts w:ascii="Verdana" w:hAnsi="Verdana" w:cs="Arial"/>
                <w:snapToGrid w:val="0"/>
                <w:sz w:val="22"/>
                <w:szCs w:val="22"/>
              </w:rPr>
            </w:pPr>
            <w:r w:rsidRPr="00205C60">
              <w:rPr>
                <w:rFonts w:ascii="Verdana" w:hAnsi="Verdana" w:cs="Arial"/>
                <w:snapToGrid w:val="0"/>
                <w:sz w:val="22"/>
                <w:szCs w:val="22"/>
              </w:rPr>
              <w:t>394.219.446</w:t>
            </w:r>
          </w:p>
        </w:tc>
        <w:tc>
          <w:tcPr>
            <w:tcW w:w="149" w:type="pct"/>
            <w:tcBorders>
              <w:top w:val="single" w:sz="4" w:space="0" w:color="auto"/>
              <w:bottom w:val="single" w:sz="4" w:space="0" w:color="auto"/>
              <w:right w:val="single" w:sz="4" w:space="0" w:color="auto"/>
            </w:tcBorders>
            <w:vAlign w:val="center"/>
          </w:tcPr>
          <w:p w14:paraId="3CA7ED89" w14:textId="77777777" w:rsidR="0067187A" w:rsidRPr="00205C60" w:rsidRDefault="0067187A" w:rsidP="0067187A">
            <w:pPr>
              <w:jc w:val="center"/>
              <w:rPr>
                <w:rFonts w:ascii="Verdana" w:hAnsi="Verdana" w:cs="Arial"/>
                <w:snapToGrid w:val="0"/>
                <w:sz w:val="22"/>
                <w:szCs w:val="22"/>
              </w:rPr>
            </w:pPr>
          </w:p>
        </w:tc>
        <w:tc>
          <w:tcPr>
            <w:tcW w:w="1223" w:type="pct"/>
            <w:tcBorders>
              <w:top w:val="single" w:sz="4" w:space="0" w:color="auto"/>
              <w:left w:val="single" w:sz="4" w:space="0" w:color="auto"/>
              <w:bottom w:val="single" w:sz="4" w:space="0" w:color="auto"/>
            </w:tcBorders>
            <w:vAlign w:val="center"/>
          </w:tcPr>
          <w:p w14:paraId="3CA7ED8A" w14:textId="34ED83A6" w:rsidR="0067187A" w:rsidRPr="00205C60" w:rsidRDefault="0067187A" w:rsidP="0067187A">
            <w:pPr>
              <w:jc w:val="center"/>
              <w:rPr>
                <w:rFonts w:ascii="Verdana" w:hAnsi="Verdana" w:cs="Arial"/>
                <w:snapToGrid w:val="0"/>
                <w:sz w:val="22"/>
                <w:szCs w:val="22"/>
              </w:rPr>
            </w:pPr>
            <w:r w:rsidRPr="00205C60">
              <w:rPr>
                <w:rFonts w:ascii="Verdana" w:hAnsi="Verdana" w:cs="Arial"/>
                <w:snapToGrid w:val="0"/>
                <w:sz w:val="22"/>
                <w:szCs w:val="22"/>
              </w:rPr>
              <w:t>111.280.544</w:t>
            </w:r>
          </w:p>
        </w:tc>
        <w:tc>
          <w:tcPr>
            <w:tcW w:w="143" w:type="pct"/>
            <w:tcBorders>
              <w:top w:val="single" w:sz="4" w:space="0" w:color="auto"/>
              <w:bottom w:val="single" w:sz="4" w:space="0" w:color="auto"/>
              <w:right w:val="single" w:sz="4" w:space="0" w:color="auto"/>
            </w:tcBorders>
            <w:vAlign w:val="center"/>
          </w:tcPr>
          <w:p w14:paraId="3CA7ED8B" w14:textId="77777777" w:rsidR="0067187A" w:rsidRPr="00205C60" w:rsidRDefault="0067187A" w:rsidP="0067187A">
            <w:pPr>
              <w:jc w:val="center"/>
              <w:rPr>
                <w:rFonts w:ascii="Verdana" w:hAnsi="Verdana" w:cs="Arial"/>
                <w:snapToGrid w:val="0"/>
                <w:sz w:val="22"/>
                <w:szCs w:val="22"/>
              </w:rPr>
            </w:pPr>
          </w:p>
        </w:tc>
        <w:tc>
          <w:tcPr>
            <w:tcW w:w="1320" w:type="pct"/>
            <w:tcBorders>
              <w:top w:val="single" w:sz="4" w:space="0" w:color="auto"/>
              <w:left w:val="single" w:sz="4" w:space="0" w:color="auto"/>
              <w:bottom w:val="single" w:sz="4" w:space="0" w:color="auto"/>
            </w:tcBorders>
            <w:vAlign w:val="center"/>
          </w:tcPr>
          <w:p w14:paraId="3CA7ED8C" w14:textId="360330B6" w:rsidR="0067187A" w:rsidRPr="00205C60" w:rsidRDefault="0067187A" w:rsidP="0067187A">
            <w:pPr>
              <w:jc w:val="center"/>
              <w:rPr>
                <w:rFonts w:ascii="Verdana" w:hAnsi="Verdana" w:cs="Arial"/>
                <w:bCs/>
                <w:snapToGrid w:val="0"/>
                <w:sz w:val="22"/>
                <w:szCs w:val="22"/>
              </w:rPr>
            </w:pPr>
            <w:r w:rsidRPr="00205C60">
              <w:rPr>
                <w:rFonts w:ascii="Verdana" w:hAnsi="Verdana" w:cs="Arial"/>
                <w:bCs/>
                <w:snapToGrid w:val="0"/>
                <w:sz w:val="22"/>
                <w:szCs w:val="22"/>
              </w:rPr>
              <w:t>282.938.902</w:t>
            </w:r>
          </w:p>
        </w:tc>
      </w:tr>
      <w:tr w:rsidR="00952B84" w:rsidRPr="00205C60" w14:paraId="4307C85B" w14:textId="77777777" w:rsidTr="0067187A">
        <w:trPr>
          <w:trHeight w:val="190"/>
          <w:jc w:val="center"/>
        </w:trPr>
        <w:tc>
          <w:tcPr>
            <w:tcW w:w="555" w:type="pct"/>
            <w:tcBorders>
              <w:top w:val="single" w:sz="4" w:space="0" w:color="auto"/>
              <w:bottom w:val="single" w:sz="4" w:space="0" w:color="auto"/>
              <w:right w:val="single" w:sz="4" w:space="0" w:color="auto"/>
            </w:tcBorders>
            <w:vAlign w:val="center"/>
          </w:tcPr>
          <w:p w14:paraId="2433A91E" w14:textId="7EED32B0" w:rsidR="00952B84" w:rsidRPr="00205C60" w:rsidRDefault="00952B84" w:rsidP="006E18E7">
            <w:pPr>
              <w:jc w:val="center"/>
              <w:rPr>
                <w:rFonts w:ascii="Verdana" w:hAnsi="Verdana" w:cs="Arial"/>
                <w:snapToGrid w:val="0"/>
                <w:sz w:val="22"/>
                <w:szCs w:val="22"/>
              </w:rPr>
            </w:pPr>
            <w:r w:rsidRPr="00205C60">
              <w:rPr>
                <w:rFonts w:ascii="Verdana" w:hAnsi="Verdana" w:cs="Arial"/>
                <w:snapToGrid w:val="0"/>
                <w:sz w:val="22"/>
                <w:szCs w:val="22"/>
              </w:rPr>
              <w:t>2021</w:t>
            </w:r>
          </w:p>
        </w:tc>
        <w:tc>
          <w:tcPr>
            <w:tcW w:w="1610" w:type="pct"/>
            <w:tcBorders>
              <w:top w:val="single" w:sz="4" w:space="0" w:color="auto"/>
              <w:left w:val="single" w:sz="4" w:space="0" w:color="auto"/>
              <w:bottom w:val="single" w:sz="4" w:space="0" w:color="auto"/>
            </w:tcBorders>
            <w:shd w:val="solid" w:color="FFFFFF" w:fill="auto"/>
            <w:vAlign w:val="bottom"/>
          </w:tcPr>
          <w:p w14:paraId="6CEBABFA" w14:textId="6B8741AE" w:rsidR="00362BD2" w:rsidRPr="00205C60" w:rsidRDefault="00362BD2" w:rsidP="00362BD2">
            <w:pPr>
              <w:jc w:val="center"/>
              <w:rPr>
                <w:rFonts w:ascii="Verdana" w:hAnsi="Verdana" w:cs="Arial"/>
                <w:snapToGrid w:val="0"/>
                <w:sz w:val="22"/>
                <w:szCs w:val="22"/>
              </w:rPr>
            </w:pPr>
            <w:r w:rsidRPr="00205C60">
              <w:rPr>
                <w:rFonts w:ascii="Verdana" w:hAnsi="Verdana" w:cs="Arial"/>
                <w:snapToGrid w:val="0"/>
                <w:sz w:val="22"/>
                <w:szCs w:val="22"/>
              </w:rPr>
              <w:t>419</w:t>
            </w:r>
            <w:r w:rsidR="001B7E09" w:rsidRPr="00205C60">
              <w:rPr>
                <w:rFonts w:ascii="Verdana" w:hAnsi="Verdana" w:cs="Arial"/>
                <w:snapToGrid w:val="0"/>
                <w:sz w:val="22"/>
                <w:szCs w:val="22"/>
              </w:rPr>
              <w:t>.</w:t>
            </w:r>
            <w:r w:rsidRPr="00205C60">
              <w:rPr>
                <w:rFonts w:ascii="Verdana" w:hAnsi="Verdana" w:cs="Arial"/>
                <w:snapToGrid w:val="0"/>
                <w:sz w:val="22"/>
                <w:szCs w:val="22"/>
              </w:rPr>
              <w:t>943</w:t>
            </w:r>
            <w:r w:rsidR="001B7E09" w:rsidRPr="00205C60">
              <w:rPr>
                <w:rFonts w:ascii="Verdana" w:hAnsi="Verdana" w:cs="Arial"/>
                <w:snapToGrid w:val="0"/>
                <w:sz w:val="22"/>
                <w:szCs w:val="22"/>
              </w:rPr>
              <w:t>.</w:t>
            </w:r>
            <w:r w:rsidRPr="00205C60">
              <w:rPr>
                <w:rFonts w:ascii="Verdana" w:hAnsi="Verdana" w:cs="Arial"/>
                <w:snapToGrid w:val="0"/>
                <w:sz w:val="22"/>
                <w:szCs w:val="22"/>
              </w:rPr>
              <w:t>530</w:t>
            </w:r>
          </w:p>
        </w:tc>
        <w:tc>
          <w:tcPr>
            <w:tcW w:w="149" w:type="pct"/>
            <w:tcBorders>
              <w:top w:val="single" w:sz="4" w:space="0" w:color="auto"/>
              <w:bottom w:val="single" w:sz="4" w:space="0" w:color="auto"/>
              <w:right w:val="single" w:sz="4" w:space="0" w:color="auto"/>
            </w:tcBorders>
            <w:vAlign w:val="center"/>
          </w:tcPr>
          <w:p w14:paraId="28318BFC" w14:textId="77777777" w:rsidR="00952B84" w:rsidRPr="00205C60" w:rsidRDefault="00952B84" w:rsidP="006568C3">
            <w:pPr>
              <w:jc w:val="center"/>
              <w:rPr>
                <w:rFonts w:ascii="Verdana" w:hAnsi="Verdana" w:cs="Arial"/>
                <w:snapToGrid w:val="0"/>
                <w:sz w:val="22"/>
                <w:szCs w:val="22"/>
              </w:rPr>
            </w:pPr>
          </w:p>
        </w:tc>
        <w:tc>
          <w:tcPr>
            <w:tcW w:w="1223" w:type="pct"/>
            <w:tcBorders>
              <w:top w:val="single" w:sz="4" w:space="0" w:color="auto"/>
              <w:left w:val="single" w:sz="4" w:space="0" w:color="auto"/>
              <w:bottom w:val="single" w:sz="4" w:space="0" w:color="auto"/>
            </w:tcBorders>
            <w:vAlign w:val="center"/>
          </w:tcPr>
          <w:p w14:paraId="0FD40742" w14:textId="4FDA45F5" w:rsidR="00952B84" w:rsidRPr="00205C60" w:rsidRDefault="001B7E09" w:rsidP="006568C3">
            <w:pPr>
              <w:jc w:val="center"/>
              <w:rPr>
                <w:rFonts w:ascii="Verdana" w:hAnsi="Verdana" w:cs="Arial"/>
                <w:snapToGrid w:val="0"/>
                <w:sz w:val="22"/>
                <w:szCs w:val="22"/>
              </w:rPr>
            </w:pPr>
            <w:r w:rsidRPr="00205C60">
              <w:rPr>
                <w:rFonts w:ascii="Verdana" w:hAnsi="Verdana" w:cs="Arial"/>
                <w:snapToGrid w:val="0"/>
                <w:sz w:val="22"/>
                <w:szCs w:val="22"/>
              </w:rPr>
              <w:t>1</w:t>
            </w:r>
            <w:r w:rsidR="00362BD2" w:rsidRPr="00205C60">
              <w:rPr>
                <w:rFonts w:ascii="Verdana" w:hAnsi="Verdana" w:cs="Arial"/>
                <w:snapToGrid w:val="0"/>
                <w:sz w:val="22"/>
                <w:szCs w:val="22"/>
              </w:rPr>
              <w:t>4</w:t>
            </w:r>
            <w:r w:rsidRPr="00205C60">
              <w:rPr>
                <w:rFonts w:ascii="Verdana" w:hAnsi="Verdana" w:cs="Arial"/>
                <w:snapToGrid w:val="0"/>
                <w:sz w:val="22"/>
                <w:szCs w:val="22"/>
              </w:rPr>
              <w:t>1.</w:t>
            </w:r>
            <w:r w:rsidR="00362BD2" w:rsidRPr="00205C60">
              <w:rPr>
                <w:rFonts w:ascii="Verdana" w:hAnsi="Verdana" w:cs="Arial"/>
                <w:snapToGrid w:val="0"/>
                <w:sz w:val="22"/>
                <w:szCs w:val="22"/>
              </w:rPr>
              <w:t>164</w:t>
            </w:r>
            <w:r w:rsidRPr="00205C60">
              <w:rPr>
                <w:rFonts w:ascii="Verdana" w:hAnsi="Verdana" w:cs="Arial"/>
                <w:snapToGrid w:val="0"/>
                <w:sz w:val="22"/>
                <w:szCs w:val="22"/>
              </w:rPr>
              <w:t>.</w:t>
            </w:r>
            <w:r w:rsidR="00362BD2" w:rsidRPr="00205C60">
              <w:rPr>
                <w:rFonts w:ascii="Verdana" w:hAnsi="Verdana" w:cs="Arial"/>
                <w:snapToGrid w:val="0"/>
                <w:sz w:val="22"/>
                <w:szCs w:val="22"/>
              </w:rPr>
              <w:t>335</w:t>
            </w:r>
          </w:p>
        </w:tc>
        <w:tc>
          <w:tcPr>
            <w:tcW w:w="143" w:type="pct"/>
            <w:tcBorders>
              <w:top w:val="single" w:sz="4" w:space="0" w:color="auto"/>
              <w:bottom w:val="single" w:sz="4" w:space="0" w:color="auto"/>
              <w:right w:val="single" w:sz="4" w:space="0" w:color="auto"/>
            </w:tcBorders>
            <w:vAlign w:val="center"/>
          </w:tcPr>
          <w:p w14:paraId="5427381B" w14:textId="77777777" w:rsidR="00952B84" w:rsidRPr="00205C60" w:rsidRDefault="00952B84" w:rsidP="006568C3">
            <w:pPr>
              <w:jc w:val="center"/>
              <w:rPr>
                <w:rFonts w:ascii="Verdana" w:hAnsi="Verdana" w:cs="Arial"/>
                <w:snapToGrid w:val="0"/>
                <w:sz w:val="22"/>
                <w:szCs w:val="22"/>
              </w:rPr>
            </w:pPr>
          </w:p>
        </w:tc>
        <w:tc>
          <w:tcPr>
            <w:tcW w:w="1320" w:type="pct"/>
            <w:tcBorders>
              <w:top w:val="single" w:sz="4" w:space="0" w:color="auto"/>
              <w:left w:val="single" w:sz="4" w:space="0" w:color="auto"/>
              <w:bottom w:val="single" w:sz="4" w:space="0" w:color="auto"/>
            </w:tcBorders>
            <w:vAlign w:val="center"/>
          </w:tcPr>
          <w:p w14:paraId="7FA0486F" w14:textId="08EED158" w:rsidR="00952B84" w:rsidRPr="00205C60" w:rsidRDefault="00E87BB5" w:rsidP="006568C3">
            <w:pPr>
              <w:jc w:val="center"/>
              <w:rPr>
                <w:rFonts w:ascii="Verdana" w:hAnsi="Verdana" w:cs="Arial"/>
                <w:bCs/>
                <w:snapToGrid w:val="0"/>
                <w:sz w:val="22"/>
                <w:szCs w:val="22"/>
              </w:rPr>
            </w:pPr>
            <w:r w:rsidRPr="00205C60">
              <w:rPr>
                <w:rFonts w:ascii="Verdana" w:hAnsi="Verdana" w:cs="Arial"/>
                <w:bCs/>
                <w:snapToGrid w:val="0"/>
                <w:sz w:val="22"/>
                <w:szCs w:val="22"/>
              </w:rPr>
              <w:t>2</w:t>
            </w:r>
            <w:r w:rsidR="00362BD2" w:rsidRPr="00205C60">
              <w:rPr>
                <w:rFonts w:ascii="Verdana" w:hAnsi="Verdana" w:cs="Arial"/>
                <w:bCs/>
                <w:snapToGrid w:val="0"/>
                <w:sz w:val="22"/>
                <w:szCs w:val="22"/>
              </w:rPr>
              <w:t>78</w:t>
            </w:r>
            <w:r w:rsidRPr="00205C60">
              <w:rPr>
                <w:rFonts w:ascii="Verdana" w:hAnsi="Verdana" w:cs="Arial"/>
                <w:bCs/>
                <w:snapToGrid w:val="0"/>
                <w:sz w:val="22"/>
                <w:szCs w:val="22"/>
              </w:rPr>
              <w:t>.</w:t>
            </w:r>
            <w:r w:rsidR="00362BD2" w:rsidRPr="00205C60">
              <w:rPr>
                <w:rFonts w:ascii="Verdana" w:hAnsi="Verdana" w:cs="Arial"/>
                <w:bCs/>
                <w:snapToGrid w:val="0"/>
                <w:sz w:val="22"/>
                <w:szCs w:val="22"/>
              </w:rPr>
              <w:t>779</w:t>
            </w:r>
            <w:r w:rsidRPr="00205C60">
              <w:rPr>
                <w:rFonts w:ascii="Verdana" w:hAnsi="Verdana" w:cs="Arial"/>
                <w:bCs/>
                <w:snapToGrid w:val="0"/>
                <w:sz w:val="22"/>
                <w:szCs w:val="22"/>
              </w:rPr>
              <w:t>.</w:t>
            </w:r>
            <w:r w:rsidR="00362BD2" w:rsidRPr="00205C60">
              <w:rPr>
                <w:rFonts w:ascii="Verdana" w:hAnsi="Verdana" w:cs="Arial"/>
                <w:bCs/>
                <w:snapToGrid w:val="0"/>
                <w:sz w:val="22"/>
                <w:szCs w:val="22"/>
              </w:rPr>
              <w:t>195</w:t>
            </w:r>
          </w:p>
        </w:tc>
      </w:tr>
      <w:tr w:rsidR="00EF5D57" w:rsidRPr="00205C60" w14:paraId="3CA7ED91" w14:textId="77777777" w:rsidTr="00E87BB5">
        <w:trPr>
          <w:cantSplit/>
          <w:trHeight w:val="422"/>
          <w:jc w:val="center"/>
        </w:trPr>
        <w:tc>
          <w:tcPr>
            <w:tcW w:w="3537" w:type="pct"/>
            <w:gridSpan w:val="4"/>
            <w:tcBorders>
              <w:top w:val="single" w:sz="4" w:space="0" w:color="auto"/>
              <w:bottom w:val="single" w:sz="4" w:space="0" w:color="auto"/>
            </w:tcBorders>
            <w:shd w:val="solid" w:color="FFFFFF" w:fill="auto"/>
            <w:vAlign w:val="center"/>
          </w:tcPr>
          <w:p w14:paraId="3CA7ED8E" w14:textId="77777777" w:rsidR="00EF5D57" w:rsidRPr="00205C60" w:rsidRDefault="00EF5D57" w:rsidP="006E18E7">
            <w:pPr>
              <w:jc w:val="center"/>
              <w:rPr>
                <w:rFonts w:ascii="Verdana" w:hAnsi="Verdana" w:cs="Arial"/>
                <w:b/>
                <w:snapToGrid w:val="0"/>
                <w:sz w:val="22"/>
                <w:szCs w:val="22"/>
              </w:rPr>
            </w:pPr>
            <w:r w:rsidRPr="00205C60">
              <w:rPr>
                <w:rFonts w:ascii="Verdana" w:hAnsi="Verdana" w:cs="Arial"/>
                <w:b/>
                <w:snapToGrid w:val="0"/>
                <w:sz w:val="22"/>
                <w:szCs w:val="22"/>
              </w:rPr>
              <w:lastRenderedPageBreak/>
              <w:t>Cálculos</w:t>
            </w:r>
          </w:p>
        </w:tc>
        <w:tc>
          <w:tcPr>
            <w:tcW w:w="143" w:type="pct"/>
            <w:tcBorders>
              <w:top w:val="single" w:sz="4" w:space="0" w:color="auto"/>
              <w:bottom w:val="single" w:sz="4" w:space="0" w:color="auto"/>
            </w:tcBorders>
            <w:shd w:val="solid" w:color="FFFFFF" w:fill="auto"/>
            <w:vAlign w:val="center"/>
          </w:tcPr>
          <w:p w14:paraId="3CA7ED8F" w14:textId="77777777" w:rsidR="00EF5D57" w:rsidRPr="00205C60" w:rsidRDefault="00EF5D57" w:rsidP="006E18E7">
            <w:pPr>
              <w:jc w:val="center"/>
              <w:rPr>
                <w:rFonts w:ascii="Verdana" w:hAnsi="Verdana" w:cs="Arial"/>
                <w:b/>
                <w:snapToGrid w:val="0"/>
                <w:sz w:val="22"/>
                <w:szCs w:val="22"/>
              </w:rPr>
            </w:pPr>
          </w:p>
        </w:tc>
        <w:tc>
          <w:tcPr>
            <w:tcW w:w="1320" w:type="pct"/>
            <w:tcBorders>
              <w:top w:val="single" w:sz="4" w:space="0" w:color="auto"/>
              <w:bottom w:val="single" w:sz="4" w:space="0" w:color="auto"/>
            </w:tcBorders>
            <w:shd w:val="solid" w:color="FFFFFF" w:fill="auto"/>
            <w:vAlign w:val="center"/>
          </w:tcPr>
          <w:p w14:paraId="3CA7ED90" w14:textId="77777777" w:rsidR="00EF5D57" w:rsidRPr="00205C60" w:rsidRDefault="00EF5D57" w:rsidP="006E18E7">
            <w:pPr>
              <w:jc w:val="center"/>
              <w:rPr>
                <w:rFonts w:ascii="Verdana" w:hAnsi="Verdana" w:cs="Arial"/>
                <w:b/>
                <w:snapToGrid w:val="0"/>
                <w:sz w:val="22"/>
                <w:szCs w:val="22"/>
              </w:rPr>
            </w:pPr>
            <w:r w:rsidRPr="00205C60">
              <w:rPr>
                <w:rFonts w:ascii="Verdana" w:hAnsi="Verdana" w:cs="Arial"/>
                <w:b/>
                <w:snapToGrid w:val="0"/>
                <w:sz w:val="22"/>
                <w:szCs w:val="22"/>
              </w:rPr>
              <w:t>Resultados</w:t>
            </w:r>
          </w:p>
        </w:tc>
      </w:tr>
      <w:tr w:rsidR="00EF5D57" w:rsidRPr="00205C60" w14:paraId="3CA7ED98" w14:textId="77777777" w:rsidTr="0067187A">
        <w:trPr>
          <w:trHeight w:val="251"/>
          <w:jc w:val="center"/>
        </w:trPr>
        <w:tc>
          <w:tcPr>
            <w:tcW w:w="555" w:type="pct"/>
            <w:tcBorders>
              <w:top w:val="single" w:sz="4" w:space="0" w:color="auto"/>
              <w:bottom w:val="single" w:sz="4" w:space="0" w:color="auto"/>
              <w:right w:val="single" w:sz="4" w:space="0" w:color="auto"/>
            </w:tcBorders>
            <w:shd w:val="solid" w:color="FFFFFF" w:fill="auto"/>
            <w:vAlign w:val="center"/>
          </w:tcPr>
          <w:p w14:paraId="3CA7ED92" w14:textId="77777777" w:rsidR="00EF5D57" w:rsidRPr="00205C60" w:rsidRDefault="00EF5D57" w:rsidP="006E18E7">
            <w:pPr>
              <w:jc w:val="center"/>
              <w:rPr>
                <w:rFonts w:ascii="Verdana" w:hAnsi="Verdana" w:cs="Arial"/>
                <w:b/>
                <w:bCs/>
                <w:snapToGrid w:val="0"/>
                <w:sz w:val="22"/>
                <w:szCs w:val="22"/>
              </w:rPr>
            </w:pPr>
            <w:r w:rsidRPr="00205C60">
              <w:rPr>
                <w:rFonts w:ascii="Verdana" w:hAnsi="Verdana" w:cs="Arial"/>
                <w:b/>
                <w:bCs/>
                <w:snapToGrid w:val="0"/>
                <w:sz w:val="22"/>
                <w:szCs w:val="22"/>
              </w:rPr>
              <w:t>Año</w:t>
            </w:r>
          </w:p>
        </w:tc>
        <w:tc>
          <w:tcPr>
            <w:tcW w:w="1610" w:type="pct"/>
            <w:tcBorders>
              <w:top w:val="single" w:sz="4" w:space="0" w:color="auto"/>
              <w:left w:val="single" w:sz="4" w:space="0" w:color="auto"/>
              <w:bottom w:val="single" w:sz="4" w:space="0" w:color="auto"/>
            </w:tcBorders>
            <w:shd w:val="solid" w:color="FFFFFF" w:fill="auto"/>
            <w:vAlign w:val="center"/>
          </w:tcPr>
          <w:p w14:paraId="3CA7ED93" w14:textId="77777777" w:rsidR="00EF5D57" w:rsidRPr="00205C60" w:rsidRDefault="00EF5D57" w:rsidP="006E18E7">
            <w:pPr>
              <w:jc w:val="center"/>
              <w:rPr>
                <w:rFonts w:ascii="Verdana" w:hAnsi="Verdana" w:cs="Arial"/>
                <w:b/>
                <w:bCs/>
                <w:snapToGrid w:val="0"/>
                <w:sz w:val="22"/>
                <w:szCs w:val="22"/>
              </w:rPr>
            </w:pPr>
            <w:r w:rsidRPr="00205C60">
              <w:rPr>
                <w:rFonts w:ascii="Verdana" w:hAnsi="Verdana" w:cs="Arial"/>
                <w:b/>
                <w:bCs/>
                <w:snapToGrid w:val="0"/>
                <w:sz w:val="22"/>
                <w:szCs w:val="22"/>
              </w:rPr>
              <w:t>Pasivo Total + contingentes</w:t>
            </w:r>
          </w:p>
        </w:tc>
        <w:tc>
          <w:tcPr>
            <w:tcW w:w="149" w:type="pct"/>
            <w:tcBorders>
              <w:top w:val="single" w:sz="4" w:space="0" w:color="auto"/>
              <w:bottom w:val="single" w:sz="4" w:space="0" w:color="auto"/>
            </w:tcBorders>
            <w:shd w:val="solid" w:color="FFFFFF" w:fill="auto"/>
            <w:vAlign w:val="center"/>
          </w:tcPr>
          <w:p w14:paraId="3CA7ED94" w14:textId="77777777" w:rsidR="00EF5D57" w:rsidRPr="00205C60" w:rsidRDefault="00EF5D57" w:rsidP="006E18E7">
            <w:pPr>
              <w:jc w:val="center"/>
              <w:rPr>
                <w:rFonts w:ascii="Verdana" w:hAnsi="Verdana" w:cs="Arial"/>
                <w:b/>
                <w:bCs/>
                <w:snapToGrid w:val="0"/>
                <w:sz w:val="22"/>
                <w:szCs w:val="22"/>
              </w:rPr>
            </w:pPr>
            <w:r w:rsidRPr="00205C60">
              <w:rPr>
                <w:rFonts w:ascii="Verdana" w:hAnsi="Verdana" w:cs="Arial"/>
                <w:b/>
                <w:bCs/>
                <w:snapToGrid w:val="0"/>
                <w:sz w:val="22"/>
                <w:szCs w:val="22"/>
              </w:rPr>
              <w:t>÷</w:t>
            </w:r>
          </w:p>
        </w:tc>
        <w:tc>
          <w:tcPr>
            <w:tcW w:w="1223" w:type="pct"/>
            <w:tcBorders>
              <w:top w:val="single" w:sz="4" w:space="0" w:color="auto"/>
              <w:bottom w:val="single" w:sz="4" w:space="0" w:color="auto"/>
            </w:tcBorders>
            <w:shd w:val="solid" w:color="FFFFFF" w:fill="auto"/>
            <w:vAlign w:val="center"/>
          </w:tcPr>
          <w:p w14:paraId="3CA7ED95" w14:textId="77777777" w:rsidR="00EF5D57" w:rsidRPr="00205C60" w:rsidRDefault="00EF5D57" w:rsidP="006E18E7">
            <w:pPr>
              <w:jc w:val="center"/>
              <w:rPr>
                <w:rFonts w:ascii="Verdana" w:hAnsi="Verdana" w:cs="Arial"/>
                <w:b/>
                <w:bCs/>
                <w:snapToGrid w:val="0"/>
                <w:sz w:val="22"/>
                <w:szCs w:val="22"/>
              </w:rPr>
            </w:pPr>
            <w:r w:rsidRPr="00205C60">
              <w:rPr>
                <w:rFonts w:ascii="Verdana" w:hAnsi="Verdana" w:cs="Arial"/>
                <w:b/>
                <w:bCs/>
                <w:snapToGrid w:val="0"/>
                <w:sz w:val="22"/>
                <w:szCs w:val="22"/>
              </w:rPr>
              <w:t>Patrimonio Neto</w:t>
            </w:r>
          </w:p>
        </w:tc>
        <w:tc>
          <w:tcPr>
            <w:tcW w:w="143" w:type="pct"/>
            <w:tcBorders>
              <w:top w:val="single" w:sz="4" w:space="0" w:color="auto"/>
              <w:bottom w:val="single" w:sz="4" w:space="0" w:color="auto"/>
            </w:tcBorders>
            <w:shd w:val="solid" w:color="FFFFFF" w:fill="auto"/>
            <w:vAlign w:val="center"/>
          </w:tcPr>
          <w:p w14:paraId="3CA7ED96" w14:textId="77777777" w:rsidR="00EF5D57" w:rsidRPr="00205C60" w:rsidRDefault="00EF5D57" w:rsidP="006E18E7">
            <w:pPr>
              <w:jc w:val="center"/>
              <w:rPr>
                <w:rFonts w:ascii="Verdana" w:hAnsi="Verdana" w:cs="Arial"/>
                <w:snapToGrid w:val="0"/>
                <w:sz w:val="22"/>
                <w:szCs w:val="22"/>
              </w:rPr>
            </w:pPr>
            <w:r w:rsidRPr="00205C60">
              <w:rPr>
                <w:rFonts w:ascii="Verdana" w:hAnsi="Verdana" w:cs="Arial"/>
                <w:snapToGrid w:val="0"/>
                <w:sz w:val="22"/>
                <w:szCs w:val="22"/>
              </w:rPr>
              <w:t>=</w:t>
            </w:r>
          </w:p>
        </w:tc>
        <w:tc>
          <w:tcPr>
            <w:tcW w:w="1320" w:type="pct"/>
            <w:tcBorders>
              <w:top w:val="single" w:sz="4" w:space="0" w:color="auto"/>
              <w:bottom w:val="single" w:sz="4" w:space="0" w:color="auto"/>
            </w:tcBorders>
            <w:shd w:val="solid" w:color="FFFFFF" w:fill="auto"/>
            <w:vAlign w:val="center"/>
          </w:tcPr>
          <w:p w14:paraId="3CA7ED97" w14:textId="77777777" w:rsidR="00EF5D57" w:rsidRPr="00205C60" w:rsidRDefault="00EF5D57" w:rsidP="006E18E7">
            <w:pPr>
              <w:jc w:val="center"/>
              <w:rPr>
                <w:rFonts w:ascii="Verdana" w:hAnsi="Verdana" w:cs="Arial"/>
                <w:b/>
                <w:bCs/>
                <w:snapToGrid w:val="0"/>
                <w:sz w:val="22"/>
                <w:szCs w:val="22"/>
              </w:rPr>
            </w:pPr>
            <w:r w:rsidRPr="00205C60">
              <w:rPr>
                <w:rFonts w:ascii="Verdana" w:hAnsi="Verdana" w:cs="Arial"/>
                <w:b/>
                <w:bCs/>
                <w:snapToGrid w:val="0"/>
                <w:sz w:val="22"/>
                <w:szCs w:val="22"/>
              </w:rPr>
              <w:t>Indicador (veces)</w:t>
            </w:r>
          </w:p>
        </w:tc>
      </w:tr>
      <w:tr w:rsidR="005B4D17" w:rsidRPr="00205C60" w14:paraId="3CA7EDA6" w14:textId="77777777" w:rsidTr="0067187A">
        <w:trPr>
          <w:trHeight w:val="57"/>
          <w:jc w:val="center"/>
        </w:trPr>
        <w:tc>
          <w:tcPr>
            <w:tcW w:w="555" w:type="pct"/>
            <w:tcBorders>
              <w:top w:val="single" w:sz="4" w:space="0" w:color="auto"/>
              <w:bottom w:val="single" w:sz="4" w:space="0" w:color="auto"/>
              <w:right w:val="single" w:sz="4" w:space="0" w:color="auto"/>
            </w:tcBorders>
            <w:shd w:val="solid" w:color="FFFFFF" w:fill="auto"/>
            <w:vAlign w:val="center"/>
          </w:tcPr>
          <w:p w14:paraId="3CA7EDA0" w14:textId="689B6627" w:rsidR="005B4D17" w:rsidRPr="00205C60" w:rsidRDefault="005B4D17" w:rsidP="005B4D17">
            <w:pPr>
              <w:jc w:val="center"/>
              <w:rPr>
                <w:rFonts w:ascii="Verdana" w:hAnsi="Verdana" w:cs="Arial"/>
                <w:snapToGrid w:val="0"/>
                <w:sz w:val="22"/>
                <w:szCs w:val="22"/>
              </w:rPr>
            </w:pPr>
            <w:r w:rsidRPr="00205C60">
              <w:rPr>
                <w:rFonts w:ascii="Verdana" w:hAnsi="Verdana" w:cs="Arial"/>
                <w:snapToGrid w:val="0"/>
                <w:sz w:val="22"/>
                <w:szCs w:val="22"/>
              </w:rPr>
              <w:t>2020</w:t>
            </w:r>
          </w:p>
        </w:tc>
        <w:tc>
          <w:tcPr>
            <w:tcW w:w="1610" w:type="pct"/>
            <w:tcBorders>
              <w:top w:val="single" w:sz="4" w:space="0" w:color="auto"/>
              <w:left w:val="single" w:sz="4" w:space="0" w:color="auto"/>
              <w:bottom w:val="single" w:sz="4" w:space="0" w:color="auto"/>
            </w:tcBorders>
            <w:shd w:val="solid" w:color="FFFFFF" w:fill="auto"/>
            <w:vAlign w:val="center"/>
          </w:tcPr>
          <w:p w14:paraId="3CA7EDA1" w14:textId="30B3FA72" w:rsidR="005B4D17" w:rsidRPr="00205C60" w:rsidRDefault="005B4D17" w:rsidP="005B4D17">
            <w:pPr>
              <w:jc w:val="center"/>
              <w:rPr>
                <w:rFonts w:ascii="Verdana" w:hAnsi="Verdana" w:cs="Arial"/>
                <w:snapToGrid w:val="0"/>
                <w:sz w:val="22"/>
                <w:szCs w:val="22"/>
              </w:rPr>
            </w:pPr>
            <w:r w:rsidRPr="00205C60">
              <w:rPr>
                <w:rFonts w:ascii="Verdana" w:hAnsi="Verdana" w:cs="Arial"/>
                <w:snapToGrid w:val="0"/>
                <w:sz w:val="22"/>
                <w:szCs w:val="22"/>
              </w:rPr>
              <w:t>394.495.875</w:t>
            </w:r>
          </w:p>
        </w:tc>
        <w:tc>
          <w:tcPr>
            <w:tcW w:w="149" w:type="pct"/>
            <w:tcBorders>
              <w:top w:val="single" w:sz="4" w:space="0" w:color="auto"/>
              <w:bottom w:val="single" w:sz="4" w:space="0" w:color="auto"/>
              <w:right w:val="single" w:sz="4" w:space="0" w:color="auto"/>
            </w:tcBorders>
            <w:shd w:val="solid" w:color="FFFFFF" w:fill="auto"/>
            <w:vAlign w:val="center"/>
          </w:tcPr>
          <w:p w14:paraId="3CA7EDA2" w14:textId="77777777" w:rsidR="005B4D17" w:rsidRPr="00205C60" w:rsidRDefault="005B4D17" w:rsidP="005B4D17">
            <w:pPr>
              <w:jc w:val="center"/>
              <w:rPr>
                <w:rFonts w:ascii="Verdana" w:hAnsi="Verdana" w:cs="Arial"/>
                <w:snapToGrid w:val="0"/>
                <w:sz w:val="22"/>
                <w:szCs w:val="22"/>
              </w:rPr>
            </w:pPr>
          </w:p>
        </w:tc>
        <w:tc>
          <w:tcPr>
            <w:tcW w:w="1223" w:type="pct"/>
            <w:tcBorders>
              <w:top w:val="single" w:sz="4" w:space="0" w:color="auto"/>
              <w:left w:val="single" w:sz="4" w:space="0" w:color="auto"/>
              <w:bottom w:val="single" w:sz="4" w:space="0" w:color="auto"/>
            </w:tcBorders>
            <w:shd w:val="solid" w:color="FFFFFF" w:fill="auto"/>
            <w:vAlign w:val="center"/>
          </w:tcPr>
          <w:p w14:paraId="3CA7EDA3" w14:textId="0A09A403" w:rsidR="005B4D17" w:rsidRPr="00205C60" w:rsidRDefault="005B4D17" w:rsidP="005B4D17">
            <w:pPr>
              <w:jc w:val="center"/>
              <w:rPr>
                <w:rFonts w:ascii="Verdana" w:hAnsi="Verdana" w:cs="Arial"/>
                <w:bCs/>
                <w:snapToGrid w:val="0"/>
                <w:sz w:val="22"/>
                <w:szCs w:val="22"/>
              </w:rPr>
            </w:pPr>
            <w:r w:rsidRPr="00205C60">
              <w:rPr>
                <w:rFonts w:ascii="Verdana" w:hAnsi="Verdana" w:cs="Arial"/>
                <w:bCs/>
                <w:snapToGrid w:val="0"/>
                <w:sz w:val="22"/>
                <w:szCs w:val="22"/>
              </w:rPr>
              <w:t>298.179.466</w:t>
            </w:r>
          </w:p>
        </w:tc>
        <w:tc>
          <w:tcPr>
            <w:tcW w:w="143" w:type="pct"/>
            <w:tcBorders>
              <w:top w:val="single" w:sz="4" w:space="0" w:color="auto"/>
              <w:bottom w:val="single" w:sz="4" w:space="0" w:color="auto"/>
              <w:right w:val="single" w:sz="4" w:space="0" w:color="auto"/>
            </w:tcBorders>
            <w:shd w:val="solid" w:color="FFFFFF" w:fill="auto"/>
            <w:vAlign w:val="center"/>
          </w:tcPr>
          <w:p w14:paraId="3CA7EDA4" w14:textId="77777777" w:rsidR="005B4D17" w:rsidRPr="00205C60" w:rsidRDefault="005B4D17" w:rsidP="005B4D17">
            <w:pPr>
              <w:jc w:val="center"/>
              <w:rPr>
                <w:rFonts w:ascii="Verdana" w:hAnsi="Verdana" w:cs="Arial"/>
                <w:snapToGrid w:val="0"/>
                <w:sz w:val="22"/>
                <w:szCs w:val="22"/>
              </w:rPr>
            </w:pPr>
          </w:p>
        </w:tc>
        <w:tc>
          <w:tcPr>
            <w:tcW w:w="1320" w:type="pct"/>
            <w:tcBorders>
              <w:top w:val="single" w:sz="4" w:space="0" w:color="auto"/>
              <w:left w:val="single" w:sz="4" w:space="0" w:color="auto"/>
              <w:bottom w:val="single" w:sz="4" w:space="0" w:color="auto"/>
            </w:tcBorders>
            <w:shd w:val="solid" w:color="FFFFFF" w:fill="auto"/>
            <w:vAlign w:val="center"/>
          </w:tcPr>
          <w:p w14:paraId="3CA7EDA5" w14:textId="3ED9D6D9" w:rsidR="005B4D17" w:rsidRPr="00205C60" w:rsidRDefault="005B4D17" w:rsidP="005B4D17">
            <w:pPr>
              <w:jc w:val="center"/>
              <w:rPr>
                <w:rFonts w:ascii="Verdana" w:hAnsi="Verdana" w:cs="Arial"/>
                <w:snapToGrid w:val="0"/>
                <w:sz w:val="22"/>
                <w:szCs w:val="22"/>
              </w:rPr>
            </w:pPr>
            <w:r w:rsidRPr="00205C60">
              <w:rPr>
                <w:rFonts w:ascii="Verdana" w:hAnsi="Verdana" w:cs="Arial"/>
                <w:snapToGrid w:val="0"/>
                <w:sz w:val="22"/>
                <w:szCs w:val="22"/>
              </w:rPr>
              <w:t>1,32</w:t>
            </w:r>
          </w:p>
        </w:tc>
      </w:tr>
      <w:tr w:rsidR="005B4D17" w:rsidRPr="00205C60" w14:paraId="3CA7EDAD" w14:textId="77777777" w:rsidTr="0067187A">
        <w:trPr>
          <w:trHeight w:val="57"/>
          <w:jc w:val="center"/>
        </w:trPr>
        <w:tc>
          <w:tcPr>
            <w:tcW w:w="555" w:type="pct"/>
            <w:tcBorders>
              <w:top w:val="single" w:sz="4" w:space="0" w:color="auto"/>
              <w:bottom w:val="single" w:sz="4" w:space="0" w:color="auto"/>
              <w:right w:val="single" w:sz="4" w:space="0" w:color="auto"/>
            </w:tcBorders>
            <w:shd w:val="solid" w:color="FFFFFF" w:fill="auto"/>
            <w:vAlign w:val="center"/>
          </w:tcPr>
          <w:p w14:paraId="3CA7EDA7" w14:textId="0B385432" w:rsidR="005B4D17" w:rsidRPr="00205C60" w:rsidRDefault="005B4D17" w:rsidP="005B4D17">
            <w:pPr>
              <w:jc w:val="center"/>
              <w:rPr>
                <w:rFonts w:ascii="Verdana" w:hAnsi="Verdana" w:cs="Arial"/>
                <w:snapToGrid w:val="0"/>
                <w:sz w:val="22"/>
                <w:szCs w:val="22"/>
              </w:rPr>
            </w:pPr>
            <w:r w:rsidRPr="00205C60">
              <w:rPr>
                <w:rFonts w:ascii="Verdana" w:hAnsi="Verdana" w:cs="Arial"/>
                <w:snapToGrid w:val="0"/>
                <w:sz w:val="22"/>
                <w:szCs w:val="22"/>
              </w:rPr>
              <w:t>2021</w:t>
            </w:r>
          </w:p>
        </w:tc>
        <w:tc>
          <w:tcPr>
            <w:tcW w:w="1610" w:type="pct"/>
            <w:tcBorders>
              <w:top w:val="single" w:sz="4" w:space="0" w:color="auto"/>
              <w:left w:val="single" w:sz="4" w:space="0" w:color="auto"/>
              <w:bottom w:val="single" w:sz="4" w:space="0" w:color="auto"/>
            </w:tcBorders>
            <w:shd w:val="solid" w:color="FFFFFF" w:fill="auto"/>
            <w:vAlign w:val="center"/>
          </w:tcPr>
          <w:p w14:paraId="3CA7EDA8" w14:textId="03C551D2" w:rsidR="005B4D17" w:rsidRPr="00205C60" w:rsidRDefault="005B4D17" w:rsidP="005B4D17">
            <w:pPr>
              <w:jc w:val="center"/>
              <w:rPr>
                <w:rFonts w:ascii="Verdana" w:hAnsi="Verdana" w:cs="Arial"/>
                <w:snapToGrid w:val="0"/>
                <w:sz w:val="22"/>
                <w:szCs w:val="22"/>
              </w:rPr>
            </w:pPr>
            <w:r w:rsidRPr="00205C60">
              <w:rPr>
                <w:rFonts w:ascii="Verdana" w:hAnsi="Verdana" w:cs="Arial"/>
                <w:snapToGrid w:val="0"/>
                <w:sz w:val="22"/>
                <w:szCs w:val="22"/>
              </w:rPr>
              <w:t>391.694.590</w:t>
            </w:r>
          </w:p>
        </w:tc>
        <w:tc>
          <w:tcPr>
            <w:tcW w:w="149" w:type="pct"/>
            <w:tcBorders>
              <w:top w:val="single" w:sz="4" w:space="0" w:color="auto"/>
              <w:bottom w:val="single" w:sz="4" w:space="0" w:color="auto"/>
              <w:right w:val="single" w:sz="4" w:space="0" w:color="auto"/>
            </w:tcBorders>
            <w:shd w:val="solid" w:color="FFFFFF" w:fill="auto"/>
            <w:vAlign w:val="center"/>
          </w:tcPr>
          <w:p w14:paraId="3CA7EDA9" w14:textId="77777777" w:rsidR="005B4D17" w:rsidRPr="00205C60" w:rsidRDefault="005B4D17" w:rsidP="005B4D17">
            <w:pPr>
              <w:jc w:val="center"/>
              <w:rPr>
                <w:rFonts w:ascii="Verdana" w:hAnsi="Verdana" w:cs="Arial"/>
                <w:snapToGrid w:val="0"/>
                <w:sz w:val="22"/>
                <w:szCs w:val="22"/>
              </w:rPr>
            </w:pPr>
          </w:p>
        </w:tc>
        <w:tc>
          <w:tcPr>
            <w:tcW w:w="1223" w:type="pct"/>
            <w:tcBorders>
              <w:top w:val="single" w:sz="4" w:space="0" w:color="auto"/>
              <w:left w:val="single" w:sz="4" w:space="0" w:color="auto"/>
              <w:bottom w:val="single" w:sz="4" w:space="0" w:color="auto"/>
            </w:tcBorders>
            <w:shd w:val="solid" w:color="FFFFFF" w:fill="auto"/>
            <w:vAlign w:val="center"/>
          </w:tcPr>
          <w:p w14:paraId="3CA7EDAA" w14:textId="1A6867D8" w:rsidR="005B4D17" w:rsidRPr="00205C60" w:rsidRDefault="005B4D17" w:rsidP="005B4D17">
            <w:pPr>
              <w:jc w:val="center"/>
              <w:rPr>
                <w:rFonts w:ascii="Verdana" w:hAnsi="Verdana" w:cs="Arial"/>
                <w:bCs/>
                <w:snapToGrid w:val="0"/>
                <w:sz w:val="22"/>
                <w:szCs w:val="22"/>
              </w:rPr>
            </w:pPr>
            <w:r w:rsidRPr="00205C60">
              <w:rPr>
                <w:rFonts w:ascii="Verdana" w:hAnsi="Verdana" w:cs="Arial"/>
                <w:bCs/>
                <w:snapToGrid w:val="0"/>
                <w:sz w:val="22"/>
                <w:szCs w:val="22"/>
              </w:rPr>
              <w:t>282.938.902</w:t>
            </w:r>
          </w:p>
        </w:tc>
        <w:tc>
          <w:tcPr>
            <w:tcW w:w="143" w:type="pct"/>
            <w:tcBorders>
              <w:top w:val="single" w:sz="4" w:space="0" w:color="auto"/>
              <w:bottom w:val="single" w:sz="4" w:space="0" w:color="auto"/>
              <w:right w:val="single" w:sz="4" w:space="0" w:color="auto"/>
            </w:tcBorders>
            <w:shd w:val="solid" w:color="FFFFFF" w:fill="auto"/>
            <w:vAlign w:val="center"/>
          </w:tcPr>
          <w:p w14:paraId="3CA7EDAB" w14:textId="77777777" w:rsidR="005B4D17" w:rsidRPr="00205C60" w:rsidRDefault="005B4D17" w:rsidP="005B4D17">
            <w:pPr>
              <w:jc w:val="center"/>
              <w:rPr>
                <w:rFonts w:ascii="Verdana" w:hAnsi="Verdana" w:cs="Arial"/>
                <w:snapToGrid w:val="0"/>
                <w:sz w:val="22"/>
                <w:szCs w:val="22"/>
              </w:rPr>
            </w:pPr>
          </w:p>
        </w:tc>
        <w:tc>
          <w:tcPr>
            <w:tcW w:w="1320" w:type="pct"/>
            <w:tcBorders>
              <w:top w:val="single" w:sz="4" w:space="0" w:color="auto"/>
              <w:left w:val="single" w:sz="4" w:space="0" w:color="auto"/>
              <w:bottom w:val="single" w:sz="4" w:space="0" w:color="auto"/>
            </w:tcBorders>
            <w:shd w:val="solid" w:color="FFFFFF" w:fill="auto"/>
            <w:vAlign w:val="center"/>
          </w:tcPr>
          <w:p w14:paraId="3CA7EDAC" w14:textId="54D7D90D" w:rsidR="005B4D17" w:rsidRPr="00205C60" w:rsidRDefault="005B4D17" w:rsidP="005B4D17">
            <w:pPr>
              <w:jc w:val="center"/>
              <w:rPr>
                <w:rFonts w:ascii="Verdana" w:hAnsi="Verdana" w:cs="Arial"/>
                <w:snapToGrid w:val="0"/>
                <w:sz w:val="22"/>
                <w:szCs w:val="22"/>
              </w:rPr>
            </w:pPr>
            <w:r w:rsidRPr="00205C60">
              <w:rPr>
                <w:rFonts w:ascii="Verdana" w:hAnsi="Verdana" w:cs="Arial"/>
                <w:snapToGrid w:val="0"/>
                <w:sz w:val="22"/>
                <w:szCs w:val="22"/>
              </w:rPr>
              <w:t>1,38</w:t>
            </w:r>
          </w:p>
        </w:tc>
      </w:tr>
      <w:tr w:rsidR="00E87BB5" w:rsidRPr="00205C60" w14:paraId="4E0DF81F" w14:textId="77777777" w:rsidTr="0067187A">
        <w:trPr>
          <w:trHeight w:val="57"/>
          <w:jc w:val="center"/>
        </w:trPr>
        <w:tc>
          <w:tcPr>
            <w:tcW w:w="555" w:type="pct"/>
            <w:tcBorders>
              <w:top w:val="single" w:sz="4" w:space="0" w:color="auto"/>
              <w:bottom w:val="single" w:sz="4" w:space="0" w:color="auto"/>
              <w:right w:val="single" w:sz="4" w:space="0" w:color="auto"/>
            </w:tcBorders>
            <w:shd w:val="solid" w:color="FFFFFF" w:fill="auto"/>
            <w:vAlign w:val="center"/>
          </w:tcPr>
          <w:p w14:paraId="0F038006" w14:textId="08B4D67A" w:rsidR="00E87BB5" w:rsidRPr="00205C60" w:rsidRDefault="00E87BB5" w:rsidP="006E18E7">
            <w:pPr>
              <w:jc w:val="center"/>
              <w:rPr>
                <w:rFonts w:ascii="Verdana" w:hAnsi="Verdana" w:cs="Arial"/>
                <w:snapToGrid w:val="0"/>
                <w:sz w:val="22"/>
                <w:szCs w:val="22"/>
              </w:rPr>
            </w:pPr>
            <w:r w:rsidRPr="00205C60">
              <w:rPr>
                <w:rFonts w:ascii="Verdana" w:hAnsi="Verdana" w:cs="Arial"/>
                <w:snapToGrid w:val="0"/>
                <w:sz w:val="22"/>
                <w:szCs w:val="22"/>
              </w:rPr>
              <w:t>202</w:t>
            </w:r>
            <w:r w:rsidR="005B4D17" w:rsidRPr="00205C60">
              <w:rPr>
                <w:rFonts w:ascii="Verdana" w:hAnsi="Verdana" w:cs="Arial"/>
                <w:snapToGrid w:val="0"/>
                <w:sz w:val="22"/>
                <w:szCs w:val="22"/>
              </w:rPr>
              <w:t>2</w:t>
            </w:r>
          </w:p>
        </w:tc>
        <w:tc>
          <w:tcPr>
            <w:tcW w:w="1610" w:type="pct"/>
            <w:tcBorders>
              <w:top w:val="single" w:sz="4" w:space="0" w:color="auto"/>
              <w:left w:val="single" w:sz="4" w:space="0" w:color="auto"/>
              <w:bottom w:val="single" w:sz="4" w:space="0" w:color="auto"/>
            </w:tcBorders>
            <w:shd w:val="solid" w:color="FFFFFF" w:fill="auto"/>
            <w:vAlign w:val="center"/>
          </w:tcPr>
          <w:p w14:paraId="145322CD" w14:textId="39140B5F" w:rsidR="00E87BB5" w:rsidRPr="00205C60" w:rsidRDefault="007D78CA" w:rsidP="00853EF7">
            <w:pPr>
              <w:jc w:val="center"/>
              <w:rPr>
                <w:rFonts w:ascii="Verdana" w:hAnsi="Verdana" w:cs="Arial"/>
                <w:snapToGrid w:val="0"/>
                <w:sz w:val="22"/>
                <w:szCs w:val="22"/>
              </w:rPr>
            </w:pPr>
            <w:r w:rsidRPr="00205C60">
              <w:rPr>
                <w:rFonts w:ascii="Verdana" w:hAnsi="Verdana" w:cs="Arial"/>
                <w:snapToGrid w:val="0"/>
                <w:sz w:val="22"/>
                <w:szCs w:val="22"/>
              </w:rPr>
              <w:t>3</w:t>
            </w:r>
            <w:r w:rsidR="00C61C64" w:rsidRPr="00205C60">
              <w:rPr>
                <w:rFonts w:ascii="Verdana" w:hAnsi="Verdana" w:cs="Arial"/>
                <w:snapToGrid w:val="0"/>
                <w:sz w:val="22"/>
                <w:szCs w:val="22"/>
              </w:rPr>
              <w:t>55</w:t>
            </w:r>
            <w:r w:rsidRPr="00205C60">
              <w:rPr>
                <w:rFonts w:ascii="Verdana" w:hAnsi="Verdana" w:cs="Arial"/>
                <w:snapToGrid w:val="0"/>
                <w:sz w:val="22"/>
                <w:szCs w:val="22"/>
              </w:rPr>
              <w:t>.</w:t>
            </w:r>
            <w:r w:rsidR="00C61C64" w:rsidRPr="00205C60">
              <w:rPr>
                <w:rFonts w:ascii="Verdana" w:hAnsi="Verdana" w:cs="Arial"/>
                <w:snapToGrid w:val="0"/>
                <w:sz w:val="22"/>
                <w:szCs w:val="22"/>
              </w:rPr>
              <w:t>145</w:t>
            </w:r>
            <w:r w:rsidRPr="00205C60">
              <w:rPr>
                <w:rFonts w:ascii="Verdana" w:hAnsi="Verdana" w:cs="Arial"/>
                <w:snapToGrid w:val="0"/>
                <w:sz w:val="22"/>
                <w:szCs w:val="22"/>
              </w:rPr>
              <w:t>.</w:t>
            </w:r>
            <w:r w:rsidR="00C61C64" w:rsidRPr="00205C60">
              <w:rPr>
                <w:rFonts w:ascii="Verdana" w:hAnsi="Verdana" w:cs="Arial"/>
                <w:snapToGrid w:val="0"/>
                <w:sz w:val="22"/>
                <w:szCs w:val="22"/>
              </w:rPr>
              <w:t>982</w:t>
            </w:r>
          </w:p>
        </w:tc>
        <w:tc>
          <w:tcPr>
            <w:tcW w:w="149" w:type="pct"/>
            <w:tcBorders>
              <w:top w:val="single" w:sz="4" w:space="0" w:color="auto"/>
              <w:bottom w:val="single" w:sz="4" w:space="0" w:color="auto"/>
              <w:right w:val="single" w:sz="4" w:space="0" w:color="auto"/>
            </w:tcBorders>
            <w:shd w:val="solid" w:color="FFFFFF" w:fill="auto"/>
            <w:vAlign w:val="center"/>
          </w:tcPr>
          <w:p w14:paraId="546AC3ED" w14:textId="77777777" w:rsidR="00E87BB5" w:rsidRPr="00205C60" w:rsidRDefault="00E87BB5" w:rsidP="006E18E7">
            <w:pPr>
              <w:jc w:val="center"/>
              <w:rPr>
                <w:rFonts w:ascii="Verdana" w:hAnsi="Verdana" w:cs="Arial"/>
                <w:snapToGrid w:val="0"/>
                <w:sz w:val="22"/>
                <w:szCs w:val="22"/>
              </w:rPr>
            </w:pPr>
          </w:p>
        </w:tc>
        <w:tc>
          <w:tcPr>
            <w:tcW w:w="1223" w:type="pct"/>
            <w:tcBorders>
              <w:top w:val="single" w:sz="4" w:space="0" w:color="auto"/>
              <w:left w:val="single" w:sz="4" w:space="0" w:color="auto"/>
              <w:bottom w:val="single" w:sz="4" w:space="0" w:color="auto"/>
            </w:tcBorders>
            <w:shd w:val="solid" w:color="FFFFFF" w:fill="auto"/>
            <w:vAlign w:val="center"/>
          </w:tcPr>
          <w:p w14:paraId="1EEB3071" w14:textId="69A484E8" w:rsidR="00E87BB5" w:rsidRPr="00205C60" w:rsidRDefault="008017DA" w:rsidP="006568C3">
            <w:pPr>
              <w:jc w:val="center"/>
              <w:rPr>
                <w:rFonts w:ascii="Verdana" w:hAnsi="Verdana" w:cs="Arial"/>
                <w:bCs/>
                <w:snapToGrid w:val="0"/>
                <w:sz w:val="22"/>
                <w:szCs w:val="22"/>
              </w:rPr>
            </w:pPr>
            <w:r w:rsidRPr="00205C60">
              <w:rPr>
                <w:rFonts w:ascii="Verdana" w:hAnsi="Verdana" w:cs="Arial"/>
                <w:bCs/>
                <w:snapToGrid w:val="0"/>
                <w:sz w:val="22"/>
                <w:szCs w:val="22"/>
              </w:rPr>
              <w:t>2</w:t>
            </w:r>
            <w:r w:rsidR="00C61C64" w:rsidRPr="00205C60">
              <w:rPr>
                <w:rFonts w:ascii="Verdana" w:hAnsi="Verdana" w:cs="Arial"/>
                <w:bCs/>
                <w:snapToGrid w:val="0"/>
                <w:sz w:val="22"/>
                <w:szCs w:val="22"/>
              </w:rPr>
              <w:t>78</w:t>
            </w:r>
            <w:r w:rsidRPr="00205C60">
              <w:rPr>
                <w:rFonts w:ascii="Verdana" w:hAnsi="Verdana" w:cs="Arial"/>
                <w:bCs/>
                <w:snapToGrid w:val="0"/>
                <w:sz w:val="22"/>
                <w:szCs w:val="22"/>
              </w:rPr>
              <w:t>.</w:t>
            </w:r>
            <w:r w:rsidR="00C61C64" w:rsidRPr="00205C60">
              <w:rPr>
                <w:rFonts w:ascii="Verdana" w:hAnsi="Verdana" w:cs="Arial"/>
                <w:bCs/>
                <w:snapToGrid w:val="0"/>
                <w:sz w:val="22"/>
                <w:szCs w:val="22"/>
              </w:rPr>
              <w:t>779</w:t>
            </w:r>
            <w:r w:rsidRPr="00205C60">
              <w:rPr>
                <w:rFonts w:ascii="Verdana" w:hAnsi="Verdana" w:cs="Arial"/>
                <w:bCs/>
                <w:snapToGrid w:val="0"/>
                <w:sz w:val="22"/>
                <w:szCs w:val="22"/>
              </w:rPr>
              <w:t>.</w:t>
            </w:r>
            <w:r w:rsidR="00C61C64" w:rsidRPr="00205C60">
              <w:rPr>
                <w:rFonts w:ascii="Verdana" w:hAnsi="Verdana" w:cs="Arial"/>
                <w:bCs/>
                <w:snapToGrid w:val="0"/>
                <w:sz w:val="22"/>
                <w:szCs w:val="22"/>
              </w:rPr>
              <w:t>195</w:t>
            </w:r>
          </w:p>
        </w:tc>
        <w:tc>
          <w:tcPr>
            <w:tcW w:w="143" w:type="pct"/>
            <w:tcBorders>
              <w:top w:val="single" w:sz="4" w:space="0" w:color="auto"/>
              <w:bottom w:val="single" w:sz="4" w:space="0" w:color="auto"/>
              <w:right w:val="single" w:sz="4" w:space="0" w:color="auto"/>
            </w:tcBorders>
            <w:shd w:val="solid" w:color="FFFFFF" w:fill="auto"/>
            <w:vAlign w:val="center"/>
          </w:tcPr>
          <w:p w14:paraId="3FAE349F" w14:textId="77777777" w:rsidR="00E87BB5" w:rsidRPr="00205C60" w:rsidRDefault="00E87BB5" w:rsidP="006E18E7">
            <w:pPr>
              <w:jc w:val="center"/>
              <w:rPr>
                <w:rFonts w:ascii="Verdana" w:hAnsi="Verdana" w:cs="Arial"/>
                <w:snapToGrid w:val="0"/>
                <w:sz w:val="22"/>
                <w:szCs w:val="22"/>
              </w:rPr>
            </w:pPr>
          </w:p>
        </w:tc>
        <w:tc>
          <w:tcPr>
            <w:tcW w:w="1320" w:type="pct"/>
            <w:tcBorders>
              <w:top w:val="single" w:sz="4" w:space="0" w:color="auto"/>
              <w:left w:val="single" w:sz="4" w:space="0" w:color="auto"/>
              <w:bottom w:val="single" w:sz="4" w:space="0" w:color="auto"/>
            </w:tcBorders>
            <w:shd w:val="solid" w:color="FFFFFF" w:fill="auto"/>
            <w:vAlign w:val="center"/>
          </w:tcPr>
          <w:p w14:paraId="19257BE0" w14:textId="13B56911" w:rsidR="00E87BB5" w:rsidRPr="00205C60" w:rsidRDefault="00F33DAB" w:rsidP="006E18E7">
            <w:pPr>
              <w:jc w:val="center"/>
              <w:rPr>
                <w:rFonts w:ascii="Verdana" w:hAnsi="Verdana" w:cs="Arial"/>
                <w:snapToGrid w:val="0"/>
                <w:sz w:val="22"/>
                <w:szCs w:val="22"/>
              </w:rPr>
            </w:pPr>
            <w:r w:rsidRPr="00205C60">
              <w:rPr>
                <w:rFonts w:ascii="Verdana" w:hAnsi="Verdana" w:cs="Arial"/>
                <w:snapToGrid w:val="0"/>
                <w:sz w:val="22"/>
                <w:szCs w:val="22"/>
              </w:rPr>
              <w:t>1,</w:t>
            </w:r>
            <w:r w:rsidR="00C61C64" w:rsidRPr="00205C60">
              <w:rPr>
                <w:rFonts w:ascii="Verdana" w:hAnsi="Verdana" w:cs="Arial"/>
                <w:snapToGrid w:val="0"/>
                <w:sz w:val="22"/>
                <w:szCs w:val="22"/>
              </w:rPr>
              <w:t>27</w:t>
            </w:r>
          </w:p>
        </w:tc>
      </w:tr>
    </w:tbl>
    <w:p w14:paraId="3CA7EDAE" w14:textId="77777777" w:rsidR="00291919" w:rsidRPr="00205C60" w:rsidRDefault="00291919">
      <w:pPr>
        <w:pStyle w:val="Sangradetextonormal"/>
        <w:ind w:left="0"/>
        <w:jc w:val="both"/>
        <w:rPr>
          <w:rFonts w:ascii="Verdana" w:hAnsi="Verdana" w:cs="Arial"/>
          <w:b w:val="0"/>
          <w:color w:val="auto"/>
          <w:sz w:val="22"/>
          <w:szCs w:val="22"/>
        </w:rPr>
      </w:pPr>
    </w:p>
    <w:p w14:paraId="3CA7EDAF" w14:textId="77777777" w:rsidR="00A656BA" w:rsidRPr="00205C60" w:rsidRDefault="00A656BA">
      <w:pPr>
        <w:pStyle w:val="Sangradetextonormal"/>
        <w:ind w:left="0"/>
        <w:jc w:val="both"/>
        <w:rPr>
          <w:rFonts w:ascii="Verdana" w:hAnsi="Verdana" w:cs="Arial"/>
          <w:b w:val="0"/>
          <w:color w:val="auto"/>
          <w:sz w:val="22"/>
          <w:szCs w:val="22"/>
        </w:rPr>
      </w:pPr>
    </w:p>
    <w:p w14:paraId="3CA7EDB0" w14:textId="77777777" w:rsidR="00B44125" w:rsidRPr="00205C60" w:rsidRDefault="00BD607E">
      <w:pPr>
        <w:tabs>
          <w:tab w:val="left" w:pos="360"/>
        </w:tabs>
        <w:jc w:val="both"/>
        <w:rPr>
          <w:rFonts w:ascii="Verdana" w:hAnsi="Verdana" w:cs="Arial"/>
          <w:bCs/>
          <w:sz w:val="22"/>
          <w:szCs w:val="22"/>
          <w:lang w:val="es-CR"/>
        </w:rPr>
      </w:pPr>
      <w:r w:rsidRPr="00205C60">
        <w:rPr>
          <w:rFonts w:ascii="Verdana" w:hAnsi="Verdana" w:cs="Arial"/>
          <w:bCs/>
          <w:sz w:val="22"/>
          <w:szCs w:val="22"/>
          <w:lang w:val="es-CR"/>
        </w:rPr>
        <w:t>Considerando los pasivos contingentes, el indicador resultante se encuentra dentro del límite establecido, según Ley mencionada anteriormente.</w:t>
      </w:r>
    </w:p>
    <w:p w14:paraId="3CA7EDB1" w14:textId="77777777" w:rsidR="00BD607E" w:rsidRPr="00205C60" w:rsidRDefault="00BD607E">
      <w:pPr>
        <w:tabs>
          <w:tab w:val="left" w:pos="360"/>
        </w:tabs>
        <w:jc w:val="both"/>
        <w:rPr>
          <w:rFonts w:ascii="Verdana" w:hAnsi="Verdana" w:cs="Arial"/>
          <w:b/>
          <w:bCs/>
          <w:sz w:val="22"/>
          <w:szCs w:val="22"/>
          <w:lang w:val="es-CR"/>
        </w:rPr>
      </w:pPr>
    </w:p>
    <w:p w14:paraId="3CA7EDB2" w14:textId="67271C4E" w:rsidR="0076352F" w:rsidRPr="00205C60" w:rsidRDefault="008D4115" w:rsidP="00714D4C">
      <w:pPr>
        <w:tabs>
          <w:tab w:val="left" w:pos="360"/>
          <w:tab w:val="left" w:pos="5954"/>
        </w:tabs>
        <w:jc w:val="both"/>
        <w:rPr>
          <w:rFonts w:ascii="Verdana" w:hAnsi="Verdana" w:cs="Arial"/>
          <w:bCs/>
          <w:sz w:val="22"/>
          <w:szCs w:val="22"/>
          <w:lang w:val="es-CR"/>
        </w:rPr>
      </w:pPr>
      <w:r w:rsidRPr="00205C60">
        <w:rPr>
          <w:rFonts w:ascii="Verdana" w:hAnsi="Verdana" w:cs="Arial"/>
          <w:bCs/>
          <w:sz w:val="22"/>
          <w:szCs w:val="22"/>
          <w:lang w:val="es-CR"/>
        </w:rPr>
        <w:t xml:space="preserve">Cabe mencionar que el detalle del estado de los juicios contenciosos administrativos </w:t>
      </w:r>
      <w:r w:rsidR="006B7951" w:rsidRPr="00205C60">
        <w:rPr>
          <w:rFonts w:ascii="Verdana" w:hAnsi="Verdana" w:cs="Arial"/>
          <w:bCs/>
          <w:sz w:val="22"/>
          <w:szCs w:val="22"/>
          <w:lang w:val="es-CR"/>
        </w:rPr>
        <w:t xml:space="preserve">a </w:t>
      </w:r>
      <w:r w:rsidR="00033D24" w:rsidRPr="00205C60">
        <w:rPr>
          <w:rFonts w:ascii="Verdana" w:hAnsi="Verdana" w:cs="Arial"/>
          <w:bCs/>
          <w:sz w:val="22"/>
          <w:szCs w:val="22"/>
          <w:lang w:val="es-CR"/>
        </w:rPr>
        <w:t>diciembre del 20</w:t>
      </w:r>
      <w:r w:rsidR="00A82F90" w:rsidRPr="00205C60">
        <w:rPr>
          <w:rFonts w:ascii="Verdana" w:hAnsi="Verdana" w:cs="Arial"/>
          <w:bCs/>
          <w:sz w:val="22"/>
          <w:szCs w:val="22"/>
          <w:lang w:val="es-CR"/>
        </w:rPr>
        <w:t>2</w:t>
      </w:r>
      <w:r w:rsidR="00DA584C" w:rsidRPr="00205C60">
        <w:rPr>
          <w:rFonts w:ascii="Verdana" w:hAnsi="Verdana" w:cs="Arial"/>
          <w:bCs/>
          <w:sz w:val="22"/>
          <w:szCs w:val="22"/>
          <w:lang w:val="es-CR"/>
        </w:rPr>
        <w:t>2</w:t>
      </w:r>
      <w:r w:rsidR="00AF738D" w:rsidRPr="00205C60">
        <w:rPr>
          <w:rFonts w:ascii="Verdana" w:hAnsi="Verdana" w:cs="Arial"/>
          <w:bCs/>
          <w:sz w:val="22"/>
          <w:szCs w:val="22"/>
          <w:lang w:val="es-CR"/>
        </w:rPr>
        <w:t xml:space="preserve"> elaborado por la </w:t>
      </w:r>
      <w:r w:rsidR="00D0743B" w:rsidRPr="00205C60">
        <w:rPr>
          <w:rFonts w:ascii="Verdana" w:hAnsi="Verdana" w:cs="Arial"/>
          <w:bCs/>
          <w:sz w:val="22"/>
          <w:szCs w:val="22"/>
          <w:lang w:val="es-CR"/>
        </w:rPr>
        <w:t xml:space="preserve">Asesoría Jurídica </w:t>
      </w:r>
      <w:r w:rsidR="004C421E" w:rsidRPr="00205C60">
        <w:rPr>
          <w:rFonts w:ascii="Verdana" w:hAnsi="Verdana" w:cs="Arial"/>
          <w:bCs/>
          <w:sz w:val="22"/>
          <w:szCs w:val="22"/>
          <w:lang w:val="es-CR"/>
        </w:rPr>
        <w:t>Empresarial</w:t>
      </w:r>
      <w:r w:rsidR="006B7951" w:rsidRPr="00205C60">
        <w:rPr>
          <w:rFonts w:ascii="Verdana" w:hAnsi="Verdana" w:cs="Arial"/>
          <w:bCs/>
          <w:sz w:val="22"/>
          <w:szCs w:val="22"/>
          <w:lang w:val="es-CR"/>
        </w:rPr>
        <w:t xml:space="preserve"> </w:t>
      </w:r>
      <w:r w:rsidRPr="00205C60">
        <w:rPr>
          <w:rFonts w:ascii="Verdana" w:hAnsi="Verdana" w:cs="Arial"/>
          <w:bCs/>
          <w:sz w:val="22"/>
          <w:szCs w:val="22"/>
          <w:lang w:val="es-CR"/>
        </w:rPr>
        <w:t xml:space="preserve">se presenta </w:t>
      </w:r>
      <w:r w:rsidR="004C421E" w:rsidRPr="00205C60">
        <w:rPr>
          <w:rFonts w:ascii="Verdana" w:hAnsi="Verdana" w:cs="Arial"/>
          <w:bCs/>
          <w:sz w:val="22"/>
          <w:szCs w:val="22"/>
          <w:lang w:val="es-CR"/>
        </w:rPr>
        <w:t>en el anexo</w:t>
      </w:r>
      <w:r w:rsidRPr="00205C60">
        <w:rPr>
          <w:rFonts w:ascii="Verdana" w:hAnsi="Verdana" w:cs="Arial"/>
          <w:bCs/>
          <w:sz w:val="22"/>
          <w:szCs w:val="22"/>
          <w:lang w:val="es-CR"/>
        </w:rPr>
        <w:t xml:space="preserve"> </w:t>
      </w:r>
      <w:r w:rsidR="004C421E" w:rsidRPr="00205C60">
        <w:rPr>
          <w:rFonts w:ascii="Verdana" w:hAnsi="Verdana" w:cs="Arial"/>
          <w:bCs/>
          <w:sz w:val="22"/>
          <w:szCs w:val="22"/>
          <w:lang w:val="es-CR"/>
        </w:rPr>
        <w:t>3 de</w:t>
      </w:r>
      <w:r w:rsidRPr="00205C60">
        <w:rPr>
          <w:rFonts w:ascii="Verdana" w:hAnsi="Verdana" w:cs="Arial"/>
          <w:bCs/>
          <w:sz w:val="22"/>
          <w:szCs w:val="22"/>
          <w:lang w:val="es-CR"/>
        </w:rPr>
        <w:t>l prospecto.</w:t>
      </w:r>
    </w:p>
    <w:p w14:paraId="3CA7EDB3" w14:textId="2400C3CC" w:rsidR="00F97A55" w:rsidRPr="00205C60" w:rsidRDefault="00F97A55" w:rsidP="00714D4C">
      <w:pPr>
        <w:tabs>
          <w:tab w:val="left" w:pos="360"/>
          <w:tab w:val="left" w:pos="5954"/>
        </w:tabs>
        <w:jc w:val="both"/>
        <w:rPr>
          <w:rFonts w:ascii="Verdana" w:hAnsi="Verdana" w:cs="Arial"/>
          <w:bCs/>
          <w:sz w:val="22"/>
          <w:szCs w:val="22"/>
          <w:lang w:val="es-CR"/>
        </w:rPr>
      </w:pPr>
    </w:p>
    <w:p w14:paraId="3CA7EDB7" w14:textId="167C8032" w:rsidR="003F4F9D" w:rsidRPr="00205C60" w:rsidRDefault="00B20161" w:rsidP="00882F32">
      <w:pPr>
        <w:pStyle w:val="Prrafodelista"/>
        <w:numPr>
          <w:ilvl w:val="0"/>
          <w:numId w:val="28"/>
        </w:numPr>
        <w:rPr>
          <w:rFonts w:ascii="Verdana" w:hAnsi="Verdana" w:cs="Arial"/>
          <w:b/>
          <w:sz w:val="22"/>
          <w:szCs w:val="22"/>
        </w:rPr>
      </w:pPr>
      <w:r w:rsidRPr="00205C60">
        <w:rPr>
          <w:rFonts w:ascii="Verdana" w:hAnsi="Verdana" w:cs="Arial"/>
          <w:b/>
          <w:sz w:val="22"/>
          <w:szCs w:val="22"/>
        </w:rPr>
        <w:t xml:space="preserve">Captaciones a pasivo </w:t>
      </w:r>
      <w:r w:rsidR="001B4ABB" w:rsidRPr="00205C60">
        <w:rPr>
          <w:rFonts w:ascii="Verdana" w:hAnsi="Verdana" w:cs="Arial"/>
          <w:b/>
          <w:sz w:val="22"/>
          <w:szCs w:val="22"/>
        </w:rPr>
        <w:t>total (</w:t>
      </w:r>
      <w:r w:rsidRPr="00205C60">
        <w:rPr>
          <w:rFonts w:ascii="Verdana" w:hAnsi="Verdana" w:cs="Arial"/>
          <w:b/>
          <w:sz w:val="22"/>
          <w:szCs w:val="22"/>
        </w:rPr>
        <w:t>veces)</w:t>
      </w:r>
    </w:p>
    <w:p w14:paraId="3CA7EDB8" w14:textId="77777777" w:rsidR="003F4F9D" w:rsidRPr="00205C60" w:rsidRDefault="003F4F9D" w:rsidP="003F4F9D">
      <w:pPr>
        <w:rPr>
          <w:rFonts w:ascii="Verdana" w:hAnsi="Verdana" w:cs="Arial"/>
          <w:b/>
          <w:sz w:val="22"/>
          <w:szCs w:val="22"/>
        </w:rPr>
      </w:pPr>
    </w:p>
    <w:p w14:paraId="3CA7EDB9" w14:textId="22E6BD9E" w:rsidR="003F4F9D" w:rsidRPr="00205C60" w:rsidRDefault="001B1DE6" w:rsidP="003F4F9D">
      <w:pPr>
        <w:jc w:val="both"/>
        <w:rPr>
          <w:rFonts w:ascii="Verdana" w:hAnsi="Verdana" w:cs="Arial"/>
          <w:sz w:val="22"/>
          <w:szCs w:val="22"/>
        </w:rPr>
      </w:pPr>
      <w:r w:rsidRPr="00205C60">
        <w:rPr>
          <w:rFonts w:ascii="Verdana" w:hAnsi="Verdana" w:cs="Arial"/>
          <w:sz w:val="22"/>
          <w:szCs w:val="22"/>
        </w:rPr>
        <w:t>Mi</w:t>
      </w:r>
      <w:r w:rsidR="00B44125" w:rsidRPr="00205C60">
        <w:rPr>
          <w:rFonts w:ascii="Verdana" w:hAnsi="Verdana" w:cs="Arial"/>
          <w:sz w:val="22"/>
          <w:szCs w:val="22"/>
        </w:rPr>
        <w:t xml:space="preserve">de el grado </w:t>
      </w:r>
      <w:r w:rsidR="00B20161" w:rsidRPr="00205C60">
        <w:rPr>
          <w:rFonts w:ascii="Verdana" w:hAnsi="Verdana" w:cs="Arial"/>
          <w:sz w:val="22"/>
          <w:szCs w:val="22"/>
        </w:rPr>
        <w:t>de participación d</w:t>
      </w:r>
      <w:r w:rsidR="00B44125" w:rsidRPr="00205C60">
        <w:rPr>
          <w:rFonts w:ascii="Verdana" w:hAnsi="Verdana" w:cs="Arial"/>
          <w:sz w:val="22"/>
          <w:szCs w:val="22"/>
        </w:rPr>
        <w:t xml:space="preserve">erivado de las captaciones </w:t>
      </w:r>
      <w:r w:rsidR="00B20161" w:rsidRPr="00205C60">
        <w:rPr>
          <w:rFonts w:ascii="Verdana" w:hAnsi="Verdana" w:cs="Arial"/>
          <w:sz w:val="22"/>
          <w:szCs w:val="22"/>
        </w:rPr>
        <w:t xml:space="preserve">de los bonos serie B </w:t>
      </w:r>
      <w:r w:rsidR="00B44125" w:rsidRPr="00205C60">
        <w:rPr>
          <w:rFonts w:ascii="Verdana" w:hAnsi="Verdana" w:cs="Arial"/>
          <w:sz w:val="22"/>
          <w:szCs w:val="22"/>
        </w:rPr>
        <w:t xml:space="preserve">en relación con el </w:t>
      </w:r>
      <w:r w:rsidR="006A2E9C" w:rsidRPr="00205C60">
        <w:rPr>
          <w:rFonts w:ascii="Verdana" w:hAnsi="Verdana" w:cs="Arial"/>
          <w:sz w:val="22"/>
          <w:szCs w:val="22"/>
        </w:rPr>
        <w:t>total de las obligaciones de la Compañía</w:t>
      </w:r>
      <w:r w:rsidR="00B20161" w:rsidRPr="00205C60">
        <w:rPr>
          <w:rFonts w:ascii="Verdana" w:hAnsi="Verdana" w:cs="Arial"/>
          <w:sz w:val="22"/>
          <w:szCs w:val="22"/>
        </w:rPr>
        <w:t>, tanto de corto como de largo plazo.</w:t>
      </w:r>
    </w:p>
    <w:p w14:paraId="09052141" w14:textId="24D97FB3" w:rsidR="00545427" w:rsidRPr="00205C60" w:rsidRDefault="00545427" w:rsidP="003F4F9D">
      <w:pPr>
        <w:jc w:val="both"/>
        <w:rPr>
          <w:rFonts w:ascii="Verdana" w:hAnsi="Verdana" w:cs="Arial"/>
          <w:sz w:val="22"/>
          <w:szCs w:val="22"/>
        </w:rPr>
      </w:pPr>
    </w:p>
    <w:tbl>
      <w:tblPr>
        <w:tblStyle w:val="Tablaconcuadrcula"/>
        <w:tblW w:w="0" w:type="auto"/>
        <w:tblLook w:val="04A0" w:firstRow="1" w:lastRow="0" w:firstColumn="1" w:lastColumn="0" w:noHBand="0" w:noVBand="1"/>
      </w:tblPr>
      <w:tblGrid>
        <w:gridCol w:w="1302"/>
        <w:gridCol w:w="1302"/>
        <w:gridCol w:w="1303"/>
        <w:gridCol w:w="1303"/>
        <w:gridCol w:w="1303"/>
        <w:gridCol w:w="1303"/>
        <w:gridCol w:w="1303"/>
      </w:tblGrid>
      <w:tr w:rsidR="005406AC" w:rsidRPr="00205C60" w14:paraId="135859FB" w14:textId="77777777" w:rsidTr="00D23B25">
        <w:tc>
          <w:tcPr>
            <w:tcW w:w="1302" w:type="dxa"/>
          </w:tcPr>
          <w:p w14:paraId="03255730" w14:textId="2F0EC01E" w:rsidR="00D23B25" w:rsidRPr="00205C60" w:rsidRDefault="00D23B25" w:rsidP="003F4F9D">
            <w:pPr>
              <w:jc w:val="both"/>
              <w:rPr>
                <w:rFonts w:ascii="Verdana" w:hAnsi="Verdana" w:cs="Arial"/>
                <w:sz w:val="16"/>
                <w:szCs w:val="16"/>
              </w:rPr>
            </w:pPr>
            <w:r w:rsidRPr="00205C60">
              <w:rPr>
                <w:rFonts w:ascii="Verdana" w:hAnsi="Verdana" w:cs="Arial"/>
                <w:sz w:val="16"/>
                <w:szCs w:val="16"/>
              </w:rPr>
              <w:t>En miles de colones</w:t>
            </w:r>
          </w:p>
        </w:tc>
        <w:tc>
          <w:tcPr>
            <w:tcW w:w="1302" w:type="dxa"/>
          </w:tcPr>
          <w:p w14:paraId="4A8E81B6" w14:textId="4627E89F" w:rsidR="00D23B25" w:rsidRPr="00205C60" w:rsidRDefault="00D23B25" w:rsidP="0083799F">
            <w:pPr>
              <w:jc w:val="center"/>
              <w:rPr>
                <w:rFonts w:ascii="Verdana" w:hAnsi="Verdana" w:cs="Arial"/>
                <w:sz w:val="16"/>
                <w:szCs w:val="16"/>
              </w:rPr>
            </w:pPr>
            <w:r w:rsidRPr="00205C60">
              <w:rPr>
                <w:rFonts w:ascii="Verdana" w:hAnsi="Verdana" w:cs="Arial"/>
                <w:sz w:val="16"/>
                <w:szCs w:val="16"/>
              </w:rPr>
              <w:t>Dic 201</w:t>
            </w:r>
            <w:r w:rsidR="006A374E" w:rsidRPr="00205C60">
              <w:rPr>
                <w:rFonts w:ascii="Verdana" w:hAnsi="Verdana" w:cs="Arial"/>
                <w:sz w:val="16"/>
                <w:szCs w:val="16"/>
              </w:rPr>
              <w:t>7</w:t>
            </w:r>
          </w:p>
        </w:tc>
        <w:tc>
          <w:tcPr>
            <w:tcW w:w="1303" w:type="dxa"/>
          </w:tcPr>
          <w:p w14:paraId="58130294" w14:textId="0D6E5EDC" w:rsidR="00D23B25" w:rsidRPr="00205C60" w:rsidRDefault="00D23B25" w:rsidP="0083799F">
            <w:pPr>
              <w:jc w:val="center"/>
              <w:rPr>
                <w:rFonts w:ascii="Verdana" w:hAnsi="Verdana" w:cs="Arial"/>
                <w:sz w:val="16"/>
                <w:szCs w:val="16"/>
              </w:rPr>
            </w:pPr>
            <w:r w:rsidRPr="00205C60">
              <w:rPr>
                <w:rFonts w:ascii="Verdana" w:hAnsi="Verdana" w:cs="Arial"/>
                <w:sz w:val="16"/>
                <w:szCs w:val="16"/>
              </w:rPr>
              <w:t>Dic 201</w:t>
            </w:r>
            <w:r w:rsidR="006A374E" w:rsidRPr="00205C60">
              <w:rPr>
                <w:rFonts w:ascii="Verdana" w:hAnsi="Verdana" w:cs="Arial"/>
                <w:sz w:val="16"/>
                <w:szCs w:val="16"/>
              </w:rPr>
              <w:t>8</w:t>
            </w:r>
          </w:p>
        </w:tc>
        <w:tc>
          <w:tcPr>
            <w:tcW w:w="1303" w:type="dxa"/>
          </w:tcPr>
          <w:p w14:paraId="6C56C1FA" w14:textId="23136456" w:rsidR="00D23B25" w:rsidRPr="00205C60" w:rsidRDefault="00D23B25" w:rsidP="0083799F">
            <w:pPr>
              <w:jc w:val="center"/>
              <w:rPr>
                <w:rFonts w:ascii="Verdana" w:hAnsi="Verdana" w:cs="Arial"/>
                <w:sz w:val="16"/>
                <w:szCs w:val="16"/>
              </w:rPr>
            </w:pPr>
            <w:r w:rsidRPr="00205C60">
              <w:rPr>
                <w:rFonts w:ascii="Verdana" w:hAnsi="Verdana" w:cs="Arial"/>
                <w:sz w:val="16"/>
                <w:szCs w:val="16"/>
              </w:rPr>
              <w:t>Dic 201</w:t>
            </w:r>
            <w:r w:rsidR="00A92A59" w:rsidRPr="00205C60">
              <w:rPr>
                <w:rFonts w:ascii="Verdana" w:hAnsi="Verdana" w:cs="Arial"/>
                <w:sz w:val="16"/>
                <w:szCs w:val="16"/>
              </w:rPr>
              <w:t>9</w:t>
            </w:r>
          </w:p>
        </w:tc>
        <w:tc>
          <w:tcPr>
            <w:tcW w:w="1303" w:type="dxa"/>
          </w:tcPr>
          <w:p w14:paraId="575C8855" w14:textId="6E2974E6" w:rsidR="00D23B25" w:rsidRPr="00205C60" w:rsidRDefault="00D23B25" w:rsidP="0083799F">
            <w:pPr>
              <w:jc w:val="center"/>
              <w:rPr>
                <w:rFonts w:ascii="Verdana" w:hAnsi="Verdana" w:cs="Arial"/>
                <w:sz w:val="16"/>
                <w:szCs w:val="16"/>
              </w:rPr>
            </w:pPr>
            <w:r w:rsidRPr="00205C60">
              <w:rPr>
                <w:rFonts w:ascii="Verdana" w:hAnsi="Verdana" w:cs="Arial"/>
                <w:sz w:val="16"/>
                <w:szCs w:val="16"/>
              </w:rPr>
              <w:t>Dic 20</w:t>
            </w:r>
            <w:r w:rsidR="00A92A59" w:rsidRPr="00205C60">
              <w:rPr>
                <w:rFonts w:ascii="Verdana" w:hAnsi="Verdana" w:cs="Arial"/>
                <w:sz w:val="16"/>
                <w:szCs w:val="16"/>
              </w:rPr>
              <w:t>20</w:t>
            </w:r>
          </w:p>
        </w:tc>
        <w:tc>
          <w:tcPr>
            <w:tcW w:w="1303" w:type="dxa"/>
          </w:tcPr>
          <w:p w14:paraId="13E7101B" w14:textId="27CD06A4" w:rsidR="00D23B25" w:rsidRPr="00205C60" w:rsidRDefault="00D23B25" w:rsidP="0083799F">
            <w:pPr>
              <w:jc w:val="center"/>
              <w:rPr>
                <w:rFonts w:ascii="Verdana" w:hAnsi="Verdana" w:cs="Arial"/>
                <w:sz w:val="16"/>
                <w:szCs w:val="16"/>
              </w:rPr>
            </w:pPr>
            <w:r w:rsidRPr="00205C60">
              <w:rPr>
                <w:rFonts w:ascii="Verdana" w:hAnsi="Verdana" w:cs="Arial"/>
                <w:sz w:val="16"/>
                <w:szCs w:val="16"/>
              </w:rPr>
              <w:t>Dic 202</w:t>
            </w:r>
            <w:r w:rsidR="00A92A59" w:rsidRPr="00205C60">
              <w:rPr>
                <w:rFonts w:ascii="Verdana" w:hAnsi="Verdana" w:cs="Arial"/>
                <w:sz w:val="16"/>
                <w:szCs w:val="16"/>
              </w:rPr>
              <w:t>1</w:t>
            </w:r>
          </w:p>
        </w:tc>
        <w:tc>
          <w:tcPr>
            <w:tcW w:w="1303" w:type="dxa"/>
          </w:tcPr>
          <w:p w14:paraId="22618C84" w14:textId="1D4849AD" w:rsidR="00D23B25" w:rsidRPr="00205C60" w:rsidRDefault="00D23B25" w:rsidP="0083799F">
            <w:pPr>
              <w:jc w:val="center"/>
              <w:rPr>
                <w:rFonts w:ascii="Verdana" w:hAnsi="Verdana" w:cs="Arial"/>
                <w:sz w:val="16"/>
                <w:szCs w:val="16"/>
              </w:rPr>
            </w:pPr>
            <w:r w:rsidRPr="00205C60">
              <w:rPr>
                <w:rFonts w:ascii="Verdana" w:hAnsi="Verdana" w:cs="Arial"/>
                <w:sz w:val="16"/>
                <w:szCs w:val="16"/>
              </w:rPr>
              <w:t>Dic 202</w:t>
            </w:r>
            <w:r w:rsidR="00A92A59" w:rsidRPr="00205C60">
              <w:rPr>
                <w:rFonts w:ascii="Verdana" w:hAnsi="Verdana" w:cs="Arial"/>
                <w:sz w:val="16"/>
                <w:szCs w:val="16"/>
              </w:rPr>
              <w:t>2</w:t>
            </w:r>
          </w:p>
        </w:tc>
      </w:tr>
      <w:tr w:rsidR="00BB34CC" w:rsidRPr="00205C60" w14:paraId="15F315BC" w14:textId="77777777" w:rsidTr="00D23B25">
        <w:tc>
          <w:tcPr>
            <w:tcW w:w="1302" w:type="dxa"/>
          </w:tcPr>
          <w:p w14:paraId="3F80A43C" w14:textId="5129B0D9" w:rsidR="00BB34CC" w:rsidRPr="00205C60" w:rsidRDefault="00BB34CC" w:rsidP="00BB34CC">
            <w:pPr>
              <w:jc w:val="both"/>
              <w:rPr>
                <w:rFonts w:ascii="Verdana" w:hAnsi="Verdana" w:cs="Arial"/>
                <w:sz w:val="16"/>
                <w:szCs w:val="16"/>
              </w:rPr>
            </w:pPr>
            <w:r w:rsidRPr="00205C60">
              <w:rPr>
                <w:rFonts w:ascii="Verdana" w:hAnsi="Verdana" w:cs="Arial"/>
                <w:sz w:val="16"/>
                <w:szCs w:val="16"/>
              </w:rPr>
              <w:t>Emisión Bonos Serie B</w:t>
            </w:r>
          </w:p>
        </w:tc>
        <w:tc>
          <w:tcPr>
            <w:tcW w:w="1302" w:type="dxa"/>
          </w:tcPr>
          <w:p w14:paraId="45297886" w14:textId="4F1414B0" w:rsidR="00BB34CC" w:rsidRPr="00205C60" w:rsidRDefault="00BB34CC" w:rsidP="00BB34CC">
            <w:pPr>
              <w:jc w:val="right"/>
              <w:rPr>
                <w:rFonts w:ascii="Verdana" w:hAnsi="Verdana" w:cs="Arial"/>
                <w:sz w:val="16"/>
                <w:szCs w:val="16"/>
              </w:rPr>
            </w:pPr>
            <w:r w:rsidRPr="00205C60">
              <w:rPr>
                <w:rFonts w:ascii="Verdana" w:hAnsi="Verdana" w:cs="Arial"/>
                <w:sz w:val="16"/>
                <w:szCs w:val="16"/>
              </w:rPr>
              <w:t>37.300.000</w:t>
            </w:r>
          </w:p>
        </w:tc>
        <w:tc>
          <w:tcPr>
            <w:tcW w:w="1303" w:type="dxa"/>
          </w:tcPr>
          <w:p w14:paraId="630187A4" w14:textId="206DCCB5" w:rsidR="00BB34CC" w:rsidRPr="00205C60" w:rsidRDefault="00BB34CC" w:rsidP="00BB34CC">
            <w:pPr>
              <w:jc w:val="right"/>
              <w:rPr>
                <w:rFonts w:ascii="Verdana" w:hAnsi="Verdana" w:cs="Arial"/>
                <w:sz w:val="16"/>
                <w:szCs w:val="16"/>
              </w:rPr>
            </w:pPr>
            <w:r w:rsidRPr="00205C60">
              <w:rPr>
                <w:rFonts w:ascii="Verdana" w:hAnsi="Verdana" w:cs="Arial"/>
                <w:sz w:val="16"/>
                <w:szCs w:val="16"/>
              </w:rPr>
              <w:t>37.300.000</w:t>
            </w:r>
          </w:p>
        </w:tc>
        <w:tc>
          <w:tcPr>
            <w:tcW w:w="1303" w:type="dxa"/>
          </w:tcPr>
          <w:p w14:paraId="4CBD8C0C" w14:textId="2022C8E5" w:rsidR="00BB34CC" w:rsidRPr="00205C60" w:rsidRDefault="00BB34CC" w:rsidP="00BB34CC">
            <w:pPr>
              <w:jc w:val="right"/>
              <w:rPr>
                <w:rFonts w:ascii="Verdana" w:hAnsi="Verdana" w:cs="Arial"/>
                <w:sz w:val="16"/>
                <w:szCs w:val="16"/>
              </w:rPr>
            </w:pPr>
            <w:r w:rsidRPr="00205C60">
              <w:rPr>
                <w:rFonts w:ascii="Verdana" w:hAnsi="Verdana" w:cs="Arial"/>
                <w:sz w:val="16"/>
                <w:szCs w:val="16"/>
              </w:rPr>
              <w:t>37.300.000</w:t>
            </w:r>
          </w:p>
        </w:tc>
        <w:tc>
          <w:tcPr>
            <w:tcW w:w="1303" w:type="dxa"/>
          </w:tcPr>
          <w:p w14:paraId="1EB290A9" w14:textId="195F100D" w:rsidR="00BB34CC" w:rsidRPr="00205C60" w:rsidRDefault="00BB34CC" w:rsidP="00BB34CC">
            <w:pPr>
              <w:jc w:val="right"/>
              <w:rPr>
                <w:rFonts w:ascii="Verdana" w:hAnsi="Verdana" w:cs="Arial"/>
                <w:sz w:val="16"/>
                <w:szCs w:val="16"/>
              </w:rPr>
            </w:pPr>
            <w:r w:rsidRPr="00205C60">
              <w:rPr>
                <w:rFonts w:ascii="Verdana" w:hAnsi="Verdana" w:cs="Arial"/>
                <w:sz w:val="16"/>
                <w:szCs w:val="16"/>
              </w:rPr>
              <w:t>37.300.000</w:t>
            </w:r>
          </w:p>
        </w:tc>
        <w:tc>
          <w:tcPr>
            <w:tcW w:w="1303" w:type="dxa"/>
          </w:tcPr>
          <w:p w14:paraId="4364773D" w14:textId="281C4194" w:rsidR="00BB34CC" w:rsidRPr="00205C60" w:rsidRDefault="00BB34CC" w:rsidP="00BB34CC">
            <w:pPr>
              <w:jc w:val="right"/>
              <w:rPr>
                <w:rFonts w:ascii="Verdana" w:hAnsi="Verdana" w:cs="Arial"/>
                <w:sz w:val="16"/>
                <w:szCs w:val="16"/>
              </w:rPr>
            </w:pPr>
            <w:r w:rsidRPr="00205C60">
              <w:rPr>
                <w:rFonts w:ascii="Verdana" w:hAnsi="Verdana" w:cs="Arial"/>
                <w:sz w:val="16"/>
                <w:szCs w:val="16"/>
              </w:rPr>
              <w:t>37.300.000</w:t>
            </w:r>
          </w:p>
        </w:tc>
        <w:tc>
          <w:tcPr>
            <w:tcW w:w="1303" w:type="dxa"/>
          </w:tcPr>
          <w:p w14:paraId="003F42D2" w14:textId="2A9E184C" w:rsidR="00BB34CC" w:rsidRPr="00205C60" w:rsidRDefault="00BB34CC" w:rsidP="00BB34CC">
            <w:pPr>
              <w:jc w:val="right"/>
              <w:rPr>
                <w:rFonts w:ascii="Verdana" w:hAnsi="Verdana" w:cs="Arial"/>
                <w:sz w:val="16"/>
                <w:szCs w:val="16"/>
              </w:rPr>
            </w:pPr>
            <w:r w:rsidRPr="00205C60">
              <w:rPr>
                <w:rFonts w:ascii="Verdana" w:hAnsi="Verdana" w:cs="Arial"/>
                <w:sz w:val="16"/>
                <w:szCs w:val="16"/>
              </w:rPr>
              <w:t>37.300.000</w:t>
            </w:r>
          </w:p>
        </w:tc>
      </w:tr>
      <w:tr w:rsidR="00BB34CC" w:rsidRPr="00205C60" w14:paraId="66334A4C" w14:textId="77777777" w:rsidTr="00D23B25">
        <w:tc>
          <w:tcPr>
            <w:tcW w:w="1302" w:type="dxa"/>
          </w:tcPr>
          <w:p w14:paraId="29957D8E" w14:textId="2236F8D8" w:rsidR="00BB34CC" w:rsidRPr="00205C60" w:rsidRDefault="00BB34CC" w:rsidP="00BB34CC">
            <w:pPr>
              <w:jc w:val="both"/>
              <w:rPr>
                <w:rFonts w:ascii="Verdana" w:hAnsi="Verdana" w:cs="Arial"/>
                <w:sz w:val="16"/>
                <w:szCs w:val="16"/>
              </w:rPr>
            </w:pPr>
            <w:r w:rsidRPr="00205C60">
              <w:rPr>
                <w:rFonts w:ascii="Verdana" w:hAnsi="Verdana" w:cs="Arial"/>
                <w:sz w:val="16"/>
                <w:szCs w:val="16"/>
              </w:rPr>
              <w:t>Pasivo total</w:t>
            </w:r>
          </w:p>
        </w:tc>
        <w:tc>
          <w:tcPr>
            <w:tcW w:w="1302" w:type="dxa"/>
          </w:tcPr>
          <w:p w14:paraId="66FE7187" w14:textId="00563F8A" w:rsidR="00BB34CC" w:rsidRPr="00205C60" w:rsidRDefault="00BB34CC" w:rsidP="00BB34CC">
            <w:pPr>
              <w:jc w:val="right"/>
              <w:rPr>
                <w:rFonts w:ascii="Verdana" w:hAnsi="Verdana" w:cs="Arial"/>
                <w:sz w:val="16"/>
                <w:szCs w:val="16"/>
              </w:rPr>
            </w:pPr>
            <w:r w:rsidRPr="00205C60">
              <w:rPr>
                <w:rFonts w:ascii="Verdana" w:hAnsi="Verdana" w:cs="Arial"/>
                <w:sz w:val="16"/>
                <w:szCs w:val="16"/>
              </w:rPr>
              <w:t>313.300.945</w:t>
            </w:r>
          </w:p>
        </w:tc>
        <w:tc>
          <w:tcPr>
            <w:tcW w:w="1303" w:type="dxa"/>
          </w:tcPr>
          <w:p w14:paraId="4A563C42" w14:textId="5D0A1927" w:rsidR="00BB34CC" w:rsidRPr="00205C60" w:rsidRDefault="00BB34CC" w:rsidP="00BB34CC">
            <w:pPr>
              <w:jc w:val="right"/>
              <w:rPr>
                <w:rFonts w:ascii="Verdana" w:hAnsi="Verdana" w:cs="Arial"/>
                <w:sz w:val="16"/>
                <w:szCs w:val="16"/>
              </w:rPr>
            </w:pPr>
            <w:r w:rsidRPr="00205C60">
              <w:rPr>
                <w:rFonts w:ascii="Verdana" w:hAnsi="Verdana" w:cs="Arial"/>
                <w:sz w:val="16"/>
                <w:szCs w:val="16"/>
              </w:rPr>
              <w:t>414.468.870</w:t>
            </w:r>
          </w:p>
        </w:tc>
        <w:tc>
          <w:tcPr>
            <w:tcW w:w="1303" w:type="dxa"/>
          </w:tcPr>
          <w:p w14:paraId="69527F40" w14:textId="61FBF27C" w:rsidR="00BB34CC" w:rsidRPr="00205C60" w:rsidRDefault="00BB34CC" w:rsidP="00BB34CC">
            <w:pPr>
              <w:jc w:val="right"/>
              <w:rPr>
                <w:rFonts w:ascii="Verdana" w:hAnsi="Verdana" w:cs="Arial"/>
                <w:sz w:val="16"/>
                <w:szCs w:val="16"/>
              </w:rPr>
            </w:pPr>
            <w:r w:rsidRPr="00205C60">
              <w:rPr>
                <w:rFonts w:ascii="Verdana" w:hAnsi="Verdana" w:cs="Arial"/>
                <w:sz w:val="16"/>
                <w:szCs w:val="16"/>
              </w:rPr>
              <w:t>403.697.234</w:t>
            </w:r>
          </w:p>
        </w:tc>
        <w:tc>
          <w:tcPr>
            <w:tcW w:w="1303" w:type="dxa"/>
          </w:tcPr>
          <w:p w14:paraId="1CE89AD6" w14:textId="21CCE715" w:rsidR="00BB34CC" w:rsidRPr="00205C60" w:rsidRDefault="00BB34CC" w:rsidP="00BB34CC">
            <w:pPr>
              <w:jc w:val="right"/>
              <w:rPr>
                <w:rFonts w:ascii="Verdana" w:hAnsi="Verdana" w:cs="Arial"/>
                <w:sz w:val="16"/>
                <w:szCs w:val="16"/>
              </w:rPr>
            </w:pPr>
            <w:r w:rsidRPr="00205C60">
              <w:rPr>
                <w:rFonts w:ascii="Verdana" w:hAnsi="Verdana" w:cs="Arial"/>
                <w:sz w:val="16"/>
                <w:szCs w:val="16"/>
              </w:rPr>
              <w:t>357.253.556</w:t>
            </w:r>
          </w:p>
        </w:tc>
        <w:tc>
          <w:tcPr>
            <w:tcW w:w="1303" w:type="dxa"/>
          </w:tcPr>
          <w:p w14:paraId="2288BC64" w14:textId="7699ED44" w:rsidR="00BB34CC" w:rsidRPr="00205C60" w:rsidRDefault="00BB34CC" w:rsidP="00BB34CC">
            <w:pPr>
              <w:jc w:val="right"/>
              <w:rPr>
                <w:rFonts w:ascii="Verdana" w:hAnsi="Verdana" w:cs="Arial"/>
                <w:sz w:val="16"/>
                <w:szCs w:val="16"/>
              </w:rPr>
            </w:pPr>
            <w:r w:rsidRPr="00205C60">
              <w:rPr>
                <w:rFonts w:ascii="Verdana" w:hAnsi="Verdana" w:cs="Arial"/>
                <w:sz w:val="16"/>
                <w:szCs w:val="16"/>
              </w:rPr>
              <w:t>343.585.974</w:t>
            </w:r>
          </w:p>
        </w:tc>
        <w:tc>
          <w:tcPr>
            <w:tcW w:w="1303" w:type="dxa"/>
          </w:tcPr>
          <w:p w14:paraId="72B00817" w14:textId="34027B1F" w:rsidR="00BB34CC" w:rsidRPr="00205C60" w:rsidRDefault="00BB34CC" w:rsidP="00BB34CC">
            <w:pPr>
              <w:jc w:val="right"/>
              <w:rPr>
                <w:rFonts w:ascii="Verdana" w:hAnsi="Verdana" w:cs="Arial"/>
                <w:sz w:val="16"/>
                <w:szCs w:val="16"/>
              </w:rPr>
            </w:pPr>
            <w:r w:rsidRPr="00205C60">
              <w:rPr>
                <w:rFonts w:ascii="Verdana" w:hAnsi="Verdana" w:cs="Arial"/>
                <w:sz w:val="16"/>
                <w:szCs w:val="16"/>
              </w:rPr>
              <w:t>3</w:t>
            </w:r>
            <w:r w:rsidR="00D43ED9" w:rsidRPr="00205C60">
              <w:rPr>
                <w:rFonts w:ascii="Verdana" w:hAnsi="Verdana" w:cs="Arial"/>
                <w:sz w:val="16"/>
                <w:szCs w:val="16"/>
              </w:rPr>
              <w:t>14</w:t>
            </w:r>
            <w:r w:rsidRPr="00205C60">
              <w:rPr>
                <w:rFonts w:ascii="Verdana" w:hAnsi="Verdana" w:cs="Arial"/>
                <w:sz w:val="16"/>
                <w:szCs w:val="16"/>
              </w:rPr>
              <w:t>.</w:t>
            </w:r>
            <w:r w:rsidR="00D43ED9" w:rsidRPr="00205C60">
              <w:rPr>
                <w:rFonts w:ascii="Verdana" w:hAnsi="Verdana" w:cs="Arial"/>
                <w:sz w:val="16"/>
                <w:szCs w:val="16"/>
              </w:rPr>
              <w:t>412</w:t>
            </w:r>
            <w:r w:rsidRPr="00205C60">
              <w:rPr>
                <w:rFonts w:ascii="Verdana" w:hAnsi="Verdana" w:cs="Arial"/>
                <w:sz w:val="16"/>
                <w:szCs w:val="16"/>
              </w:rPr>
              <w:t>.</w:t>
            </w:r>
            <w:r w:rsidR="00D43ED9" w:rsidRPr="00205C60">
              <w:rPr>
                <w:rFonts w:ascii="Verdana" w:hAnsi="Verdana" w:cs="Arial"/>
                <w:sz w:val="16"/>
                <w:szCs w:val="16"/>
              </w:rPr>
              <w:t>833</w:t>
            </w:r>
          </w:p>
        </w:tc>
      </w:tr>
      <w:tr w:rsidR="00BB34CC" w:rsidRPr="00205C60" w14:paraId="44D6F013" w14:textId="77777777" w:rsidTr="00D23B25">
        <w:tc>
          <w:tcPr>
            <w:tcW w:w="1302" w:type="dxa"/>
          </w:tcPr>
          <w:p w14:paraId="58B62DD5" w14:textId="2689F20B" w:rsidR="00BB34CC" w:rsidRPr="00205C60" w:rsidRDefault="00BB34CC" w:rsidP="00BB34CC">
            <w:pPr>
              <w:jc w:val="both"/>
              <w:rPr>
                <w:rFonts w:ascii="Verdana" w:hAnsi="Verdana" w:cs="Arial"/>
                <w:sz w:val="16"/>
                <w:szCs w:val="16"/>
              </w:rPr>
            </w:pPr>
            <w:r w:rsidRPr="00205C60">
              <w:rPr>
                <w:rFonts w:ascii="Verdana" w:hAnsi="Verdana" w:cs="Arial"/>
                <w:sz w:val="16"/>
                <w:szCs w:val="16"/>
              </w:rPr>
              <w:t>Captación a Pasivo total</w:t>
            </w:r>
          </w:p>
        </w:tc>
        <w:tc>
          <w:tcPr>
            <w:tcW w:w="1302" w:type="dxa"/>
          </w:tcPr>
          <w:p w14:paraId="6009379E" w14:textId="790BE0F9" w:rsidR="00BB34CC" w:rsidRPr="00205C60" w:rsidRDefault="00BB34CC" w:rsidP="00BB34CC">
            <w:pPr>
              <w:jc w:val="right"/>
              <w:rPr>
                <w:rFonts w:ascii="Verdana" w:hAnsi="Verdana" w:cs="Arial"/>
                <w:sz w:val="16"/>
                <w:szCs w:val="16"/>
              </w:rPr>
            </w:pPr>
            <w:r w:rsidRPr="00205C60">
              <w:rPr>
                <w:rFonts w:ascii="Verdana" w:hAnsi="Verdana" w:cs="Arial"/>
                <w:sz w:val="16"/>
                <w:szCs w:val="16"/>
              </w:rPr>
              <w:t>11,91%</w:t>
            </w:r>
          </w:p>
        </w:tc>
        <w:tc>
          <w:tcPr>
            <w:tcW w:w="1303" w:type="dxa"/>
          </w:tcPr>
          <w:p w14:paraId="5CA7902C" w14:textId="63A3EDB1" w:rsidR="00BB34CC" w:rsidRPr="00205C60" w:rsidRDefault="00BB34CC" w:rsidP="00BB34CC">
            <w:pPr>
              <w:jc w:val="right"/>
              <w:rPr>
                <w:rFonts w:ascii="Verdana" w:hAnsi="Verdana" w:cs="Arial"/>
                <w:sz w:val="16"/>
                <w:szCs w:val="16"/>
              </w:rPr>
            </w:pPr>
            <w:r w:rsidRPr="00205C60">
              <w:rPr>
                <w:rFonts w:ascii="Verdana" w:hAnsi="Verdana" w:cs="Arial"/>
                <w:sz w:val="16"/>
                <w:szCs w:val="16"/>
              </w:rPr>
              <w:t>9,00%</w:t>
            </w:r>
          </w:p>
        </w:tc>
        <w:tc>
          <w:tcPr>
            <w:tcW w:w="1303" w:type="dxa"/>
          </w:tcPr>
          <w:p w14:paraId="2352D7C8" w14:textId="6A479275" w:rsidR="00BB34CC" w:rsidRPr="00205C60" w:rsidRDefault="00BB34CC" w:rsidP="00BB34CC">
            <w:pPr>
              <w:jc w:val="right"/>
              <w:rPr>
                <w:rFonts w:ascii="Verdana" w:hAnsi="Verdana" w:cs="Arial"/>
                <w:sz w:val="16"/>
                <w:szCs w:val="16"/>
              </w:rPr>
            </w:pPr>
            <w:r w:rsidRPr="00205C60">
              <w:rPr>
                <w:rFonts w:ascii="Verdana" w:hAnsi="Verdana" w:cs="Arial"/>
                <w:sz w:val="16"/>
                <w:szCs w:val="16"/>
              </w:rPr>
              <w:t>9,24%</w:t>
            </w:r>
          </w:p>
        </w:tc>
        <w:tc>
          <w:tcPr>
            <w:tcW w:w="1303" w:type="dxa"/>
          </w:tcPr>
          <w:p w14:paraId="3C2CC76F" w14:textId="30F88321" w:rsidR="00BB34CC" w:rsidRPr="00205C60" w:rsidRDefault="00BB34CC" w:rsidP="00BB34CC">
            <w:pPr>
              <w:jc w:val="right"/>
              <w:rPr>
                <w:rFonts w:ascii="Verdana" w:hAnsi="Verdana" w:cs="Arial"/>
                <w:sz w:val="16"/>
                <w:szCs w:val="16"/>
              </w:rPr>
            </w:pPr>
            <w:r w:rsidRPr="00205C60">
              <w:rPr>
                <w:rFonts w:ascii="Verdana" w:hAnsi="Verdana" w:cs="Arial"/>
                <w:sz w:val="16"/>
                <w:szCs w:val="16"/>
              </w:rPr>
              <w:t>10,44%</w:t>
            </w:r>
          </w:p>
        </w:tc>
        <w:tc>
          <w:tcPr>
            <w:tcW w:w="1303" w:type="dxa"/>
          </w:tcPr>
          <w:p w14:paraId="1CEBB482" w14:textId="3D6A52E3" w:rsidR="00BB34CC" w:rsidRPr="00205C60" w:rsidRDefault="00BB34CC" w:rsidP="00BB34CC">
            <w:pPr>
              <w:jc w:val="right"/>
              <w:rPr>
                <w:rFonts w:ascii="Verdana" w:hAnsi="Verdana" w:cs="Arial"/>
                <w:sz w:val="16"/>
                <w:szCs w:val="16"/>
              </w:rPr>
            </w:pPr>
            <w:r w:rsidRPr="00205C60">
              <w:rPr>
                <w:rFonts w:ascii="Verdana" w:hAnsi="Verdana" w:cs="Arial"/>
                <w:sz w:val="16"/>
                <w:szCs w:val="16"/>
              </w:rPr>
              <w:t>10,86%</w:t>
            </w:r>
          </w:p>
        </w:tc>
        <w:tc>
          <w:tcPr>
            <w:tcW w:w="1303" w:type="dxa"/>
          </w:tcPr>
          <w:p w14:paraId="1978A822" w14:textId="7716237D" w:rsidR="00BB34CC" w:rsidRPr="00205C60" w:rsidRDefault="00BB34CC" w:rsidP="00BB34CC">
            <w:pPr>
              <w:jc w:val="right"/>
              <w:rPr>
                <w:rFonts w:ascii="Verdana" w:hAnsi="Verdana" w:cs="Arial"/>
                <w:sz w:val="16"/>
                <w:szCs w:val="16"/>
              </w:rPr>
            </w:pPr>
            <w:r w:rsidRPr="00205C60">
              <w:rPr>
                <w:rFonts w:ascii="Verdana" w:hAnsi="Verdana" w:cs="Arial"/>
                <w:sz w:val="16"/>
                <w:szCs w:val="16"/>
              </w:rPr>
              <w:t>1</w:t>
            </w:r>
            <w:r w:rsidR="00D43ED9" w:rsidRPr="00205C60">
              <w:rPr>
                <w:rFonts w:ascii="Verdana" w:hAnsi="Verdana" w:cs="Arial"/>
                <w:sz w:val="16"/>
                <w:szCs w:val="16"/>
              </w:rPr>
              <w:t>1</w:t>
            </w:r>
            <w:r w:rsidRPr="00205C60">
              <w:rPr>
                <w:rFonts w:ascii="Verdana" w:hAnsi="Verdana" w:cs="Arial"/>
                <w:sz w:val="16"/>
                <w:szCs w:val="16"/>
              </w:rPr>
              <w:t>,86%</w:t>
            </w:r>
          </w:p>
        </w:tc>
      </w:tr>
    </w:tbl>
    <w:p w14:paraId="4704BBA3" w14:textId="77777777" w:rsidR="00545427" w:rsidRPr="00205C60" w:rsidRDefault="00545427" w:rsidP="003F4F9D">
      <w:pPr>
        <w:jc w:val="both"/>
        <w:rPr>
          <w:rFonts w:ascii="Verdana" w:hAnsi="Verdana" w:cs="Arial"/>
          <w:sz w:val="22"/>
          <w:szCs w:val="22"/>
        </w:rPr>
      </w:pPr>
    </w:p>
    <w:p w14:paraId="3CA7EDBD" w14:textId="1A3DA0B0" w:rsidR="00A656BA" w:rsidRPr="00205C60" w:rsidRDefault="00A656BA" w:rsidP="002776E2">
      <w:pPr>
        <w:jc w:val="center"/>
        <w:rPr>
          <w:rFonts w:ascii="Verdana" w:hAnsi="Verdana" w:cs="Arial"/>
          <w:b/>
          <w:bCs/>
          <w:sz w:val="22"/>
          <w:szCs w:val="22"/>
        </w:rPr>
      </w:pPr>
    </w:p>
    <w:p w14:paraId="3CA7EDBE" w14:textId="74E6FBC3" w:rsidR="00640F20" w:rsidRPr="00205C60" w:rsidRDefault="00640F20" w:rsidP="00640F20">
      <w:pPr>
        <w:pStyle w:val="Sangradetextonormal"/>
        <w:tabs>
          <w:tab w:val="left" w:pos="360"/>
        </w:tabs>
        <w:spacing w:line="240" w:lineRule="auto"/>
        <w:ind w:left="0"/>
        <w:jc w:val="both"/>
        <w:rPr>
          <w:rFonts w:ascii="Verdana" w:hAnsi="Verdana" w:cs="Arial"/>
          <w:b w:val="0"/>
          <w:bCs/>
          <w:color w:val="auto"/>
          <w:sz w:val="22"/>
          <w:szCs w:val="22"/>
        </w:rPr>
      </w:pPr>
      <w:r w:rsidRPr="00205C60">
        <w:rPr>
          <w:rFonts w:ascii="Verdana" w:hAnsi="Verdana" w:cs="Arial"/>
          <w:b w:val="0"/>
          <w:bCs/>
          <w:color w:val="auto"/>
          <w:sz w:val="22"/>
          <w:szCs w:val="22"/>
        </w:rPr>
        <w:t xml:space="preserve">El 30 de setiembre del 2010 se efectuó la primera colocación del Programa de Emisiones de Bonos Estandarizados Serie B por un monto de </w:t>
      </w:r>
      <w:r w:rsidR="00936992" w:rsidRPr="00205C60">
        <w:rPr>
          <w:rFonts w:ascii="Verdana" w:hAnsi="Verdana" w:cs="Arial"/>
          <w:b w:val="0"/>
          <w:bCs/>
          <w:color w:val="auto"/>
          <w:sz w:val="22"/>
          <w:szCs w:val="22"/>
        </w:rPr>
        <w:t>₡</w:t>
      </w:r>
      <w:r w:rsidRPr="00205C60">
        <w:rPr>
          <w:rFonts w:ascii="Verdana" w:hAnsi="Verdana" w:cs="Arial"/>
          <w:b w:val="0"/>
          <w:bCs/>
          <w:color w:val="auto"/>
          <w:sz w:val="22"/>
          <w:szCs w:val="22"/>
        </w:rPr>
        <w:t xml:space="preserve"> 15.000 millones, mediante subasta pública de valores a través de los mecanismos establecidos para la negociación en la Bolsa Nacional de Valores</w:t>
      </w:r>
      <w:r w:rsidR="00DB7D7D">
        <w:rPr>
          <w:rFonts w:ascii="Verdana" w:hAnsi="Verdana" w:cs="Arial"/>
          <w:b w:val="0"/>
          <w:bCs/>
          <w:color w:val="auto"/>
          <w:sz w:val="22"/>
          <w:szCs w:val="22"/>
        </w:rPr>
        <w:t>,</w:t>
      </w:r>
      <w:r w:rsidRPr="00205C60">
        <w:rPr>
          <w:rFonts w:ascii="Verdana" w:hAnsi="Verdana" w:cs="Arial"/>
          <w:b w:val="0"/>
          <w:bCs/>
          <w:color w:val="auto"/>
          <w:sz w:val="22"/>
          <w:szCs w:val="22"/>
        </w:rPr>
        <w:t xml:space="preserve"> S.A.  </w:t>
      </w:r>
    </w:p>
    <w:p w14:paraId="3CA7EDBF" w14:textId="77777777" w:rsidR="00640F20" w:rsidRPr="00205C60" w:rsidRDefault="00640F20" w:rsidP="00640F20">
      <w:pPr>
        <w:pStyle w:val="Sangradetextonormal"/>
        <w:tabs>
          <w:tab w:val="left" w:pos="360"/>
        </w:tabs>
        <w:spacing w:line="240" w:lineRule="auto"/>
        <w:ind w:left="0"/>
        <w:jc w:val="both"/>
        <w:rPr>
          <w:rFonts w:ascii="Verdana" w:hAnsi="Verdana" w:cs="Arial"/>
          <w:b w:val="0"/>
          <w:bCs/>
          <w:color w:val="auto"/>
          <w:sz w:val="22"/>
          <w:szCs w:val="22"/>
        </w:rPr>
      </w:pPr>
    </w:p>
    <w:p w14:paraId="3CA7EDC0" w14:textId="4177E9B9" w:rsidR="00640F20" w:rsidRPr="00205C60" w:rsidRDefault="00640F20" w:rsidP="00640F20">
      <w:pPr>
        <w:pStyle w:val="Sangradetextonormal"/>
        <w:tabs>
          <w:tab w:val="left" w:pos="360"/>
        </w:tabs>
        <w:ind w:left="0"/>
        <w:jc w:val="both"/>
        <w:rPr>
          <w:rFonts w:ascii="Verdana" w:hAnsi="Verdana" w:cs="Arial"/>
          <w:b w:val="0"/>
          <w:bCs/>
          <w:color w:val="auto"/>
          <w:sz w:val="22"/>
          <w:szCs w:val="22"/>
        </w:rPr>
      </w:pPr>
      <w:r w:rsidRPr="00205C60">
        <w:rPr>
          <w:rFonts w:ascii="Verdana" w:hAnsi="Verdana" w:cs="Arial"/>
          <w:b w:val="0"/>
          <w:bCs/>
          <w:color w:val="auto"/>
          <w:sz w:val="22"/>
          <w:szCs w:val="22"/>
        </w:rPr>
        <w:t xml:space="preserve">En el año 2011, el 28 de junio, se efectuó la segunda colocación mediante una suscripción en firme con el Banco Nacional de Costa Rica también por la suma de </w:t>
      </w:r>
      <w:r w:rsidR="00936992" w:rsidRPr="00205C60">
        <w:rPr>
          <w:rFonts w:ascii="Verdana" w:hAnsi="Verdana" w:cs="Arial"/>
          <w:b w:val="0"/>
          <w:bCs/>
          <w:color w:val="auto"/>
          <w:sz w:val="22"/>
          <w:szCs w:val="22"/>
        </w:rPr>
        <w:t>₡</w:t>
      </w:r>
      <w:r w:rsidRPr="00205C60">
        <w:rPr>
          <w:rFonts w:ascii="Verdana" w:hAnsi="Verdana" w:cs="Arial"/>
          <w:b w:val="0"/>
          <w:bCs/>
          <w:color w:val="auto"/>
          <w:sz w:val="22"/>
          <w:szCs w:val="22"/>
        </w:rPr>
        <w:t>15.000 millones.</w:t>
      </w:r>
    </w:p>
    <w:p w14:paraId="3CA7EDC1" w14:textId="77777777" w:rsidR="001B1DE6" w:rsidRPr="00205C60" w:rsidRDefault="001B1DE6" w:rsidP="00640F20">
      <w:pPr>
        <w:jc w:val="both"/>
        <w:rPr>
          <w:rFonts w:ascii="Verdana" w:hAnsi="Verdana" w:cs="Arial"/>
          <w:b/>
          <w:bCs/>
          <w:sz w:val="22"/>
          <w:szCs w:val="22"/>
          <w:lang w:val="es-CR"/>
        </w:rPr>
      </w:pPr>
    </w:p>
    <w:p w14:paraId="3CA7EDC2" w14:textId="5C555648" w:rsidR="00484E27" w:rsidRPr="00205C60" w:rsidRDefault="00484E27">
      <w:pPr>
        <w:pStyle w:val="Sangradetextonormal"/>
        <w:tabs>
          <w:tab w:val="left" w:pos="360"/>
        </w:tabs>
        <w:ind w:left="0"/>
        <w:jc w:val="both"/>
        <w:rPr>
          <w:rFonts w:ascii="Verdana" w:hAnsi="Verdana" w:cs="Arial"/>
          <w:b w:val="0"/>
          <w:bCs/>
          <w:color w:val="auto"/>
          <w:sz w:val="22"/>
          <w:szCs w:val="22"/>
        </w:rPr>
      </w:pPr>
      <w:r w:rsidRPr="00205C60">
        <w:rPr>
          <w:rFonts w:ascii="Verdana" w:hAnsi="Verdana" w:cs="Arial"/>
          <w:b w:val="0"/>
          <w:bCs/>
          <w:color w:val="auto"/>
          <w:sz w:val="22"/>
          <w:szCs w:val="22"/>
        </w:rPr>
        <w:lastRenderedPageBreak/>
        <w:t xml:space="preserve">En el año 2012, el 25 de enero, se efectuó la tercera colocación mediante subasta pública de valores por un monto de </w:t>
      </w:r>
      <w:r w:rsidR="00936992" w:rsidRPr="00205C60">
        <w:rPr>
          <w:rFonts w:ascii="Verdana" w:hAnsi="Verdana" w:cs="Arial"/>
          <w:b w:val="0"/>
          <w:bCs/>
          <w:color w:val="auto"/>
          <w:sz w:val="22"/>
          <w:szCs w:val="22"/>
        </w:rPr>
        <w:t>₡</w:t>
      </w:r>
      <w:r w:rsidRPr="00205C60">
        <w:rPr>
          <w:rFonts w:ascii="Verdana" w:hAnsi="Verdana" w:cs="Arial"/>
          <w:b w:val="0"/>
          <w:bCs/>
          <w:color w:val="auto"/>
          <w:sz w:val="22"/>
          <w:szCs w:val="22"/>
        </w:rPr>
        <w:t xml:space="preserve"> 12.000 millones, a través de los mecanismos establecidos para la negociación en la Bolsa Nacional de Valores</w:t>
      </w:r>
      <w:r w:rsidR="00DB7D7D">
        <w:rPr>
          <w:rFonts w:ascii="Verdana" w:hAnsi="Verdana" w:cs="Arial"/>
          <w:b w:val="0"/>
          <w:bCs/>
          <w:color w:val="auto"/>
          <w:sz w:val="22"/>
          <w:szCs w:val="22"/>
        </w:rPr>
        <w:t>,</w:t>
      </w:r>
      <w:r w:rsidRPr="00205C60">
        <w:rPr>
          <w:rFonts w:ascii="Verdana" w:hAnsi="Verdana" w:cs="Arial"/>
          <w:b w:val="0"/>
          <w:bCs/>
          <w:color w:val="auto"/>
          <w:sz w:val="22"/>
          <w:szCs w:val="22"/>
        </w:rPr>
        <w:t xml:space="preserve"> S.A.</w:t>
      </w:r>
    </w:p>
    <w:p w14:paraId="3CA7EDC3" w14:textId="77777777" w:rsidR="0092475D" w:rsidRPr="00205C60" w:rsidRDefault="0092475D">
      <w:pPr>
        <w:pStyle w:val="Sangradetextonormal"/>
        <w:tabs>
          <w:tab w:val="left" w:pos="360"/>
        </w:tabs>
        <w:ind w:left="0"/>
        <w:jc w:val="both"/>
        <w:rPr>
          <w:rFonts w:ascii="Verdana" w:hAnsi="Verdana" w:cs="Arial"/>
          <w:b w:val="0"/>
          <w:bCs/>
          <w:color w:val="auto"/>
          <w:sz w:val="22"/>
          <w:szCs w:val="22"/>
        </w:rPr>
      </w:pPr>
    </w:p>
    <w:p w14:paraId="3CA7EDC4" w14:textId="1AE70305" w:rsidR="0092475D" w:rsidRPr="00205C60" w:rsidRDefault="0092475D" w:rsidP="00C4700E">
      <w:pPr>
        <w:pStyle w:val="Sangradetextonormal"/>
        <w:tabs>
          <w:tab w:val="left" w:pos="360"/>
        </w:tabs>
        <w:ind w:left="0"/>
        <w:jc w:val="both"/>
        <w:rPr>
          <w:rFonts w:ascii="Verdana" w:hAnsi="Verdana" w:cs="Arial"/>
          <w:b w:val="0"/>
          <w:bCs/>
          <w:color w:val="auto"/>
          <w:sz w:val="22"/>
          <w:szCs w:val="22"/>
        </w:rPr>
      </w:pPr>
      <w:r w:rsidRPr="00205C60">
        <w:rPr>
          <w:rFonts w:ascii="Verdana" w:hAnsi="Verdana" w:cs="Arial"/>
          <w:b w:val="0"/>
          <w:bCs/>
          <w:color w:val="auto"/>
          <w:sz w:val="22"/>
          <w:szCs w:val="22"/>
        </w:rPr>
        <w:t>En el año 2013, el 16 de mayo, se efectuó la cuarta y última colocación mediante una suscripción en</w:t>
      </w:r>
      <w:r w:rsidR="007D4AD0" w:rsidRPr="00205C60">
        <w:rPr>
          <w:rFonts w:ascii="Verdana" w:hAnsi="Verdana" w:cs="Arial"/>
          <w:b w:val="0"/>
          <w:bCs/>
          <w:color w:val="auto"/>
          <w:sz w:val="22"/>
          <w:szCs w:val="22"/>
        </w:rPr>
        <w:t xml:space="preserve"> </w:t>
      </w:r>
      <w:r w:rsidRPr="00205C60">
        <w:rPr>
          <w:rFonts w:ascii="Verdana" w:hAnsi="Verdana" w:cs="Arial"/>
          <w:b w:val="0"/>
          <w:bCs/>
          <w:color w:val="auto"/>
          <w:sz w:val="22"/>
          <w:szCs w:val="22"/>
        </w:rPr>
        <w:t>firme con el Banco</w:t>
      </w:r>
      <w:r w:rsidR="007D4AD0" w:rsidRPr="00205C60">
        <w:rPr>
          <w:rFonts w:ascii="Verdana" w:hAnsi="Verdana" w:cs="Arial"/>
          <w:b w:val="0"/>
          <w:bCs/>
          <w:color w:val="auto"/>
          <w:sz w:val="22"/>
          <w:szCs w:val="22"/>
        </w:rPr>
        <w:t xml:space="preserve"> </w:t>
      </w:r>
      <w:r w:rsidRPr="00205C60">
        <w:rPr>
          <w:rFonts w:ascii="Verdana" w:hAnsi="Verdana" w:cs="Arial"/>
          <w:b w:val="0"/>
          <w:bCs/>
          <w:color w:val="auto"/>
          <w:sz w:val="22"/>
          <w:szCs w:val="22"/>
        </w:rPr>
        <w:t>Nacional</w:t>
      </w:r>
      <w:r w:rsidR="007D4AD0" w:rsidRPr="00205C60">
        <w:rPr>
          <w:rFonts w:ascii="Verdana" w:hAnsi="Verdana" w:cs="Arial"/>
          <w:b w:val="0"/>
          <w:bCs/>
          <w:color w:val="auto"/>
          <w:sz w:val="22"/>
          <w:szCs w:val="22"/>
        </w:rPr>
        <w:t xml:space="preserve"> </w:t>
      </w:r>
      <w:r w:rsidRPr="00205C60">
        <w:rPr>
          <w:rFonts w:ascii="Verdana" w:hAnsi="Verdana" w:cs="Arial"/>
          <w:b w:val="0"/>
          <w:bCs/>
          <w:color w:val="auto"/>
          <w:sz w:val="22"/>
          <w:szCs w:val="22"/>
        </w:rPr>
        <w:t xml:space="preserve">de Costa Rica </w:t>
      </w:r>
      <w:r w:rsidR="00683133" w:rsidRPr="00205C60">
        <w:rPr>
          <w:rFonts w:ascii="Verdana" w:hAnsi="Verdana" w:cs="Arial"/>
          <w:b w:val="0"/>
          <w:bCs/>
          <w:color w:val="auto"/>
          <w:sz w:val="22"/>
          <w:szCs w:val="22"/>
        </w:rPr>
        <w:t>por la suma de</w:t>
      </w:r>
      <w:r w:rsidR="00C4700E" w:rsidRPr="00205C60">
        <w:rPr>
          <w:rFonts w:ascii="Verdana" w:hAnsi="Verdana" w:cs="Arial"/>
          <w:b w:val="0"/>
          <w:bCs/>
          <w:color w:val="auto"/>
          <w:sz w:val="22"/>
          <w:szCs w:val="22"/>
        </w:rPr>
        <w:t xml:space="preserve"> </w:t>
      </w:r>
      <w:r w:rsidR="00574687" w:rsidRPr="00205C60">
        <w:rPr>
          <w:rFonts w:ascii="Verdana" w:hAnsi="Verdana" w:cs="Arial"/>
          <w:b w:val="0"/>
          <w:bCs/>
          <w:color w:val="auto"/>
          <w:sz w:val="22"/>
          <w:szCs w:val="22"/>
        </w:rPr>
        <w:t>₡</w:t>
      </w:r>
      <w:r w:rsidR="00683133" w:rsidRPr="00205C60">
        <w:rPr>
          <w:rFonts w:ascii="Verdana" w:hAnsi="Verdana" w:cs="Arial"/>
          <w:b w:val="0"/>
          <w:bCs/>
          <w:color w:val="auto"/>
          <w:sz w:val="22"/>
          <w:szCs w:val="22"/>
        </w:rPr>
        <w:t>10.300 millones.</w:t>
      </w:r>
    </w:p>
    <w:p w14:paraId="3CA7EDC5" w14:textId="77777777" w:rsidR="001B1DE6" w:rsidRPr="00205C60" w:rsidRDefault="001B1DE6" w:rsidP="00C4700E">
      <w:pPr>
        <w:pStyle w:val="Sangradetextonormal"/>
        <w:tabs>
          <w:tab w:val="left" w:pos="360"/>
        </w:tabs>
        <w:ind w:left="0"/>
        <w:jc w:val="both"/>
        <w:rPr>
          <w:rFonts w:ascii="Verdana" w:hAnsi="Verdana" w:cs="Arial"/>
          <w:b w:val="0"/>
          <w:bCs/>
          <w:color w:val="auto"/>
          <w:sz w:val="22"/>
          <w:szCs w:val="22"/>
        </w:rPr>
      </w:pPr>
    </w:p>
    <w:p w14:paraId="3CA7EDC6" w14:textId="77777777" w:rsidR="00172939" w:rsidRPr="00205C60" w:rsidRDefault="00172939" w:rsidP="00C4700E">
      <w:pPr>
        <w:pStyle w:val="Sangradetextonormal"/>
        <w:tabs>
          <w:tab w:val="left" w:pos="360"/>
        </w:tabs>
        <w:ind w:left="0"/>
        <w:jc w:val="both"/>
        <w:rPr>
          <w:rFonts w:ascii="Verdana" w:hAnsi="Verdana" w:cs="Arial"/>
          <w:b w:val="0"/>
          <w:bCs/>
          <w:color w:val="auto"/>
          <w:sz w:val="22"/>
          <w:szCs w:val="22"/>
        </w:rPr>
      </w:pPr>
      <w:r w:rsidRPr="00205C60">
        <w:rPr>
          <w:rFonts w:ascii="Verdana" w:hAnsi="Verdana" w:cs="Arial"/>
          <w:b w:val="0"/>
          <w:bCs/>
          <w:color w:val="auto"/>
          <w:sz w:val="22"/>
          <w:szCs w:val="22"/>
        </w:rPr>
        <w:t>La primera colocación de bonos fue cancelada a los tenedores de los títulos el día 30 de setiembre del 2017.</w:t>
      </w:r>
    </w:p>
    <w:p w14:paraId="3CA7EDC7" w14:textId="77777777" w:rsidR="00172939" w:rsidRPr="00205C60" w:rsidRDefault="00172939" w:rsidP="00C4700E">
      <w:pPr>
        <w:pStyle w:val="Sangradetextonormal"/>
        <w:tabs>
          <w:tab w:val="left" w:pos="360"/>
        </w:tabs>
        <w:ind w:left="0"/>
        <w:jc w:val="both"/>
        <w:rPr>
          <w:rFonts w:ascii="Verdana" w:hAnsi="Verdana" w:cs="Arial"/>
          <w:b w:val="0"/>
          <w:bCs/>
          <w:color w:val="auto"/>
          <w:sz w:val="22"/>
          <w:szCs w:val="22"/>
        </w:rPr>
      </w:pPr>
    </w:p>
    <w:p w14:paraId="3CA7EDC8" w14:textId="77777777" w:rsidR="00A90325" w:rsidRPr="00205C60" w:rsidRDefault="001B1DE6" w:rsidP="00C4700E">
      <w:pPr>
        <w:pStyle w:val="Sangradetextonormal"/>
        <w:tabs>
          <w:tab w:val="left" w:pos="360"/>
        </w:tabs>
        <w:ind w:left="0"/>
        <w:jc w:val="both"/>
        <w:rPr>
          <w:rFonts w:ascii="Verdana" w:hAnsi="Verdana" w:cs="Arial"/>
          <w:b w:val="0"/>
          <w:bCs/>
          <w:color w:val="000000" w:themeColor="text1"/>
          <w:sz w:val="22"/>
          <w:szCs w:val="22"/>
        </w:rPr>
      </w:pPr>
      <w:r w:rsidRPr="00205C60">
        <w:rPr>
          <w:rFonts w:ascii="Verdana" w:hAnsi="Verdana" w:cs="Arial"/>
          <w:b w:val="0"/>
          <w:bCs/>
          <w:color w:val="000000" w:themeColor="text1"/>
          <w:sz w:val="22"/>
          <w:szCs w:val="22"/>
        </w:rPr>
        <w:t xml:space="preserve">Como se puede observar, de los resultados obtenidos en el </w:t>
      </w:r>
      <w:r w:rsidR="00A967CC" w:rsidRPr="00205C60">
        <w:rPr>
          <w:rFonts w:ascii="Verdana" w:hAnsi="Verdana" w:cs="Arial"/>
          <w:b w:val="0"/>
          <w:bCs/>
          <w:color w:val="000000" w:themeColor="text1"/>
          <w:sz w:val="22"/>
          <w:szCs w:val="22"/>
        </w:rPr>
        <w:t>período</w:t>
      </w:r>
      <w:r w:rsidRPr="00205C60">
        <w:rPr>
          <w:rFonts w:ascii="Verdana" w:hAnsi="Verdana" w:cs="Arial"/>
          <w:b w:val="0"/>
          <w:bCs/>
          <w:color w:val="000000" w:themeColor="text1"/>
          <w:sz w:val="22"/>
          <w:szCs w:val="22"/>
        </w:rPr>
        <w:t xml:space="preserve"> considerado, la captación de bonos serie B representa</w:t>
      </w:r>
      <w:r w:rsidR="00262FAF" w:rsidRPr="00205C60">
        <w:rPr>
          <w:rFonts w:ascii="Verdana" w:hAnsi="Verdana" w:cs="Arial"/>
          <w:b w:val="0"/>
          <w:bCs/>
          <w:color w:val="000000" w:themeColor="text1"/>
          <w:sz w:val="22"/>
          <w:szCs w:val="22"/>
        </w:rPr>
        <w:t>ba</w:t>
      </w:r>
      <w:r w:rsidRPr="00205C60">
        <w:rPr>
          <w:rFonts w:ascii="Verdana" w:hAnsi="Verdana" w:cs="Arial"/>
          <w:b w:val="0"/>
          <w:bCs/>
          <w:color w:val="000000" w:themeColor="text1"/>
          <w:sz w:val="22"/>
          <w:szCs w:val="22"/>
        </w:rPr>
        <w:t xml:space="preserve"> una proporción poco significativa del pasivo total de la Compañía</w:t>
      </w:r>
      <w:r w:rsidR="00A90325" w:rsidRPr="00205C60">
        <w:rPr>
          <w:rFonts w:ascii="Verdana" w:hAnsi="Verdana" w:cs="Arial"/>
          <w:b w:val="0"/>
          <w:bCs/>
          <w:color w:val="000000" w:themeColor="text1"/>
          <w:sz w:val="22"/>
          <w:szCs w:val="22"/>
        </w:rPr>
        <w:t>.</w:t>
      </w:r>
    </w:p>
    <w:p w14:paraId="6EA5BDCA" w14:textId="330E1C78" w:rsidR="00AB5C01" w:rsidRPr="00205C60" w:rsidRDefault="00AB5C01" w:rsidP="00CD2E3D">
      <w:pPr>
        <w:jc w:val="both"/>
        <w:outlineLvl w:val="2"/>
        <w:rPr>
          <w:rFonts w:ascii="Verdana" w:hAnsi="Verdana" w:cs="Arial"/>
          <w:b/>
          <w:bCs/>
          <w:sz w:val="22"/>
          <w:szCs w:val="22"/>
          <w:lang w:val="es-CR"/>
        </w:rPr>
      </w:pPr>
    </w:p>
    <w:p w14:paraId="3F67082D" w14:textId="290C4982" w:rsidR="00AB5C01" w:rsidRPr="00205C60" w:rsidRDefault="00AB5C01" w:rsidP="00CD2E3D">
      <w:pPr>
        <w:jc w:val="both"/>
        <w:outlineLvl w:val="2"/>
        <w:rPr>
          <w:rFonts w:ascii="Verdana" w:hAnsi="Verdana" w:cs="Arial"/>
          <w:b/>
          <w:bCs/>
          <w:color w:val="FF0000"/>
          <w:sz w:val="22"/>
          <w:szCs w:val="22"/>
          <w:lang w:val="es-CR"/>
        </w:rPr>
      </w:pPr>
    </w:p>
    <w:p w14:paraId="3CA7EDCA" w14:textId="77777777" w:rsidR="007936B6" w:rsidRPr="00205C60" w:rsidRDefault="007936B6" w:rsidP="00CD2E3D">
      <w:pPr>
        <w:jc w:val="both"/>
        <w:outlineLvl w:val="2"/>
        <w:rPr>
          <w:rFonts w:ascii="Verdana" w:hAnsi="Verdana" w:cs="Arial"/>
          <w:b/>
          <w:bCs/>
          <w:sz w:val="22"/>
          <w:szCs w:val="22"/>
          <w:lang w:val="es-CR"/>
        </w:rPr>
      </w:pPr>
    </w:p>
    <w:p w14:paraId="3CA7EDCB" w14:textId="77777777" w:rsidR="00B44125" w:rsidRPr="00205C60" w:rsidRDefault="00B44125" w:rsidP="00882F32">
      <w:pPr>
        <w:pStyle w:val="Ttulo2"/>
        <w:numPr>
          <w:ilvl w:val="3"/>
          <w:numId w:val="23"/>
        </w:numPr>
        <w:tabs>
          <w:tab w:val="clear" w:pos="708"/>
          <w:tab w:val="clear" w:pos="1241"/>
          <w:tab w:val="clear" w:pos="2480"/>
          <w:tab w:val="clear" w:pos="4181"/>
          <w:tab w:val="clear" w:pos="4536"/>
          <w:tab w:val="clear" w:pos="5103"/>
          <w:tab w:val="left" w:pos="1276"/>
          <w:tab w:val="left" w:pos="3828"/>
        </w:tabs>
        <w:spacing w:line="120" w:lineRule="atLeast"/>
        <w:ind w:right="142"/>
        <w:rPr>
          <w:rFonts w:ascii="Verdana" w:hAnsi="Verdana" w:cs="Arial"/>
          <w:sz w:val="22"/>
          <w:szCs w:val="22"/>
        </w:rPr>
      </w:pPr>
      <w:bookmarkStart w:id="108" w:name="_Toc104529463"/>
      <w:r w:rsidRPr="00205C60">
        <w:rPr>
          <w:rFonts w:ascii="Verdana" w:hAnsi="Verdana" w:cs="Arial"/>
          <w:sz w:val="22"/>
          <w:szCs w:val="22"/>
        </w:rPr>
        <w:t>Capitalización</w:t>
      </w:r>
      <w:bookmarkEnd w:id="108"/>
    </w:p>
    <w:p w14:paraId="3CA7EDCC" w14:textId="77777777" w:rsidR="00B44125" w:rsidRPr="00205C60" w:rsidRDefault="00B44125">
      <w:pPr>
        <w:jc w:val="both"/>
        <w:rPr>
          <w:rFonts w:ascii="Verdana" w:hAnsi="Verdana" w:cs="Arial"/>
          <w:sz w:val="22"/>
          <w:szCs w:val="22"/>
          <w:lang w:val="es-CR"/>
        </w:rPr>
      </w:pPr>
    </w:p>
    <w:p w14:paraId="3CA7EDCD" w14:textId="77777777" w:rsidR="001E183B" w:rsidRPr="00205C60" w:rsidRDefault="001E183B">
      <w:pPr>
        <w:jc w:val="both"/>
        <w:rPr>
          <w:rFonts w:ascii="Verdana" w:hAnsi="Verdana" w:cs="Arial"/>
          <w:sz w:val="22"/>
          <w:szCs w:val="22"/>
          <w:lang w:val="es-CR"/>
        </w:rPr>
      </w:pPr>
    </w:p>
    <w:p w14:paraId="3CA7EDCE" w14:textId="77777777" w:rsidR="00B44125" w:rsidRPr="00205C60" w:rsidRDefault="00B44125" w:rsidP="00882F32">
      <w:pPr>
        <w:pStyle w:val="Prrafodelista"/>
        <w:numPr>
          <w:ilvl w:val="0"/>
          <w:numId w:val="29"/>
        </w:numPr>
        <w:rPr>
          <w:rFonts w:ascii="Verdana" w:hAnsi="Verdana" w:cs="Arial"/>
          <w:b/>
          <w:sz w:val="22"/>
          <w:szCs w:val="22"/>
        </w:rPr>
      </w:pPr>
      <w:r w:rsidRPr="00205C60">
        <w:rPr>
          <w:rFonts w:ascii="Verdana" w:hAnsi="Verdana" w:cs="Arial"/>
          <w:b/>
          <w:sz w:val="22"/>
          <w:szCs w:val="22"/>
        </w:rPr>
        <w:t>Fuentes de capitalización y composición del capital social</w:t>
      </w:r>
    </w:p>
    <w:p w14:paraId="3CA7EDD0" w14:textId="77777777" w:rsidR="00A656BA" w:rsidRPr="00205C60" w:rsidRDefault="00A656BA" w:rsidP="00CA6044">
      <w:pPr>
        <w:pStyle w:val="Prrafodelista"/>
        <w:ind w:left="720"/>
        <w:jc w:val="both"/>
        <w:rPr>
          <w:rFonts w:ascii="Verdana" w:hAnsi="Verdana" w:cs="Arial"/>
          <w:b/>
          <w:sz w:val="22"/>
          <w:szCs w:val="22"/>
          <w:lang w:val="es-CR"/>
        </w:rPr>
      </w:pPr>
    </w:p>
    <w:p w14:paraId="3CA7EDD1" w14:textId="5460A3AF" w:rsidR="00D37B6E" w:rsidRPr="00205C60" w:rsidRDefault="002A6DAC">
      <w:pPr>
        <w:jc w:val="both"/>
        <w:rPr>
          <w:rFonts w:ascii="Verdana" w:hAnsi="Verdana" w:cs="Arial"/>
          <w:sz w:val="22"/>
          <w:szCs w:val="22"/>
          <w:lang w:val="es-CR"/>
        </w:rPr>
      </w:pPr>
      <w:r w:rsidRPr="00205C60">
        <w:rPr>
          <w:rFonts w:ascii="Verdana" w:hAnsi="Verdana" w:cs="Arial"/>
          <w:sz w:val="22"/>
          <w:szCs w:val="22"/>
          <w:lang w:val="es-CR"/>
        </w:rPr>
        <w:t xml:space="preserve">Antes del año 1968 la Compañía Nacional de Fuerza y Luz, S.A. fue de capital norteamericano </w:t>
      </w:r>
      <w:r w:rsidR="00B76664" w:rsidRPr="00205C60">
        <w:rPr>
          <w:rFonts w:ascii="Verdana" w:hAnsi="Verdana" w:cs="Arial"/>
          <w:sz w:val="22"/>
          <w:szCs w:val="22"/>
          <w:lang w:val="es-CR"/>
        </w:rPr>
        <w:t xml:space="preserve">con participación de algunos </w:t>
      </w:r>
      <w:r w:rsidR="00E020D6" w:rsidRPr="00205C60">
        <w:rPr>
          <w:rFonts w:ascii="Verdana" w:hAnsi="Verdana" w:cs="Arial"/>
          <w:sz w:val="22"/>
          <w:szCs w:val="22"/>
          <w:lang w:val="es-CR"/>
        </w:rPr>
        <w:t>particulares,</w:t>
      </w:r>
      <w:r w:rsidR="00B76664" w:rsidRPr="00205C60">
        <w:rPr>
          <w:rFonts w:ascii="Verdana" w:hAnsi="Verdana" w:cs="Arial"/>
          <w:sz w:val="22"/>
          <w:szCs w:val="22"/>
          <w:lang w:val="es-CR"/>
        </w:rPr>
        <w:t xml:space="preserve"> </w:t>
      </w:r>
      <w:r w:rsidRPr="00205C60">
        <w:rPr>
          <w:rFonts w:ascii="Verdana" w:hAnsi="Verdana" w:cs="Arial"/>
          <w:sz w:val="22"/>
          <w:szCs w:val="22"/>
          <w:lang w:val="es-CR"/>
        </w:rPr>
        <w:t xml:space="preserve">pero mediante </w:t>
      </w:r>
      <w:r w:rsidR="00F47B60" w:rsidRPr="00205C60">
        <w:rPr>
          <w:rFonts w:ascii="Verdana" w:hAnsi="Verdana" w:cs="Arial"/>
          <w:sz w:val="22"/>
          <w:szCs w:val="22"/>
          <w:lang w:val="es-CR"/>
        </w:rPr>
        <w:t xml:space="preserve">Ley # 4197 </w:t>
      </w:r>
      <w:r w:rsidRPr="00205C60">
        <w:rPr>
          <w:rFonts w:ascii="Verdana" w:hAnsi="Verdana" w:cs="Arial"/>
          <w:sz w:val="22"/>
          <w:szCs w:val="22"/>
          <w:lang w:val="es-CR"/>
        </w:rPr>
        <w:t xml:space="preserve">del 20 de setiembre de 1968 </w:t>
      </w:r>
      <w:r w:rsidR="00F47B60" w:rsidRPr="00205C60">
        <w:rPr>
          <w:rFonts w:ascii="Verdana" w:hAnsi="Verdana" w:cs="Arial"/>
          <w:sz w:val="22"/>
          <w:szCs w:val="22"/>
          <w:lang w:val="es-CR"/>
        </w:rPr>
        <w:t>se autorizó la compra de las acciones en propiedad de extranjeros por parte del Instituto Costarricense</w:t>
      </w:r>
      <w:r w:rsidR="0012298D" w:rsidRPr="00205C60">
        <w:rPr>
          <w:rFonts w:ascii="Verdana" w:hAnsi="Verdana" w:cs="Arial"/>
          <w:sz w:val="22"/>
          <w:szCs w:val="22"/>
          <w:lang w:val="es-CR"/>
        </w:rPr>
        <w:t xml:space="preserve"> de Electricidad</w:t>
      </w:r>
      <w:r w:rsidR="00F47B60" w:rsidRPr="00205C60">
        <w:rPr>
          <w:rFonts w:ascii="Verdana" w:hAnsi="Verdana" w:cs="Arial"/>
          <w:sz w:val="22"/>
          <w:szCs w:val="22"/>
          <w:lang w:val="es-CR"/>
        </w:rPr>
        <w:t xml:space="preserve">. </w:t>
      </w:r>
    </w:p>
    <w:p w14:paraId="3CA7EDD2" w14:textId="77777777" w:rsidR="00D37B6E" w:rsidRPr="00205C60" w:rsidRDefault="00D37B6E">
      <w:pPr>
        <w:jc w:val="both"/>
        <w:rPr>
          <w:rFonts w:ascii="Verdana" w:hAnsi="Verdana" w:cs="Arial"/>
          <w:sz w:val="22"/>
          <w:szCs w:val="22"/>
          <w:lang w:val="es-CR"/>
        </w:rPr>
      </w:pPr>
    </w:p>
    <w:p w14:paraId="3CA7EDD3" w14:textId="753C8FAC" w:rsidR="00DB285A" w:rsidRPr="00205C60" w:rsidRDefault="00DB285A">
      <w:pPr>
        <w:jc w:val="both"/>
        <w:rPr>
          <w:rFonts w:ascii="Verdana" w:hAnsi="Verdana" w:cs="Arial"/>
          <w:sz w:val="22"/>
          <w:szCs w:val="22"/>
          <w:lang w:val="es-CR"/>
        </w:rPr>
      </w:pPr>
      <w:r w:rsidRPr="00205C60">
        <w:rPr>
          <w:rFonts w:ascii="Verdana" w:hAnsi="Verdana" w:cs="Arial"/>
          <w:sz w:val="22"/>
          <w:szCs w:val="22"/>
          <w:lang w:val="es-CR"/>
        </w:rPr>
        <w:t>Hasta mediados del año 2004 las acciones comunes propiedad del ICE fueron de 51.257</w:t>
      </w:r>
      <w:r w:rsidR="00C4700E" w:rsidRPr="00205C60">
        <w:rPr>
          <w:rFonts w:ascii="Verdana" w:hAnsi="Verdana" w:cs="Arial"/>
          <w:sz w:val="22"/>
          <w:szCs w:val="22"/>
          <w:lang w:val="es-CR"/>
        </w:rPr>
        <w:t xml:space="preserve"> </w:t>
      </w:r>
      <w:r w:rsidR="00272B4F" w:rsidRPr="00205C60">
        <w:rPr>
          <w:rFonts w:ascii="Verdana" w:hAnsi="Verdana" w:cs="Arial"/>
          <w:sz w:val="22"/>
          <w:szCs w:val="22"/>
          <w:lang w:val="es-CR"/>
        </w:rPr>
        <w:t>(98</w:t>
      </w:r>
      <w:r w:rsidR="006E182C" w:rsidRPr="00205C60">
        <w:rPr>
          <w:rFonts w:ascii="Verdana" w:hAnsi="Verdana" w:cs="Arial"/>
          <w:sz w:val="22"/>
          <w:szCs w:val="22"/>
          <w:lang w:val="es-CR"/>
        </w:rPr>
        <w:t>,</w:t>
      </w:r>
      <w:r w:rsidR="00272B4F" w:rsidRPr="00205C60">
        <w:rPr>
          <w:rFonts w:ascii="Verdana" w:hAnsi="Verdana" w:cs="Arial"/>
          <w:sz w:val="22"/>
          <w:szCs w:val="22"/>
          <w:lang w:val="es-CR"/>
        </w:rPr>
        <w:t>6%)</w:t>
      </w:r>
      <w:r w:rsidRPr="00205C60">
        <w:rPr>
          <w:rFonts w:ascii="Verdana" w:hAnsi="Verdana" w:cs="Arial"/>
          <w:sz w:val="22"/>
          <w:szCs w:val="22"/>
          <w:lang w:val="es-CR"/>
        </w:rPr>
        <w:t xml:space="preserve"> y las acciones en manos del público eran de 729</w:t>
      </w:r>
      <w:r w:rsidR="00C4700E" w:rsidRPr="00205C60">
        <w:rPr>
          <w:rFonts w:ascii="Verdana" w:hAnsi="Verdana" w:cs="Arial"/>
          <w:sz w:val="22"/>
          <w:szCs w:val="22"/>
          <w:lang w:val="es-CR"/>
        </w:rPr>
        <w:t xml:space="preserve"> </w:t>
      </w:r>
      <w:r w:rsidR="006E182C" w:rsidRPr="00205C60">
        <w:rPr>
          <w:rFonts w:ascii="Verdana" w:hAnsi="Verdana" w:cs="Arial"/>
          <w:sz w:val="22"/>
          <w:szCs w:val="22"/>
          <w:lang w:val="es-CR"/>
        </w:rPr>
        <w:t>(1,</w:t>
      </w:r>
      <w:r w:rsidR="00272B4F" w:rsidRPr="00205C60">
        <w:rPr>
          <w:rFonts w:ascii="Verdana" w:hAnsi="Verdana" w:cs="Arial"/>
          <w:sz w:val="22"/>
          <w:szCs w:val="22"/>
          <w:lang w:val="es-CR"/>
        </w:rPr>
        <w:t>4%)</w:t>
      </w:r>
      <w:r w:rsidRPr="00205C60">
        <w:rPr>
          <w:rFonts w:ascii="Verdana" w:hAnsi="Verdana" w:cs="Arial"/>
          <w:sz w:val="22"/>
          <w:szCs w:val="22"/>
          <w:lang w:val="es-CR"/>
        </w:rPr>
        <w:t xml:space="preserve">, todas con un valor nominal de </w:t>
      </w:r>
      <w:r w:rsidR="00936992" w:rsidRPr="00205C60">
        <w:rPr>
          <w:rFonts w:ascii="Verdana" w:hAnsi="Verdana" w:cs="Arial"/>
          <w:sz w:val="22"/>
          <w:szCs w:val="22"/>
        </w:rPr>
        <w:t>₡</w:t>
      </w:r>
      <w:r w:rsidR="00936992" w:rsidRPr="00205C60">
        <w:rPr>
          <w:rFonts w:ascii="Verdana" w:hAnsi="Verdana" w:cs="Arial"/>
          <w:bCs/>
          <w:sz w:val="22"/>
          <w:szCs w:val="22"/>
        </w:rPr>
        <w:t xml:space="preserve"> </w:t>
      </w:r>
      <w:r w:rsidRPr="00205C60">
        <w:rPr>
          <w:rFonts w:ascii="Verdana" w:hAnsi="Verdana" w:cs="Arial"/>
          <w:sz w:val="22"/>
          <w:szCs w:val="22"/>
          <w:lang w:val="es-CR"/>
        </w:rPr>
        <w:t xml:space="preserve">1.000,00 por lo que el monto del capital accionario era de </w:t>
      </w:r>
      <w:r w:rsidR="00936992" w:rsidRPr="00205C60">
        <w:rPr>
          <w:rFonts w:ascii="Verdana" w:hAnsi="Verdana" w:cs="Arial"/>
          <w:sz w:val="22"/>
          <w:szCs w:val="22"/>
        </w:rPr>
        <w:t>₡</w:t>
      </w:r>
      <w:r w:rsidR="00936992" w:rsidRPr="00205C60">
        <w:rPr>
          <w:rFonts w:ascii="Verdana" w:hAnsi="Verdana" w:cs="Arial"/>
          <w:bCs/>
          <w:sz w:val="22"/>
          <w:szCs w:val="22"/>
        </w:rPr>
        <w:t xml:space="preserve"> </w:t>
      </w:r>
      <w:r w:rsidRPr="00205C60">
        <w:rPr>
          <w:rFonts w:ascii="Verdana" w:hAnsi="Verdana" w:cs="Arial"/>
          <w:sz w:val="22"/>
          <w:szCs w:val="22"/>
          <w:lang w:val="es-CR"/>
        </w:rPr>
        <w:t>51.98</w:t>
      </w:r>
      <w:r w:rsidR="001B38F4" w:rsidRPr="00205C60">
        <w:rPr>
          <w:rFonts w:ascii="Verdana" w:hAnsi="Verdana" w:cs="Arial"/>
          <w:sz w:val="22"/>
          <w:szCs w:val="22"/>
          <w:lang w:val="es-CR"/>
        </w:rPr>
        <w:t>6</w:t>
      </w:r>
      <w:r w:rsidRPr="00205C60">
        <w:rPr>
          <w:rFonts w:ascii="Verdana" w:hAnsi="Verdana" w:cs="Arial"/>
          <w:sz w:val="22"/>
          <w:szCs w:val="22"/>
          <w:lang w:val="es-CR"/>
        </w:rPr>
        <w:t>.000,</w:t>
      </w:r>
      <w:r w:rsidR="006E182C" w:rsidRPr="00205C60">
        <w:rPr>
          <w:rFonts w:ascii="Verdana" w:hAnsi="Verdana" w:cs="Arial"/>
          <w:sz w:val="22"/>
          <w:szCs w:val="22"/>
          <w:lang w:val="es-CR"/>
        </w:rPr>
        <w:t>00</w:t>
      </w:r>
    </w:p>
    <w:p w14:paraId="3CA7EDD4" w14:textId="77777777" w:rsidR="00CC1CDD" w:rsidRPr="00205C60" w:rsidRDefault="00CC1CDD" w:rsidP="0061241D">
      <w:pPr>
        <w:jc w:val="both"/>
        <w:rPr>
          <w:rFonts w:ascii="Verdana" w:hAnsi="Verdana" w:cs="Arial"/>
          <w:sz w:val="22"/>
          <w:szCs w:val="22"/>
          <w:lang w:val="es-CR"/>
        </w:rPr>
      </w:pPr>
    </w:p>
    <w:p w14:paraId="3CA7EDD5" w14:textId="447E9023" w:rsidR="00D37B6E" w:rsidRPr="00205C60" w:rsidRDefault="00DE0AA5" w:rsidP="0061241D">
      <w:pPr>
        <w:jc w:val="both"/>
        <w:rPr>
          <w:rFonts w:ascii="Verdana" w:hAnsi="Verdana" w:cs="Arial"/>
          <w:sz w:val="22"/>
          <w:szCs w:val="22"/>
          <w:lang w:val="es-CR"/>
        </w:rPr>
      </w:pPr>
      <w:r w:rsidRPr="00205C60">
        <w:rPr>
          <w:rFonts w:ascii="Verdana" w:hAnsi="Verdana" w:cs="Arial"/>
          <w:sz w:val="22"/>
          <w:szCs w:val="22"/>
          <w:lang w:val="es-CR"/>
        </w:rPr>
        <w:t>P</w:t>
      </w:r>
      <w:r w:rsidR="00DB285A" w:rsidRPr="00205C60">
        <w:rPr>
          <w:rFonts w:ascii="Verdana" w:hAnsi="Verdana" w:cs="Arial"/>
          <w:sz w:val="22"/>
          <w:szCs w:val="22"/>
          <w:lang w:val="es-CR"/>
        </w:rPr>
        <w:t xml:space="preserve">or acuerdo de la Asamblea Extraordinaria de </w:t>
      </w:r>
      <w:r w:rsidR="00E020D6" w:rsidRPr="00205C60">
        <w:rPr>
          <w:rFonts w:ascii="Verdana" w:hAnsi="Verdana" w:cs="Arial"/>
          <w:sz w:val="22"/>
          <w:szCs w:val="22"/>
          <w:lang w:val="es-CR"/>
        </w:rPr>
        <w:t>Accionistas Nº</w:t>
      </w:r>
      <w:r w:rsidR="005A4D6D" w:rsidRPr="00205C60">
        <w:rPr>
          <w:rFonts w:ascii="Verdana" w:hAnsi="Verdana" w:cs="Arial"/>
          <w:sz w:val="22"/>
          <w:szCs w:val="22"/>
          <w:lang w:val="es-CR"/>
        </w:rPr>
        <w:t xml:space="preserve"> </w:t>
      </w:r>
      <w:r w:rsidR="00DB285A" w:rsidRPr="00205C60">
        <w:rPr>
          <w:rFonts w:ascii="Verdana" w:hAnsi="Verdana" w:cs="Arial"/>
          <w:sz w:val="22"/>
          <w:szCs w:val="22"/>
          <w:lang w:val="es-CR"/>
        </w:rPr>
        <w:t>105 c</w:t>
      </w:r>
      <w:r w:rsidR="00F77D53" w:rsidRPr="00205C60">
        <w:rPr>
          <w:rFonts w:ascii="Verdana" w:hAnsi="Verdana" w:cs="Arial"/>
          <w:sz w:val="22"/>
          <w:szCs w:val="22"/>
          <w:lang w:val="es-CR"/>
        </w:rPr>
        <w:t>elebrada el 30 de agosto del 2004</w:t>
      </w:r>
      <w:r w:rsidR="00DB285A" w:rsidRPr="00205C60">
        <w:rPr>
          <w:rFonts w:ascii="Verdana" w:hAnsi="Verdana" w:cs="Arial"/>
          <w:sz w:val="22"/>
          <w:szCs w:val="22"/>
          <w:lang w:val="es-CR"/>
        </w:rPr>
        <w:t xml:space="preserve"> se </w:t>
      </w:r>
      <w:r w:rsidR="00C70274" w:rsidRPr="00205C60">
        <w:rPr>
          <w:rFonts w:ascii="Verdana" w:hAnsi="Verdana" w:cs="Arial"/>
          <w:sz w:val="22"/>
          <w:szCs w:val="22"/>
          <w:lang w:val="es-CR"/>
        </w:rPr>
        <w:t xml:space="preserve">acordó la </w:t>
      </w:r>
      <w:r w:rsidR="00DB285A" w:rsidRPr="00205C60">
        <w:rPr>
          <w:rFonts w:ascii="Verdana" w:hAnsi="Verdana" w:cs="Arial"/>
          <w:sz w:val="22"/>
          <w:szCs w:val="22"/>
          <w:lang w:val="es-CR"/>
        </w:rPr>
        <w:t xml:space="preserve">capitalización de </w:t>
      </w:r>
      <w:r w:rsidR="00C70274" w:rsidRPr="00205C60">
        <w:rPr>
          <w:rFonts w:ascii="Verdana" w:hAnsi="Verdana" w:cs="Arial"/>
          <w:sz w:val="22"/>
          <w:szCs w:val="22"/>
          <w:lang w:val="es-CR"/>
        </w:rPr>
        <w:t xml:space="preserve">las cuentas patrimoniales, aumentando el capital social mediante la declaratoria de un dividendo en acciones comunes por la suma de </w:t>
      </w:r>
      <w:r w:rsidR="00936992" w:rsidRPr="00205C60">
        <w:rPr>
          <w:rFonts w:ascii="Verdana" w:hAnsi="Verdana" w:cs="Arial"/>
          <w:sz w:val="22"/>
          <w:szCs w:val="22"/>
        </w:rPr>
        <w:t xml:space="preserve">₡ </w:t>
      </w:r>
      <w:r w:rsidR="00936992" w:rsidRPr="00205C60">
        <w:rPr>
          <w:rFonts w:ascii="Verdana" w:hAnsi="Verdana" w:cs="Arial"/>
          <w:sz w:val="22"/>
          <w:szCs w:val="22"/>
          <w:lang w:val="es-CR"/>
        </w:rPr>
        <w:t>63.265.745.000</w:t>
      </w:r>
      <w:r w:rsidR="00C70274" w:rsidRPr="00205C60">
        <w:rPr>
          <w:rFonts w:ascii="Verdana" w:hAnsi="Verdana" w:cs="Arial"/>
          <w:sz w:val="22"/>
          <w:szCs w:val="22"/>
          <w:lang w:val="es-CR"/>
        </w:rPr>
        <w:t xml:space="preserve">,00 representado por 63.265.745 acciones comunes y nominativas de </w:t>
      </w:r>
      <w:r w:rsidR="00936992" w:rsidRPr="00205C60">
        <w:rPr>
          <w:rFonts w:ascii="Verdana" w:hAnsi="Verdana" w:cs="Arial"/>
          <w:sz w:val="22"/>
          <w:szCs w:val="22"/>
        </w:rPr>
        <w:t>₡</w:t>
      </w:r>
      <w:r w:rsidR="00936992" w:rsidRPr="00205C60">
        <w:rPr>
          <w:rFonts w:ascii="Verdana" w:hAnsi="Verdana" w:cs="Arial"/>
          <w:bCs/>
          <w:sz w:val="22"/>
          <w:szCs w:val="22"/>
        </w:rPr>
        <w:t xml:space="preserve"> </w:t>
      </w:r>
      <w:r w:rsidR="00C70274" w:rsidRPr="00205C60">
        <w:rPr>
          <w:rFonts w:ascii="Verdana" w:hAnsi="Verdana" w:cs="Arial"/>
          <w:sz w:val="22"/>
          <w:szCs w:val="22"/>
          <w:lang w:val="es-CR"/>
        </w:rPr>
        <w:t>1.000,00 cada una.</w:t>
      </w:r>
      <w:r w:rsidR="00B90A3D" w:rsidRPr="00205C60">
        <w:rPr>
          <w:rFonts w:ascii="Verdana" w:hAnsi="Verdana" w:cs="Arial"/>
          <w:sz w:val="22"/>
          <w:szCs w:val="22"/>
          <w:lang w:val="es-CR"/>
        </w:rPr>
        <w:t xml:space="preserve"> </w:t>
      </w:r>
    </w:p>
    <w:p w14:paraId="3CA7EDD6" w14:textId="77777777" w:rsidR="00CD433F" w:rsidRPr="00205C60" w:rsidRDefault="00CD433F" w:rsidP="0061241D">
      <w:pPr>
        <w:jc w:val="both"/>
        <w:rPr>
          <w:rFonts w:ascii="Verdana" w:hAnsi="Verdana" w:cs="Arial"/>
          <w:sz w:val="22"/>
          <w:szCs w:val="22"/>
          <w:lang w:val="es-CR"/>
        </w:rPr>
      </w:pPr>
    </w:p>
    <w:p w14:paraId="3CA7EDD8" w14:textId="561EC14B" w:rsidR="00BD2757" w:rsidRPr="00205C60" w:rsidRDefault="00C70274" w:rsidP="0061241D">
      <w:pPr>
        <w:jc w:val="both"/>
        <w:rPr>
          <w:rFonts w:ascii="Verdana" w:hAnsi="Verdana" w:cs="Arial"/>
          <w:sz w:val="22"/>
          <w:szCs w:val="22"/>
          <w:lang w:val="es-CR"/>
        </w:rPr>
      </w:pPr>
      <w:r w:rsidRPr="00205C60">
        <w:rPr>
          <w:rFonts w:ascii="Verdana" w:hAnsi="Verdana" w:cs="Arial"/>
          <w:sz w:val="22"/>
          <w:szCs w:val="22"/>
          <w:lang w:val="es-CR"/>
        </w:rPr>
        <w:t>E</w:t>
      </w:r>
      <w:r w:rsidR="00F77D53" w:rsidRPr="00205C60">
        <w:rPr>
          <w:rFonts w:ascii="Verdana" w:hAnsi="Verdana" w:cs="Arial"/>
          <w:sz w:val="22"/>
          <w:szCs w:val="22"/>
          <w:lang w:val="es-CR"/>
        </w:rPr>
        <w:t xml:space="preserve">l monto del capital social </w:t>
      </w:r>
      <w:r w:rsidRPr="00205C60">
        <w:rPr>
          <w:rFonts w:ascii="Verdana" w:hAnsi="Verdana" w:cs="Arial"/>
          <w:sz w:val="22"/>
          <w:szCs w:val="22"/>
          <w:lang w:val="es-CR"/>
        </w:rPr>
        <w:t xml:space="preserve">se ajustó </w:t>
      </w:r>
      <w:r w:rsidR="00F77D53" w:rsidRPr="00205C60">
        <w:rPr>
          <w:rFonts w:ascii="Verdana" w:hAnsi="Verdana" w:cs="Arial"/>
          <w:sz w:val="22"/>
          <w:szCs w:val="22"/>
          <w:lang w:val="es-CR"/>
        </w:rPr>
        <w:t xml:space="preserve">a la suma de </w:t>
      </w:r>
      <w:r w:rsidR="00936992" w:rsidRPr="00205C60">
        <w:rPr>
          <w:rFonts w:ascii="Verdana" w:hAnsi="Verdana" w:cs="Arial"/>
          <w:sz w:val="22"/>
          <w:szCs w:val="22"/>
        </w:rPr>
        <w:t xml:space="preserve">₡ </w:t>
      </w:r>
      <w:r w:rsidR="00F77D53" w:rsidRPr="00205C60">
        <w:rPr>
          <w:rFonts w:ascii="Verdana" w:hAnsi="Verdana" w:cs="Arial"/>
          <w:sz w:val="22"/>
          <w:szCs w:val="22"/>
          <w:lang w:val="es-CR"/>
        </w:rPr>
        <w:t xml:space="preserve">63.317.730.000,00 </w:t>
      </w:r>
      <w:r w:rsidRPr="00205C60">
        <w:rPr>
          <w:rFonts w:ascii="Verdana" w:hAnsi="Verdana" w:cs="Arial"/>
          <w:sz w:val="22"/>
          <w:szCs w:val="22"/>
          <w:lang w:val="es-CR"/>
        </w:rPr>
        <w:t xml:space="preserve">manteniéndose </w:t>
      </w:r>
      <w:r w:rsidR="00DE0AA5" w:rsidRPr="00205C60">
        <w:rPr>
          <w:rFonts w:ascii="Verdana" w:hAnsi="Verdana" w:cs="Arial"/>
          <w:sz w:val="22"/>
          <w:szCs w:val="22"/>
          <w:lang w:val="es-CR"/>
        </w:rPr>
        <w:t>la participación del ICE en 98,6</w:t>
      </w:r>
      <w:r w:rsidR="00936992" w:rsidRPr="00205C60">
        <w:rPr>
          <w:rFonts w:ascii="Verdana" w:hAnsi="Verdana" w:cs="Arial"/>
          <w:sz w:val="22"/>
          <w:szCs w:val="22"/>
          <w:lang w:val="es-CR"/>
        </w:rPr>
        <w:t>% como</w:t>
      </w:r>
      <w:r w:rsidR="00472A00" w:rsidRPr="00205C60">
        <w:rPr>
          <w:rFonts w:ascii="Verdana" w:hAnsi="Verdana" w:cs="Arial"/>
          <w:sz w:val="22"/>
          <w:szCs w:val="22"/>
          <w:lang w:val="es-CR"/>
        </w:rPr>
        <w:t xml:space="preserve"> propietario de 62.431.026 acciones </w:t>
      </w:r>
      <w:r w:rsidR="00DE0AA5" w:rsidRPr="00205C60">
        <w:rPr>
          <w:rFonts w:ascii="Verdana" w:hAnsi="Verdana" w:cs="Arial"/>
          <w:sz w:val="22"/>
          <w:szCs w:val="22"/>
          <w:lang w:val="es-CR"/>
        </w:rPr>
        <w:t xml:space="preserve">comunes </w:t>
      </w:r>
      <w:r w:rsidR="00472A00" w:rsidRPr="00205C60">
        <w:rPr>
          <w:rFonts w:ascii="Verdana" w:hAnsi="Verdana" w:cs="Arial"/>
          <w:sz w:val="22"/>
          <w:szCs w:val="22"/>
          <w:lang w:val="es-CR"/>
        </w:rPr>
        <w:t>y en manos del público s</w:t>
      </w:r>
      <w:r w:rsidR="00DE0AA5" w:rsidRPr="00205C60">
        <w:rPr>
          <w:rFonts w:ascii="Verdana" w:hAnsi="Verdana" w:cs="Arial"/>
          <w:sz w:val="22"/>
          <w:szCs w:val="22"/>
          <w:lang w:val="es-CR"/>
        </w:rPr>
        <w:t>igue la propiedad d</w:t>
      </w:r>
      <w:r w:rsidR="00472A00" w:rsidRPr="00205C60">
        <w:rPr>
          <w:rFonts w:ascii="Verdana" w:hAnsi="Verdana" w:cs="Arial"/>
          <w:sz w:val="22"/>
          <w:szCs w:val="22"/>
          <w:lang w:val="es-CR"/>
        </w:rPr>
        <w:t>e</w:t>
      </w:r>
      <w:r w:rsidR="00DE0AA5" w:rsidRPr="00205C60">
        <w:rPr>
          <w:rFonts w:ascii="Verdana" w:hAnsi="Verdana" w:cs="Arial"/>
          <w:sz w:val="22"/>
          <w:szCs w:val="22"/>
          <w:lang w:val="es-CR"/>
        </w:rPr>
        <w:t xml:space="preserve"> 1,4% que corresponde </w:t>
      </w:r>
      <w:r w:rsidR="00936992" w:rsidRPr="00205C60">
        <w:rPr>
          <w:rFonts w:ascii="Verdana" w:hAnsi="Verdana" w:cs="Arial"/>
          <w:sz w:val="22"/>
          <w:szCs w:val="22"/>
          <w:lang w:val="es-CR"/>
        </w:rPr>
        <w:t>a 886.704</w:t>
      </w:r>
      <w:r w:rsidR="00472A00" w:rsidRPr="00205C60">
        <w:rPr>
          <w:rFonts w:ascii="Verdana" w:hAnsi="Verdana" w:cs="Arial"/>
          <w:sz w:val="22"/>
          <w:szCs w:val="22"/>
          <w:lang w:val="es-CR"/>
        </w:rPr>
        <w:t xml:space="preserve"> acciones </w:t>
      </w:r>
      <w:r w:rsidR="00DE0AA5" w:rsidRPr="00205C60">
        <w:rPr>
          <w:rFonts w:ascii="Verdana" w:hAnsi="Verdana" w:cs="Arial"/>
          <w:sz w:val="22"/>
          <w:szCs w:val="22"/>
          <w:lang w:val="es-CR"/>
        </w:rPr>
        <w:t>comunes</w:t>
      </w:r>
      <w:r w:rsidR="00472A00" w:rsidRPr="00205C60">
        <w:rPr>
          <w:rFonts w:ascii="Verdana" w:hAnsi="Verdana" w:cs="Arial"/>
          <w:sz w:val="22"/>
          <w:szCs w:val="22"/>
          <w:lang w:val="es-CR"/>
        </w:rPr>
        <w:t>.</w:t>
      </w:r>
      <w:r w:rsidR="00B90A3D" w:rsidRPr="00205C60">
        <w:rPr>
          <w:rFonts w:ascii="Verdana" w:hAnsi="Verdana" w:cs="Arial"/>
          <w:sz w:val="22"/>
          <w:szCs w:val="22"/>
          <w:lang w:val="es-CR"/>
        </w:rPr>
        <w:t xml:space="preserve"> </w:t>
      </w:r>
    </w:p>
    <w:p w14:paraId="3CA7EDD9" w14:textId="77777777" w:rsidR="00295443" w:rsidRPr="00205C60" w:rsidRDefault="00295443" w:rsidP="0061241D">
      <w:pPr>
        <w:jc w:val="both"/>
        <w:rPr>
          <w:rFonts w:ascii="Verdana" w:hAnsi="Verdana" w:cs="Arial"/>
          <w:sz w:val="22"/>
          <w:szCs w:val="22"/>
          <w:lang w:val="es-CR"/>
        </w:rPr>
      </w:pPr>
    </w:p>
    <w:p w14:paraId="66BC9EA3" w14:textId="2849B1B1" w:rsidR="002B2CF0" w:rsidRPr="00205C60" w:rsidRDefault="0061241D" w:rsidP="0061241D">
      <w:pPr>
        <w:jc w:val="both"/>
        <w:rPr>
          <w:rFonts w:ascii="Verdana" w:hAnsi="Verdana" w:cs="Arial"/>
          <w:sz w:val="22"/>
          <w:szCs w:val="22"/>
        </w:rPr>
      </w:pPr>
      <w:r w:rsidRPr="00205C60">
        <w:rPr>
          <w:rFonts w:ascii="Verdana" w:hAnsi="Verdana" w:cs="Arial"/>
          <w:sz w:val="22"/>
          <w:szCs w:val="22"/>
        </w:rPr>
        <w:t>El detalle de la operación se muestra a continuación:</w:t>
      </w:r>
    </w:p>
    <w:p w14:paraId="3CA7EDDB" w14:textId="77777777" w:rsidR="001E183B" w:rsidRPr="00205C60" w:rsidRDefault="001E183B" w:rsidP="0061241D">
      <w:pPr>
        <w:jc w:val="both"/>
        <w:rPr>
          <w:rFonts w:ascii="Verdana" w:hAnsi="Verdana" w:cs="Arial"/>
          <w:sz w:val="22"/>
          <w:szCs w:val="22"/>
        </w:rPr>
      </w:pPr>
    </w:p>
    <w:tbl>
      <w:tblPr>
        <w:tblW w:w="7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2223"/>
      </w:tblGrid>
      <w:tr w:rsidR="00AF00E3" w:rsidRPr="00205C60" w14:paraId="3CA7EDDD" w14:textId="77777777" w:rsidTr="00C52540">
        <w:trPr>
          <w:gridAfter w:val="1"/>
          <w:wAfter w:w="2223" w:type="dxa"/>
          <w:trHeight w:val="267"/>
          <w:jc w:val="center"/>
        </w:trPr>
        <w:tc>
          <w:tcPr>
            <w:tcW w:w="5221" w:type="dxa"/>
            <w:vAlign w:val="center"/>
          </w:tcPr>
          <w:p w14:paraId="3CA7EDDC" w14:textId="77777777" w:rsidR="00AF00E3" w:rsidRPr="00205C60" w:rsidRDefault="00AF00E3" w:rsidP="00C7150B">
            <w:pPr>
              <w:rPr>
                <w:rFonts w:ascii="Verdana" w:hAnsi="Verdana" w:cs="Arial"/>
                <w:b/>
                <w:sz w:val="22"/>
                <w:szCs w:val="22"/>
              </w:rPr>
            </w:pPr>
            <w:r w:rsidRPr="00205C60">
              <w:rPr>
                <w:rFonts w:ascii="Verdana" w:hAnsi="Verdana" w:cs="Arial"/>
                <w:b/>
                <w:sz w:val="22"/>
                <w:szCs w:val="22"/>
              </w:rPr>
              <w:t xml:space="preserve">Cifras en </w:t>
            </w:r>
            <w:proofErr w:type="gramStart"/>
            <w:r w:rsidRPr="00205C60">
              <w:rPr>
                <w:rFonts w:ascii="Verdana" w:hAnsi="Verdana" w:cs="Arial"/>
                <w:b/>
                <w:sz w:val="22"/>
                <w:szCs w:val="22"/>
              </w:rPr>
              <w:t>Colones</w:t>
            </w:r>
            <w:proofErr w:type="gramEnd"/>
            <w:r w:rsidRPr="00205C60">
              <w:rPr>
                <w:rFonts w:ascii="Verdana" w:hAnsi="Verdana" w:cs="Arial"/>
                <w:b/>
                <w:sz w:val="22"/>
                <w:szCs w:val="22"/>
              </w:rPr>
              <w:t xml:space="preserve"> Corrientes</w:t>
            </w:r>
          </w:p>
        </w:tc>
      </w:tr>
      <w:tr w:rsidR="00AF00E3" w:rsidRPr="00205C60" w14:paraId="3CA7EDE0" w14:textId="77777777" w:rsidTr="00C52540">
        <w:trPr>
          <w:trHeight w:val="567"/>
          <w:jc w:val="center"/>
        </w:trPr>
        <w:tc>
          <w:tcPr>
            <w:tcW w:w="5221" w:type="dxa"/>
            <w:vAlign w:val="center"/>
          </w:tcPr>
          <w:p w14:paraId="3CA7EDDE" w14:textId="77777777" w:rsidR="00AF00E3" w:rsidRPr="00205C60" w:rsidRDefault="00AF00E3" w:rsidP="00C7150B">
            <w:pPr>
              <w:rPr>
                <w:rFonts w:ascii="Verdana" w:hAnsi="Verdana" w:cs="Arial"/>
                <w:b/>
                <w:sz w:val="22"/>
                <w:szCs w:val="22"/>
              </w:rPr>
            </w:pPr>
            <w:r w:rsidRPr="00205C60">
              <w:rPr>
                <w:rFonts w:ascii="Verdana" w:hAnsi="Verdana" w:cs="Arial"/>
                <w:b/>
                <w:sz w:val="22"/>
                <w:szCs w:val="22"/>
              </w:rPr>
              <w:t>Detalle</w:t>
            </w:r>
          </w:p>
        </w:tc>
        <w:tc>
          <w:tcPr>
            <w:tcW w:w="2223" w:type="dxa"/>
            <w:vAlign w:val="center"/>
          </w:tcPr>
          <w:p w14:paraId="3CA7EDDF" w14:textId="77777777" w:rsidR="00AF00E3" w:rsidRPr="00205C60" w:rsidRDefault="00AF00E3" w:rsidP="00C7150B">
            <w:pPr>
              <w:jc w:val="center"/>
              <w:rPr>
                <w:rFonts w:ascii="Verdana" w:hAnsi="Verdana" w:cs="Arial"/>
                <w:b/>
                <w:sz w:val="22"/>
                <w:szCs w:val="22"/>
              </w:rPr>
            </w:pPr>
            <w:r w:rsidRPr="00205C60">
              <w:rPr>
                <w:rFonts w:ascii="Verdana" w:hAnsi="Verdana" w:cs="Arial"/>
                <w:b/>
                <w:sz w:val="22"/>
                <w:szCs w:val="22"/>
              </w:rPr>
              <w:t>Capital en Acciones</w:t>
            </w:r>
          </w:p>
        </w:tc>
      </w:tr>
      <w:tr w:rsidR="00AF00E3" w:rsidRPr="00205C60" w14:paraId="3CA7EDE3" w14:textId="77777777" w:rsidTr="00C52540">
        <w:trPr>
          <w:trHeight w:val="267"/>
          <w:jc w:val="center"/>
        </w:trPr>
        <w:tc>
          <w:tcPr>
            <w:tcW w:w="5221" w:type="dxa"/>
            <w:vAlign w:val="center"/>
          </w:tcPr>
          <w:p w14:paraId="3CA7EDE1" w14:textId="77777777" w:rsidR="00AF00E3" w:rsidRPr="00205C60" w:rsidRDefault="00AF00E3" w:rsidP="00C7150B">
            <w:pPr>
              <w:rPr>
                <w:rFonts w:ascii="Verdana" w:hAnsi="Verdana" w:cs="Arial"/>
                <w:sz w:val="22"/>
                <w:szCs w:val="22"/>
              </w:rPr>
            </w:pPr>
            <w:r w:rsidRPr="00205C60">
              <w:rPr>
                <w:rFonts w:ascii="Verdana" w:hAnsi="Verdana" w:cs="Arial"/>
                <w:sz w:val="22"/>
                <w:szCs w:val="22"/>
              </w:rPr>
              <w:t>Capital en acciones al 31/12/2003</w:t>
            </w:r>
          </w:p>
        </w:tc>
        <w:tc>
          <w:tcPr>
            <w:tcW w:w="2223" w:type="dxa"/>
            <w:vAlign w:val="center"/>
          </w:tcPr>
          <w:p w14:paraId="3CA7EDE2" w14:textId="77777777" w:rsidR="00AF00E3" w:rsidRPr="00205C60" w:rsidRDefault="00AF00E3" w:rsidP="00C7150B">
            <w:pPr>
              <w:jc w:val="right"/>
              <w:rPr>
                <w:rFonts w:ascii="Verdana" w:hAnsi="Verdana" w:cs="Arial"/>
                <w:sz w:val="22"/>
                <w:szCs w:val="22"/>
              </w:rPr>
            </w:pPr>
            <w:r w:rsidRPr="00205C60">
              <w:rPr>
                <w:rFonts w:ascii="Verdana" w:hAnsi="Verdana" w:cs="Arial"/>
                <w:sz w:val="22"/>
                <w:szCs w:val="22"/>
              </w:rPr>
              <w:t>51.986.000</w:t>
            </w:r>
          </w:p>
        </w:tc>
      </w:tr>
      <w:tr w:rsidR="00AF00E3" w:rsidRPr="00205C60" w14:paraId="3CA7EDE6" w14:textId="77777777" w:rsidTr="00C52540">
        <w:trPr>
          <w:trHeight w:val="567"/>
          <w:jc w:val="center"/>
        </w:trPr>
        <w:tc>
          <w:tcPr>
            <w:tcW w:w="5221" w:type="dxa"/>
            <w:vAlign w:val="center"/>
          </w:tcPr>
          <w:p w14:paraId="3CA7EDE4" w14:textId="77777777" w:rsidR="00AF00E3" w:rsidRPr="00205C60" w:rsidRDefault="00AF00E3" w:rsidP="00C7150B">
            <w:pPr>
              <w:rPr>
                <w:rFonts w:ascii="Verdana" w:hAnsi="Verdana" w:cs="Arial"/>
                <w:sz w:val="22"/>
                <w:szCs w:val="22"/>
              </w:rPr>
            </w:pPr>
            <w:r w:rsidRPr="00205C60">
              <w:rPr>
                <w:rFonts w:ascii="Verdana" w:hAnsi="Verdana" w:cs="Arial"/>
                <w:sz w:val="22"/>
                <w:szCs w:val="22"/>
              </w:rPr>
              <w:lastRenderedPageBreak/>
              <w:t>Rescindiendo acción común en Tesorería</w:t>
            </w:r>
          </w:p>
        </w:tc>
        <w:tc>
          <w:tcPr>
            <w:tcW w:w="2223" w:type="dxa"/>
            <w:vAlign w:val="center"/>
          </w:tcPr>
          <w:p w14:paraId="3CA7EDE5" w14:textId="77777777" w:rsidR="00AF00E3" w:rsidRPr="00205C60" w:rsidRDefault="00AF00E3" w:rsidP="00C7150B">
            <w:pPr>
              <w:jc w:val="right"/>
              <w:rPr>
                <w:rFonts w:ascii="Verdana" w:hAnsi="Verdana" w:cs="Arial"/>
                <w:sz w:val="22"/>
                <w:szCs w:val="22"/>
              </w:rPr>
            </w:pPr>
            <w:r w:rsidRPr="00205C60">
              <w:rPr>
                <w:rFonts w:ascii="Verdana" w:hAnsi="Verdana" w:cs="Arial"/>
                <w:sz w:val="22"/>
                <w:szCs w:val="22"/>
              </w:rPr>
              <w:t>(1.000)</w:t>
            </w:r>
          </w:p>
        </w:tc>
      </w:tr>
      <w:tr w:rsidR="00AF00E3" w:rsidRPr="00205C60" w14:paraId="3CA7EDE9" w14:textId="77777777" w:rsidTr="00C52540">
        <w:trPr>
          <w:trHeight w:val="551"/>
          <w:jc w:val="center"/>
        </w:trPr>
        <w:tc>
          <w:tcPr>
            <w:tcW w:w="5221" w:type="dxa"/>
            <w:vAlign w:val="center"/>
          </w:tcPr>
          <w:p w14:paraId="3CA7EDE7" w14:textId="6C303CE8" w:rsidR="00AF00E3" w:rsidRPr="00205C60" w:rsidRDefault="00AF00E3" w:rsidP="00C7150B">
            <w:pPr>
              <w:rPr>
                <w:rFonts w:ascii="Verdana" w:hAnsi="Verdana" w:cs="Arial"/>
                <w:b/>
                <w:sz w:val="22"/>
                <w:szCs w:val="22"/>
              </w:rPr>
            </w:pPr>
            <w:r w:rsidRPr="00205C60">
              <w:rPr>
                <w:rFonts w:ascii="Verdana" w:hAnsi="Verdana" w:cs="Arial"/>
                <w:b/>
                <w:sz w:val="22"/>
                <w:szCs w:val="22"/>
              </w:rPr>
              <w:t>Capital Social al 30 de agosto del 2004</w:t>
            </w:r>
          </w:p>
        </w:tc>
        <w:tc>
          <w:tcPr>
            <w:tcW w:w="2223" w:type="dxa"/>
            <w:vAlign w:val="center"/>
          </w:tcPr>
          <w:p w14:paraId="3CA7EDE8" w14:textId="77777777" w:rsidR="00AF00E3" w:rsidRPr="00205C60" w:rsidRDefault="00AF00E3" w:rsidP="00C7150B">
            <w:pPr>
              <w:jc w:val="right"/>
              <w:rPr>
                <w:rFonts w:ascii="Verdana" w:hAnsi="Verdana" w:cs="Arial"/>
                <w:sz w:val="22"/>
                <w:szCs w:val="22"/>
              </w:rPr>
            </w:pPr>
            <w:r w:rsidRPr="00205C60">
              <w:rPr>
                <w:rFonts w:ascii="Verdana" w:hAnsi="Verdana" w:cs="Arial"/>
                <w:sz w:val="22"/>
                <w:szCs w:val="22"/>
              </w:rPr>
              <w:t>51.985.000</w:t>
            </w:r>
          </w:p>
        </w:tc>
      </w:tr>
      <w:tr w:rsidR="00AF00E3" w:rsidRPr="00205C60" w14:paraId="3CA7EDEC" w14:textId="77777777" w:rsidTr="00C52540">
        <w:trPr>
          <w:trHeight w:val="551"/>
          <w:jc w:val="center"/>
        </w:trPr>
        <w:tc>
          <w:tcPr>
            <w:tcW w:w="5221" w:type="dxa"/>
            <w:vAlign w:val="center"/>
          </w:tcPr>
          <w:p w14:paraId="3CA7EDEA" w14:textId="77777777" w:rsidR="00AF00E3" w:rsidRPr="00205C60" w:rsidRDefault="00AF00E3" w:rsidP="00C7150B">
            <w:pPr>
              <w:rPr>
                <w:rFonts w:ascii="Verdana" w:hAnsi="Verdana" w:cs="Arial"/>
                <w:sz w:val="22"/>
                <w:szCs w:val="22"/>
              </w:rPr>
            </w:pPr>
            <w:r w:rsidRPr="00205C60">
              <w:rPr>
                <w:rFonts w:ascii="Verdana" w:hAnsi="Verdana" w:cs="Arial"/>
                <w:sz w:val="22"/>
                <w:szCs w:val="22"/>
              </w:rPr>
              <w:t>Dividendo en Acciones</w:t>
            </w:r>
          </w:p>
        </w:tc>
        <w:tc>
          <w:tcPr>
            <w:tcW w:w="2223" w:type="dxa"/>
            <w:vAlign w:val="center"/>
          </w:tcPr>
          <w:p w14:paraId="3CA7EDEB" w14:textId="77777777" w:rsidR="00AF00E3" w:rsidRPr="00205C60" w:rsidRDefault="00AF00E3" w:rsidP="00C7150B">
            <w:pPr>
              <w:jc w:val="right"/>
              <w:rPr>
                <w:rFonts w:ascii="Verdana" w:hAnsi="Verdana" w:cs="Arial"/>
                <w:sz w:val="22"/>
                <w:szCs w:val="22"/>
              </w:rPr>
            </w:pPr>
            <w:r w:rsidRPr="00205C60">
              <w:rPr>
                <w:rFonts w:ascii="Verdana" w:hAnsi="Verdana" w:cs="Arial"/>
                <w:sz w:val="22"/>
                <w:szCs w:val="22"/>
              </w:rPr>
              <w:t>63.265.745.000</w:t>
            </w:r>
          </w:p>
        </w:tc>
      </w:tr>
      <w:tr w:rsidR="00AF00E3" w:rsidRPr="00205C60" w14:paraId="3CA7EDEF" w14:textId="77777777" w:rsidTr="00C52540">
        <w:trPr>
          <w:trHeight w:val="551"/>
          <w:jc w:val="center"/>
        </w:trPr>
        <w:tc>
          <w:tcPr>
            <w:tcW w:w="5221" w:type="dxa"/>
            <w:vAlign w:val="center"/>
          </w:tcPr>
          <w:p w14:paraId="3CA7EDED" w14:textId="77777777" w:rsidR="00AF00E3" w:rsidRPr="00205C60" w:rsidRDefault="00AF00E3" w:rsidP="00C7150B">
            <w:pPr>
              <w:rPr>
                <w:rFonts w:ascii="Verdana" w:hAnsi="Verdana" w:cs="Arial"/>
                <w:b/>
                <w:sz w:val="22"/>
                <w:szCs w:val="22"/>
              </w:rPr>
            </w:pPr>
            <w:r w:rsidRPr="00205C60">
              <w:rPr>
                <w:rFonts w:ascii="Verdana" w:hAnsi="Verdana" w:cs="Arial"/>
                <w:b/>
                <w:sz w:val="22"/>
                <w:szCs w:val="22"/>
              </w:rPr>
              <w:t>Capital en Acciones al 31/12/20</w:t>
            </w:r>
            <w:r w:rsidR="006E66E0" w:rsidRPr="00205C60">
              <w:rPr>
                <w:rFonts w:ascii="Verdana" w:hAnsi="Verdana" w:cs="Arial"/>
                <w:b/>
                <w:sz w:val="22"/>
                <w:szCs w:val="22"/>
              </w:rPr>
              <w:t>11</w:t>
            </w:r>
          </w:p>
        </w:tc>
        <w:tc>
          <w:tcPr>
            <w:tcW w:w="2223" w:type="dxa"/>
            <w:vAlign w:val="center"/>
          </w:tcPr>
          <w:p w14:paraId="3CA7EDEE" w14:textId="77777777" w:rsidR="00AF00E3" w:rsidRPr="00205C60" w:rsidRDefault="00AF00E3" w:rsidP="00C7150B">
            <w:pPr>
              <w:jc w:val="right"/>
              <w:rPr>
                <w:rFonts w:ascii="Verdana" w:hAnsi="Verdana" w:cs="Arial"/>
                <w:b/>
                <w:sz w:val="22"/>
                <w:szCs w:val="22"/>
              </w:rPr>
            </w:pPr>
            <w:r w:rsidRPr="00205C60">
              <w:rPr>
                <w:rFonts w:ascii="Verdana" w:hAnsi="Verdana" w:cs="Arial"/>
                <w:b/>
                <w:sz w:val="22"/>
                <w:szCs w:val="22"/>
              </w:rPr>
              <w:t>63.317.730.000</w:t>
            </w:r>
          </w:p>
        </w:tc>
      </w:tr>
    </w:tbl>
    <w:p w14:paraId="3CA7EDF0" w14:textId="77777777" w:rsidR="00BD2757" w:rsidRPr="00205C60" w:rsidRDefault="00BD2757" w:rsidP="00272B4F">
      <w:pPr>
        <w:jc w:val="both"/>
        <w:rPr>
          <w:rFonts w:ascii="Verdana" w:hAnsi="Verdana" w:cs="Arial"/>
          <w:sz w:val="22"/>
          <w:szCs w:val="22"/>
        </w:rPr>
      </w:pPr>
    </w:p>
    <w:p w14:paraId="3CA7EDF2" w14:textId="77777777" w:rsidR="0028557E" w:rsidRPr="00205C60" w:rsidRDefault="0028557E">
      <w:pPr>
        <w:jc w:val="both"/>
        <w:rPr>
          <w:rFonts w:ascii="Verdana" w:hAnsi="Verdana" w:cs="Arial"/>
          <w:sz w:val="22"/>
          <w:szCs w:val="22"/>
          <w:lang w:val="es-CR"/>
        </w:rPr>
      </w:pPr>
    </w:p>
    <w:p w14:paraId="3CA7EDF3" w14:textId="77777777" w:rsidR="00B44125" w:rsidRPr="00205C60" w:rsidRDefault="0061241D">
      <w:pPr>
        <w:jc w:val="both"/>
        <w:rPr>
          <w:rFonts w:ascii="Verdana" w:hAnsi="Verdana" w:cs="Arial"/>
          <w:sz w:val="22"/>
          <w:szCs w:val="22"/>
          <w:lang w:val="es-CR"/>
        </w:rPr>
      </w:pPr>
      <w:r w:rsidRPr="00205C60">
        <w:rPr>
          <w:rFonts w:ascii="Verdana" w:hAnsi="Verdana" w:cs="Arial"/>
          <w:sz w:val="22"/>
          <w:szCs w:val="22"/>
          <w:lang w:val="es-CR"/>
        </w:rPr>
        <w:t>La empresa regularmente mantiene las siguientes cuentas patrimoniales</w:t>
      </w:r>
      <w:r w:rsidR="00B44125" w:rsidRPr="00205C60">
        <w:rPr>
          <w:rFonts w:ascii="Verdana" w:hAnsi="Verdana" w:cs="Arial"/>
          <w:sz w:val="22"/>
          <w:szCs w:val="22"/>
          <w:lang w:val="es-CR"/>
        </w:rPr>
        <w:t>:</w:t>
      </w:r>
    </w:p>
    <w:p w14:paraId="3CA7EDF4" w14:textId="77777777" w:rsidR="00B44125" w:rsidRPr="00205C60" w:rsidRDefault="00B44125" w:rsidP="00046EA9">
      <w:pPr>
        <w:numPr>
          <w:ilvl w:val="0"/>
          <w:numId w:val="8"/>
        </w:numPr>
        <w:jc w:val="both"/>
        <w:rPr>
          <w:rFonts w:ascii="Verdana" w:hAnsi="Verdana" w:cs="Arial"/>
          <w:sz w:val="22"/>
          <w:szCs w:val="22"/>
          <w:lang w:val="es-CR"/>
        </w:rPr>
      </w:pPr>
      <w:r w:rsidRPr="00205C60">
        <w:rPr>
          <w:rFonts w:ascii="Verdana" w:hAnsi="Verdana" w:cs="Arial"/>
          <w:sz w:val="22"/>
          <w:szCs w:val="22"/>
          <w:lang w:val="es-CR"/>
        </w:rPr>
        <w:t xml:space="preserve">Capital en </w:t>
      </w:r>
      <w:r w:rsidR="00B80941" w:rsidRPr="00205C60">
        <w:rPr>
          <w:rFonts w:ascii="Verdana" w:hAnsi="Verdana" w:cs="Arial"/>
          <w:sz w:val="22"/>
          <w:szCs w:val="22"/>
          <w:lang w:val="es-CR"/>
        </w:rPr>
        <w:t>a</w:t>
      </w:r>
      <w:r w:rsidRPr="00205C60">
        <w:rPr>
          <w:rFonts w:ascii="Verdana" w:hAnsi="Verdana" w:cs="Arial"/>
          <w:sz w:val="22"/>
          <w:szCs w:val="22"/>
          <w:lang w:val="es-CR"/>
        </w:rPr>
        <w:t xml:space="preserve">cciones </w:t>
      </w:r>
      <w:r w:rsidR="00B80941" w:rsidRPr="00205C60">
        <w:rPr>
          <w:rFonts w:ascii="Verdana" w:hAnsi="Verdana" w:cs="Arial"/>
          <w:sz w:val="22"/>
          <w:szCs w:val="22"/>
          <w:lang w:val="es-CR"/>
        </w:rPr>
        <w:t>c</w:t>
      </w:r>
      <w:r w:rsidRPr="00205C60">
        <w:rPr>
          <w:rFonts w:ascii="Verdana" w:hAnsi="Verdana" w:cs="Arial"/>
          <w:sz w:val="22"/>
          <w:szCs w:val="22"/>
          <w:lang w:val="es-CR"/>
        </w:rPr>
        <w:t>omunes</w:t>
      </w:r>
    </w:p>
    <w:p w14:paraId="3CA7EDF5" w14:textId="77777777" w:rsidR="00B44125" w:rsidRPr="00205C60" w:rsidRDefault="00B44125" w:rsidP="00046EA9">
      <w:pPr>
        <w:numPr>
          <w:ilvl w:val="0"/>
          <w:numId w:val="8"/>
        </w:numPr>
        <w:jc w:val="both"/>
        <w:rPr>
          <w:rFonts w:ascii="Verdana" w:hAnsi="Verdana" w:cs="Arial"/>
          <w:sz w:val="22"/>
          <w:szCs w:val="22"/>
          <w:lang w:val="es-CR"/>
        </w:rPr>
      </w:pPr>
      <w:r w:rsidRPr="00205C60">
        <w:rPr>
          <w:rFonts w:ascii="Verdana" w:hAnsi="Verdana" w:cs="Arial"/>
          <w:sz w:val="22"/>
          <w:szCs w:val="22"/>
          <w:lang w:val="es-CR"/>
        </w:rPr>
        <w:t xml:space="preserve">Reserva </w:t>
      </w:r>
      <w:r w:rsidR="00B80941" w:rsidRPr="00205C60">
        <w:rPr>
          <w:rFonts w:ascii="Verdana" w:hAnsi="Verdana" w:cs="Arial"/>
          <w:sz w:val="22"/>
          <w:szCs w:val="22"/>
          <w:lang w:val="es-CR"/>
        </w:rPr>
        <w:t>l</w:t>
      </w:r>
      <w:r w:rsidRPr="00205C60">
        <w:rPr>
          <w:rFonts w:ascii="Verdana" w:hAnsi="Verdana" w:cs="Arial"/>
          <w:sz w:val="22"/>
          <w:szCs w:val="22"/>
          <w:lang w:val="es-CR"/>
        </w:rPr>
        <w:t>egal</w:t>
      </w:r>
    </w:p>
    <w:p w14:paraId="3CA7EDF6" w14:textId="77777777" w:rsidR="00F32E07" w:rsidRPr="00205C60" w:rsidRDefault="00B44125" w:rsidP="00046EA9">
      <w:pPr>
        <w:numPr>
          <w:ilvl w:val="0"/>
          <w:numId w:val="8"/>
        </w:numPr>
        <w:jc w:val="both"/>
        <w:rPr>
          <w:rFonts w:ascii="Verdana" w:hAnsi="Verdana" w:cs="Arial"/>
          <w:sz w:val="22"/>
          <w:szCs w:val="22"/>
        </w:rPr>
      </w:pPr>
      <w:r w:rsidRPr="00205C60">
        <w:rPr>
          <w:rFonts w:ascii="Verdana" w:hAnsi="Verdana" w:cs="Arial"/>
          <w:sz w:val="22"/>
          <w:szCs w:val="22"/>
          <w:lang w:val="es-CR"/>
        </w:rPr>
        <w:t xml:space="preserve">Reserva para </w:t>
      </w:r>
      <w:r w:rsidR="00B80941" w:rsidRPr="00205C60">
        <w:rPr>
          <w:rFonts w:ascii="Verdana" w:hAnsi="Verdana" w:cs="Arial"/>
          <w:sz w:val="22"/>
          <w:szCs w:val="22"/>
          <w:lang w:val="es-CR"/>
        </w:rPr>
        <w:t>d</w:t>
      </w:r>
      <w:r w:rsidRPr="00205C60">
        <w:rPr>
          <w:rFonts w:ascii="Verdana" w:hAnsi="Verdana" w:cs="Arial"/>
          <w:sz w:val="22"/>
          <w:szCs w:val="22"/>
          <w:lang w:val="es-CR"/>
        </w:rPr>
        <w:t xml:space="preserve">esarrollo de </w:t>
      </w:r>
      <w:r w:rsidR="00B80941" w:rsidRPr="00205C60">
        <w:rPr>
          <w:rFonts w:ascii="Verdana" w:hAnsi="Verdana" w:cs="Arial"/>
          <w:sz w:val="22"/>
          <w:szCs w:val="22"/>
          <w:lang w:val="es-CR"/>
        </w:rPr>
        <w:t>p</w:t>
      </w:r>
      <w:r w:rsidRPr="00205C60">
        <w:rPr>
          <w:rFonts w:ascii="Verdana" w:hAnsi="Verdana" w:cs="Arial"/>
          <w:sz w:val="22"/>
          <w:szCs w:val="22"/>
          <w:lang w:val="es-CR"/>
        </w:rPr>
        <w:t>royectos</w:t>
      </w:r>
      <w:r w:rsidR="00BB18C0" w:rsidRPr="00205C60">
        <w:rPr>
          <w:rFonts w:ascii="Verdana" w:hAnsi="Verdana" w:cs="Arial"/>
          <w:sz w:val="22"/>
          <w:szCs w:val="22"/>
          <w:lang w:val="es-CR"/>
        </w:rPr>
        <w:t xml:space="preserve"> </w:t>
      </w:r>
    </w:p>
    <w:p w14:paraId="3CA7EDF7" w14:textId="77777777" w:rsidR="00B44125" w:rsidRPr="00205C60" w:rsidRDefault="00B44125" w:rsidP="00046EA9">
      <w:pPr>
        <w:numPr>
          <w:ilvl w:val="0"/>
          <w:numId w:val="8"/>
        </w:numPr>
        <w:jc w:val="both"/>
        <w:rPr>
          <w:rFonts w:ascii="Verdana" w:hAnsi="Verdana" w:cs="Arial"/>
          <w:sz w:val="22"/>
          <w:szCs w:val="22"/>
          <w:lang w:val="pt-BR"/>
        </w:rPr>
      </w:pPr>
      <w:r w:rsidRPr="00205C60">
        <w:rPr>
          <w:rFonts w:ascii="Verdana" w:hAnsi="Verdana" w:cs="Arial"/>
          <w:sz w:val="22"/>
          <w:szCs w:val="22"/>
          <w:lang w:val="pt-BR"/>
        </w:rPr>
        <w:t xml:space="preserve">Utilidades </w:t>
      </w:r>
      <w:r w:rsidR="00B80941" w:rsidRPr="00205C60">
        <w:rPr>
          <w:rFonts w:ascii="Verdana" w:hAnsi="Verdana" w:cs="Arial"/>
          <w:sz w:val="22"/>
          <w:szCs w:val="22"/>
          <w:lang w:val="pt-BR"/>
        </w:rPr>
        <w:t xml:space="preserve">no </w:t>
      </w:r>
      <w:r w:rsidR="00CA6044" w:rsidRPr="00205C60">
        <w:rPr>
          <w:rFonts w:ascii="Verdana" w:hAnsi="Verdana" w:cs="Arial"/>
          <w:sz w:val="22"/>
          <w:szCs w:val="22"/>
          <w:lang w:val="pt-BR"/>
        </w:rPr>
        <w:t>distribuídas</w:t>
      </w:r>
    </w:p>
    <w:p w14:paraId="3CA7EDF8" w14:textId="77777777" w:rsidR="00CA6044" w:rsidRPr="00205C60" w:rsidRDefault="00131077" w:rsidP="00046EA9">
      <w:pPr>
        <w:numPr>
          <w:ilvl w:val="0"/>
          <w:numId w:val="8"/>
        </w:numPr>
        <w:jc w:val="both"/>
        <w:rPr>
          <w:rFonts w:ascii="Verdana" w:hAnsi="Verdana" w:cs="Arial"/>
          <w:sz w:val="22"/>
          <w:szCs w:val="22"/>
          <w:lang w:val="pt-BR"/>
        </w:rPr>
      </w:pPr>
      <w:r w:rsidRPr="00205C60">
        <w:rPr>
          <w:rFonts w:ascii="Verdana" w:hAnsi="Verdana" w:cs="Arial"/>
          <w:sz w:val="22"/>
          <w:szCs w:val="22"/>
          <w:lang w:val="pt-BR"/>
        </w:rPr>
        <w:t>Superávit por revaluación y</w:t>
      </w:r>
    </w:p>
    <w:p w14:paraId="3CA7EDF9" w14:textId="77777777" w:rsidR="00B44125" w:rsidRPr="00205C60" w:rsidRDefault="00EB6EC2" w:rsidP="00046EA9">
      <w:pPr>
        <w:numPr>
          <w:ilvl w:val="0"/>
          <w:numId w:val="8"/>
        </w:numPr>
        <w:jc w:val="both"/>
        <w:rPr>
          <w:rFonts w:ascii="Verdana" w:hAnsi="Verdana" w:cs="Arial"/>
          <w:sz w:val="22"/>
          <w:szCs w:val="22"/>
          <w:lang w:val="es-CR"/>
        </w:rPr>
      </w:pPr>
      <w:r w:rsidRPr="00205C60">
        <w:rPr>
          <w:rFonts w:ascii="Verdana" w:hAnsi="Verdana" w:cs="Arial"/>
          <w:sz w:val="22"/>
          <w:szCs w:val="22"/>
          <w:lang w:val="es-CR"/>
        </w:rPr>
        <w:t xml:space="preserve">Efecto </w:t>
      </w:r>
      <w:r w:rsidR="0080077D" w:rsidRPr="00205C60">
        <w:rPr>
          <w:rFonts w:ascii="Verdana" w:hAnsi="Verdana" w:cs="Arial"/>
          <w:sz w:val="22"/>
          <w:szCs w:val="22"/>
          <w:lang w:val="es-CR"/>
        </w:rPr>
        <w:t xml:space="preserve">ganancia </w:t>
      </w:r>
      <w:r w:rsidRPr="00205C60">
        <w:rPr>
          <w:rFonts w:ascii="Verdana" w:hAnsi="Verdana" w:cs="Arial"/>
          <w:sz w:val="22"/>
          <w:szCs w:val="22"/>
          <w:lang w:val="es-CR"/>
        </w:rPr>
        <w:t xml:space="preserve">(pérdida) </w:t>
      </w:r>
      <w:r w:rsidR="00CA6044" w:rsidRPr="00205C60">
        <w:rPr>
          <w:rFonts w:ascii="Verdana" w:hAnsi="Verdana" w:cs="Arial"/>
          <w:sz w:val="22"/>
          <w:szCs w:val="22"/>
          <w:lang w:val="es-CR"/>
        </w:rPr>
        <w:t>actuarial</w:t>
      </w:r>
      <w:r w:rsidRPr="00205C60">
        <w:rPr>
          <w:rFonts w:ascii="Verdana" w:hAnsi="Verdana" w:cs="Arial"/>
          <w:sz w:val="22"/>
          <w:szCs w:val="22"/>
          <w:lang w:val="es-CR"/>
        </w:rPr>
        <w:t>.</w:t>
      </w:r>
    </w:p>
    <w:p w14:paraId="3CA7EDFA" w14:textId="77777777" w:rsidR="000C1266" w:rsidRPr="00205C60" w:rsidRDefault="000C1266" w:rsidP="00046EA9">
      <w:pPr>
        <w:numPr>
          <w:ilvl w:val="0"/>
          <w:numId w:val="8"/>
        </w:numPr>
        <w:jc w:val="both"/>
        <w:rPr>
          <w:rFonts w:ascii="Verdana" w:hAnsi="Verdana" w:cs="Arial"/>
          <w:sz w:val="22"/>
          <w:szCs w:val="22"/>
          <w:lang w:val="es-CR"/>
        </w:rPr>
      </w:pPr>
      <w:r w:rsidRPr="00205C60">
        <w:rPr>
          <w:rFonts w:ascii="Verdana" w:hAnsi="Verdana" w:cs="Arial"/>
          <w:sz w:val="22"/>
          <w:szCs w:val="22"/>
          <w:lang w:val="es-CR"/>
        </w:rPr>
        <w:t>Ganancia no realizada en inversiones</w:t>
      </w:r>
    </w:p>
    <w:p w14:paraId="3CA7EDFB" w14:textId="5CDD363A" w:rsidR="00BD2757" w:rsidRPr="00205C60" w:rsidRDefault="00BD2757">
      <w:pPr>
        <w:ind w:left="360"/>
        <w:rPr>
          <w:rFonts w:ascii="Verdana" w:hAnsi="Verdana" w:cs="Arial"/>
          <w:b/>
          <w:sz w:val="22"/>
          <w:szCs w:val="22"/>
        </w:rPr>
      </w:pPr>
    </w:p>
    <w:p w14:paraId="3CA7EDFC" w14:textId="77777777" w:rsidR="00B44125" w:rsidRPr="00205C60" w:rsidRDefault="00B44125" w:rsidP="00882F32">
      <w:pPr>
        <w:pStyle w:val="Prrafodelista"/>
        <w:numPr>
          <w:ilvl w:val="0"/>
          <w:numId w:val="29"/>
        </w:numPr>
        <w:rPr>
          <w:rFonts w:ascii="Verdana" w:hAnsi="Verdana" w:cs="Arial"/>
          <w:b/>
          <w:sz w:val="22"/>
          <w:szCs w:val="22"/>
        </w:rPr>
      </w:pPr>
      <w:r w:rsidRPr="00205C60">
        <w:rPr>
          <w:rFonts w:ascii="Verdana" w:hAnsi="Verdana" w:cs="Arial"/>
          <w:b/>
          <w:sz w:val="22"/>
          <w:szCs w:val="22"/>
        </w:rPr>
        <w:t>Política de dividendos</w:t>
      </w:r>
    </w:p>
    <w:p w14:paraId="3CA7EDFD" w14:textId="77777777" w:rsidR="00B44125" w:rsidRPr="00205C60" w:rsidRDefault="00B44125">
      <w:pPr>
        <w:pStyle w:val="CNV"/>
        <w:rPr>
          <w:rFonts w:ascii="Verdana" w:hAnsi="Verdana" w:cs="Arial"/>
          <w:sz w:val="22"/>
          <w:szCs w:val="22"/>
          <w:lang w:val="es-ES" w:eastAsia="es-ES"/>
        </w:rPr>
      </w:pPr>
    </w:p>
    <w:p w14:paraId="3CA7EDFE" w14:textId="77777777" w:rsidR="00B44125" w:rsidRPr="00205C60" w:rsidRDefault="00B44125">
      <w:pPr>
        <w:pStyle w:val="CNV"/>
        <w:rPr>
          <w:rFonts w:ascii="Verdana" w:hAnsi="Verdana" w:cs="Arial"/>
          <w:sz w:val="22"/>
          <w:szCs w:val="22"/>
          <w:lang w:val="es-ES" w:eastAsia="es-ES"/>
        </w:rPr>
      </w:pPr>
      <w:r w:rsidRPr="00205C60">
        <w:rPr>
          <w:rFonts w:ascii="Verdana" w:hAnsi="Verdana" w:cs="Arial"/>
          <w:sz w:val="22"/>
          <w:szCs w:val="22"/>
          <w:lang w:val="es-ES" w:eastAsia="es-ES"/>
        </w:rPr>
        <w:t xml:space="preserve">La Escritura Constitutiva de la Compañía en su Cláusula Octava </w:t>
      </w:r>
      <w:r w:rsidR="008034BE" w:rsidRPr="00205C60">
        <w:rPr>
          <w:rFonts w:ascii="Verdana" w:hAnsi="Verdana" w:cs="Arial"/>
          <w:sz w:val="22"/>
          <w:szCs w:val="22"/>
          <w:lang w:val="es-ES" w:eastAsia="es-ES"/>
        </w:rPr>
        <w:t>define la política de dividendos en la siguiente forma</w:t>
      </w:r>
      <w:r w:rsidRPr="00205C60">
        <w:rPr>
          <w:rFonts w:ascii="Verdana" w:hAnsi="Verdana" w:cs="Arial"/>
          <w:sz w:val="22"/>
          <w:szCs w:val="22"/>
          <w:lang w:val="es-ES" w:eastAsia="es-ES"/>
        </w:rPr>
        <w:t>:</w:t>
      </w:r>
    </w:p>
    <w:p w14:paraId="3CA7EDFF" w14:textId="77777777" w:rsidR="00B44125" w:rsidRPr="00205C60" w:rsidRDefault="00B44125" w:rsidP="00C4700E">
      <w:pPr>
        <w:pStyle w:val="CNV"/>
        <w:rPr>
          <w:rFonts w:ascii="Verdana" w:hAnsi="Verdana" w:cs="Arial"/>
          <w:sz w:val="22"/>
          <w:szCs w:val="22"/>
          <w:lang w:val="es-ES" w:eastAsia="es-ES"/>
        </w:rPr>
      </w:pPr>
      <w:r w:rsidRPr="00205C60">
        <w:rPr>
          <w:rFonts w:ascii="Verdana" w:hAnsi="Verdana" w:cs="Arial"/>
          <w:sz w:val="22"/>
          <w:szCs w:val="22"/>
          <w:lang w:val="es-ES" w:eastAsia="es-ES"/>
        </w:rPr>
        <w:t> </w:t>
      </w:r>
    </w:p>
    <w:p w14:paraId="3CA7EE00" w14:textId="77777777" w:rsidR="00343460" w:rsidRPr="00205C60" w:rsidRDefault="00B44125" w:rsidP="00C4700E">
      <w:pPr>
        <w:pStyle w:val="CNV"/>
        <w:ind w:left="706"/>
        <w:rPr>
          <w:rFonts w:ascii="Verdana" w:hAnsi="Verdana" w:cs="Arial"/>
          <w:sz w:val="22"/>
          <w:szCs w:val="22"/>
          <w:lang w:val="es-ES" w:eastAsia="es-ES"/>
        </w:rPr>
      </w:pPr>
      <w:r w:rsidRPr="00205C60">
        <w:rPr>
          <w:rFonts w:ascii="Verdana" w:hAnsi="Verdana" w:cs="Arial"/>
          <w:sz w:val="22"/>
          <w:szCs w:val="22"/>
          <w:lang w:val="es-ES" w:eastAsia="es-ES"/>
        </w:rPr>
        <w:t>"...la Asamblea de Accionistas reunida en Sesión Ordinaria Anual, fijará de los beneficios líquidos justificados, el fondo disponible para dividendos, que se distribuirán en proporción a las acciones comunes.</w:t>
      </w:r>
      <w:r w:rsidR="00C4700E" w:rsidRPr="00205C60">
        <w:rPr>
          <w:rFonts w:ascii="Verdana" w:hAnsi="Verdana" w:cs="Arial"/>
          <w:sz w:val="22"/>
          <w:szCs w:val="22"/>
          <w:lang w:val="es-ES" w:eastAsia="es-ES"/>
        </w:rPr>
        <w:t xml:space="preserve"> </w:t>
      </w:r>
      <w:r w:rsidRPr="00205C60">
        <w:rPr>
          <w:rFonts w:ascii="Verdana" w:hAnsi="Verdana" w:cs="Arial"/>
          <w:sz w:val="22"/>
          <w:szCs w:val="22"/>
          <w:lang w:val="es-ES" w:eastAsia="es-ES"/>
        </w:rPr>
        <w:t xml:space="preserve">El Consejo de Administración, determinará la fecha o fechas, el orden y el modo en que deberán repartirse y pagarse tales dividendos entre las clases o series de acciones entonces en circulación.  </w:t>
      </w:r>
    </w:p>
    <w:p w14:paraId="3CA7EE02" w14:textId="77777777" w:rsidR="00B44125" w:rsidRPr="00205C60" w:rsidRDefault="00B44125" w:rsidP="00C4700E">
      <w:pPr>
        <w:pStyle w:val="CNV"/>
        <w:ind w:left="706"/>
        <w:rPr>
          <w:rFonts w:ascii="Verdana" w:hAnsi="Verdana" w:cs="Arial"/>
          <w:sz w:val="22"/>
          <w:szCs w:val="22"/>
          <w:lang w:val="es-ES" w:eastAsia="es-ES"/>
        </w:rPr>
      </w:pPr>
      <w:r w:rsidRPr="00205C60">
        <w:rPr>
          <w:rFonts w:ascii="Verdana" w:hAnsi="Verdana" w:cs="Arial"/>
          <w:sz w:val="22"/>
          <w:szCs w:val="22"/>
          <w:lang w:val="es-ES" w:eastAsia="es-ES"/>
        </w:rPr>
        <w:t>Aparte de los dividendos que se declaren de los beneficios líquidos justificados por el balance correspondiente al ejercicio social, el Consejo de Administración, podrá también repartir y pagar dividendos de beneficios líquidos correspondientes por cualquier período inmediatamente vencido, pero siempre que estos beneficios líquidos sean justificados según el balance correspondiente a ese período, lo cual deberá ser debidamente aprobado por la Asamblea General de Accionistas que se haya convocado para ese objeto".</w:t>
      </w:r>
    </w:p>
    <w:p w14:paraId="3CA7EE03" w14:textId="77777777" w:rsidR="006523D1" w:rsidRPr="00205C60" w:rsidRDefault="006523D1">
      <w:pPr>
        <w:jc w:val="both"/>
        <w:rPr>
          <w:rFonts w:ascii="Verdana" w:hAnsi="Verdana" w:cs="Arial"/>
          <w:sz w:val="22"/>
          <w:szCs w:val="22"/>
        </w:rPr>
      </w:pPr>
    </w:p>
    <w:p w14:paraId="3CA7EE04" w14:textId="77777777" w:rsidR="008E39EB" w:rsidRPr="00205C60" w:rsidRDefault="005A4D6D">
      <w:pPr>
        <w:jc w:val="both"/>
        <w:rPr>
          <w:rFonts w:ascii="Verdana" w:hAnsi="Verdana" w:cs="Arial"/>
          <w:sz w:val="22"/>
          <w:szCs w:val="22"/>
        </w:rPr>
      </w:pPr>
      <w:r w:rsidRPr="00205C60">
        <w:rPr>
          <w:rFonts w:ascii="Verdana" w:hAnsi="Verdana" w:cs="Arial"/>
          <w:sz w:val="22"/>
          <w:szCs w:val="22"/>
        </w:rPr>
        <w:t xml:space="preserve">En </w:t>
      </w:r>
      <w:r w:rsidR="00005FAF" w:rsidRPr="00205C60">
        <w:rPr>
          <w:rFonts w:ascii="Verdana" w:hAnsi="Verdana" w:cs="Arial"/>
          <w:sz w:val="22"/>
          <w:szCs w:val="22"/>
        </w:rPr>
        <w:t xml:space="preserve">línea </w:t>
      </w:r>
      <w:r w:rsidRPr="00205C60">
        <w:rPr>
          <w:rFonts w:ascii="Verdana" w:hAnsi="Verdana" w:cs="Arial"/>
          <w:sz w:val="22"/>
          <w:szCs w:val="22"/>
        </w:rPr>
        <w:t xml:space="preserve">con lo anterior se puede decir que la empresa no tiene una periodicidad definida para </w:t>
      </w:r>
      <w:r w:rsidR="00004AB9" w:rsidRPr="00205C60">
        <w:rPr>
          <w:rFonts w:ascii="Verdana" w:hAnsi="Verdana" w:cs="Arial"/>
          <w:sz w:val="22"/>
          <w:szCs w:val="22"/>
        </w:rPr>
        <w:t xml:space="preserve">la </w:t>
      </w:r>
      <w:r w:rsidRPr="00205C60">
        <w:rPr>
          <w:rFonts w:ascii="Verdana" w:hAnsi="Verdana" w:cs="Arial"/>
          <w:sz w:val="22"/>
          <w:szCs w:val="22"/>
        </w:rPr>
        <w:t xml:space="preserve">distribución de dividendos </w:t>
      </w:r>
      <w:r w:rsidR="00A640B0" w:rsidRPr="00205C60">
        <w:rPr>
          <w:rFonts w:ascii="Verdana" w:hAnsi="Verdana" w:cs="Arial"/>
          <w:sz w:val="22"/>
          <w:szCs w:val="22"/>
        </w:rPr>
        <w:t>o</w:t>
      </w:r>
      <w:r w:rsidR="00004AB9" w:rsidRPr="00205C60">
        <w:rPr>
          <w:rFonts w:ascii="Verdana" w:hAnsi="Verdana" w:cs="Arial"/>
          <w:sz w:val="22"/>
          <w:szCs w:val="22"/>
        </w:rPr>
        <w:t xml:space="preserve"> una política definida para la declaración de dividendos</w:t>
      </w:r>
      <w:r w:rsidR="0010445E" w:rsidRPr="00205C60">
        <w:rPr>
          <w:rFonts w:ascii="Verdana" w:hAnsi="Verdana" w:cs="Arial"/>
          <w:sz w:val="22"/>
          <w:szCs w:val="22"/>
        </w:rPr>
        <w:t>.</w:t>
      </w:r>
      <w:r w:rsidR="00004AB9" w:rsidRPr="00205C60">
        <w:rPr>
          <w:rFonts w:ascii="Verdana" w:hAnsi="Verdana" w:cs="Arial"/>
          <w:sz w:val="22"/>
          <w:szCs w:val="22"/>
        </w:rPr>
        <w:t xml:space="preserve"> </w:t>
      </w:r>
    </w:p>
    <w:p w14:paraId="3CA7EE05" w14:textId="77777777" w:rsidR="006523D1" w:rsidRPr="00205C60" w:rsidRDefault="006523D1" w:rsidP="007E7955">
      <w:pPr>
        <w:jc w:val="both"/>
        <w:rPr>
          <w:rFonts w:ascii="Verdana" w:hAnsi="Verdana" w:cs="Arial"/>
          <w:sz w:val="22"/>
          <w:szCs w:val="22"/>
        </w:rPr>
      </w:pPr>
    </w:p>
    <w:p w14:paraId="219FA5BB" w14:textId="0844B238" w:rsidR="006C7D0A" w:rsidRPr="00205C60" w:rsidRDefault="00E612D5" w:rsidP="00B52728">
      <w:pPr>
        <w:jc w:val="both"/>
        <w:rPr>
          <w:rFonts w:ascii="Verdana" w:hAnsi="Verdana" w:cs="Arial"/>
          <w:sz w:val="22"/>
          <w:szCs w:val="22"/>
        </w:rPr>
      </w:pPr>
      <w:r w:rsidRPr="00205C60">
        <w:rPr>
          <w:rFonts w:ascii="Verdana" w:hAnsi="Verdana" w:cs="Arial"/>
          <w:sz w:val="22"/>
          <w:szCs w:val="22"/>
        </w:rPr>
        <w:t xml:space="preserve">Es importante mencionar, que durante </w:t>
      </w:r>
      <w:r w:rsidR="007E60F4" w:rsidRPr="00205C60">
        <w:rPr>
          <w:rFonts w:ascii="Verdana" w:hAnsi="Verdana" w:cs="Arial"/>
          <w:sz w:val="22"/>
          <w:szCs w:val="22"/>
        </w:rPr>
        <w:t xml:space="preserve">el período fiscal </w:t>
      </w:r>
      <w:r w:rsidR="009D4382" w:rsidRPr="00205C60">
        <w:rPr>
          <w:rFonts w:ascii="Verdana" w:hAnsi="Verdana" w:cs="Arial"/>
          <w:sz w:val="22"/>
          <w:szCs w:val="22"/>
        </w:rPr>
        <w:t>20</w:t>
      </w:r>
      <w:r w:rsidR="00817CBF" w:rsidRPr="00205C60">
        <w:rPr>
          <w:rFonts w:ascii="Verdana" w:hAnsi="Verdana" w:cs="Arial"/>
          <w:sz w:val="22"/>
          <w:szCs w:val="22"/>
        </w:rPr>
        <w:t>2</w:t>
      </w:r>
      <w:r w:rsidR="00F67144" w:rsidRPr="00205C60">
        <w:rPr>
          <w:rFonts w:ascii="Verdana" w:hAnsi="Verdana" w:cs="Arial"/>
          <w:sz w:val="22"/>
          <w:szCs w:val="22"/>
        </w:rPr>
        <w:t>2</w:t>
      </w:r>
      <w:r w:rsidR="00AE634F" w:rsidRPr="00205C60">
        <w:rPr>
          <w:rFonts w:ascii="Verdana" w:hAnsi="Verdana" w:cs="Arial"/>
          <w:sz w:val="22"/>
          <w:szCs w:val="22"/>
        </w:rPr>
        <w:t xml:space="preserve"> </w:t>
      </w:r>
      <w:r w:rsidRPr="00205C60">
        <w:rPr>
          <w:rFonts w:ascii="Verdana" w:hAnsi="Verdana" w:cs="Arial"/>
          <w:sz w:val="22"/>
          <w:szCs w:val="22"/>
        </w:rPr>
        <w:t>no se realiz</w:t>
      </w:r>
      <w:r w:rsidR="007E60F4" w:rsidRPr="00205C60">
        <w:rPr>
          <w:rFonts w:ascii="Verdana" w:hAnsi="Verdana" w:cs="Arial"/>
          <w:sz w:val="22"/>
          <w:szCs w:val="22"/>
        </w:rPr>
        <w:t xml:space="preserve">ó </w:t>
      </w:r>
      <w:r w:rsidRPr="00205C60">
        <w:rPr>
          <w:rFonts w:ascii="Verdana" w:hAnsi="Verdana" w:cs="Arial"/>
          <w:sz w:val="22"/>
          <w:szCs w:val="22"/>
        </w:rPr>
        <w:t>pago por concepto de dividendos.</w:t>
      </w:r>
      <w:r w:rsidR="006C7D0A" w:rsidRPr="00205C60">
        <w:rPr>
          <w:rFonts w:ascii="Verdana" w:hAnsi="Verdana" w:cs="Arial"/>
          <w:sz w:val="22"/>
          <w:szCs w:val="22"/>
        </w:rPr>
        <w:br w:type="page"/>
      </w:r>
    </w:p>
    <w:p w14:paraId="7B9BAD62" w14:textId="77777777" w:rsidR="00AE634F" w:rsidRPr="00205C60" w:rsidRDefault="00AE634F" w:rsidP="007E7955">
      <w:pPr>
        <w:jc w:val="both"/>
        <w:rPr>
          <w:rFonts w:ascii="Verdana" w:hAnsi="Verdana" w:cs="Arial"/>
          <w:sz w:val="22"/>
          <w:szCs w:val="22"/>
        </w:rPr>
      </w:pPr>
    </w:p>
    <w:p w14:paraId="1A00E5E3" w14:textId="2F7FF7DA" w:rsidR="00AE634F" w:rsidRPr="00205C60" w:rsidRDefault="00AE634F" w:rsidP="007E7955">
      <w:pPr>
        <w:jc w:val="both"/>
        <w:rPr>
          <w:rFonts w:ascii="Verdana" w:hAnsi="Verdana" w:cs="Arial"/>
          <w:sz w:val="22"/>
          <w:szCs w:val="22"/>
        </w:rPr>
      </w:pPr>
    </w:p>
    <w:p w14:paraId="3CA7EE23" w14:textId="77777777" w:rsidR="00B44125" w:rsidRPr="00205C60" w:rsidRDefault="00B44125" w:rsidP="00BD2757">
      <w:pPr>
        <w:pStyle w:val="Ttulo1"/>
        <w:numPr>
          <w:ilvl w:val="0"/>
          <w:numId w:val="0"/>
        </w:numPr>
        <w:ind w:right="142"/>
        <w:jc w:val="center"/>
        <w:rPr>
          <w:rFonts w:ascii="Verdana" w:hAnsi="Verdana" w:cs="Arial"/>
          <w:bCs/>
          <w:sz w:val="22"/>
          <w:szCs w:val="22"/>
        </w:rPr>
      </w:pPr>
      <w:bookmarkStart w:id="109" w:name="_Toc64695496"/>
      <w:bookmarkStart w:id="110" w:name="_Toc104529464"/>
      <w:bookmarkStart w:id="111" w:name="_Toc64699227"/>
      <w:r w:rsidRPr="00205C60">
        <w:rPr>
          <w:rFonts w:ascii="Verdana" w:hAnsi="Verdana" w:cs="Arial"/>
          <w:bCs/>
          <w:sz w:val="22"/>
          <w:szCs w:val="22"/>
        </w:rPr>
        <w:t>CAPITULO III</w:t>
      </w:r>
      <w:bookmarkStart w:id="112" w:name="_Toc64695497"/>
      <w:bookmarkEnd w:id="109"/>
      <w:bookmarkEnd w:id="110"/>
      <w:r w:rsidRPr="00205C60">
        <w:rPr>
          <w:rFonts w:ascii="Verdana" w:hAnsi="Verdana" w:cs="Arial"/>
          <w:bCs/>
          <w:sz w:val="22"/>
          <w:szCs w:val="22"/>
        </w:rPr>
        <w:t xml:space="preserve"> </w:t>
      </w:r>
    </w:p>
    <w:p w14:paraId="3CA7EE24" w14:textId="77777777" w:rsidR="00B44125" w:rsidRPr="00205C60" w:rsidRDefault="00B44125">
      <w:pPr>
        <w:pStyle w:val="Ttulo1"/>
        <w:numPr>
          <w:ilvl w:val="0"/>
          <w:numId w:val="0"/>
        </w:numPr>
        <w:jc w:val="center"/>
        <w:rPr>
          <w:rFonts w:ascii="Verdana" w:hAnsi="Verdana" w:cs="Arial"/>
          <w:bCs/>
          <w:sz w:val="22"/>
          <w:szCs w:val="22"/>
        </w:rPr>
      </w:pPr>
      <w:bookmarkStart w:id="113" w:name="_Toc104529465"/>
      <w:r w:rsidRPr="00205C60">
        <w:rPr>
          <w:rFonts w:ascii="Verdana" w:hAnsi="Verdana" w:cs="Arial"/>
          <w:bCs/>
          <w:sz w:val="22"/>
          <w:szCs w:val="22"/>
        </w:rPr>
        <w:t>INFORMACIÓN SOBRE LA EMPRESA EMISORA</w:t>
      </w:r>
      <w:bookmarkEnd w:id="111"/>
      <w:bookmarkEnd w:id="112"/>
      <w:bookmarkEnd w:id="113"/>
    </w:p>
    <w:p w14:paraId="3CA7EE25" w14:textId="77777777" w:rsidR="00FD794A" w:rsidRPr="00205C60" w:rsidRDefault="00FD794A">
      <w:pPr>
        <w:jc w:val="both"/>
        <w:rPr>
          <w:rFonts w:ascii="Verdana" w:hAnsi="Verdana" w:cs="Arial"/>
          <w:sz w:val="22"/>
          <w:szCs w:val="22"/>
        </w:rPr>
      </w:pPr>
    </w:p>
    <w:p w14:paraId="3CA7EE26" w14:textId="77777777" w:rsidR="006679C8" w:rsidRPr="00205C60" w:rsidRDefault="006679C8">
      <w:pPr>
        <w:jc w:val="both"/>
        <w:rPr>
          <w:rFonts w:ascii="Verdana" w:hAnsi="Verdana" w:cs="Arial"/>
          <w:sz w:val="22"/>
          <w:szCs w:val="22"/>
        </w:rPr>
      </w:pPr>
    </w:p>
    <w:p w14:paraId="3CA7EE27" w14:textId="77777777" w:rsidR="00D66CA3" w:rsidRPr="00205C60" w:rsidRDefault="00D66CA3" w:rsidP="003F6C56">
      <w:pPr>
        <w:jc w:val="both"/>
        <w:rPr>
          <w:rFonts w:ascii="Verdana" w:hAnsi="Verdana" w:cs="Arial"/>
          <w:sz w:val="22"/>
          <w:szCs w:val="22"/>
        </w:rPr>
      </w:pPr>
      <w:r w:rsidRPr="00205C60">
        <w:rPr>
          <w:rFonts w:ascii="Verdana" w:hAnsi="Verdana" w:cs="Arial"/>
          <w:b/>
          <w:sz w:val="22"/>
          <w:szCs w:val="22"/>
        </w:rPr>
        <w:t xml:space="preserve">Denominación social: </w:t>
      </w:r>
      <w:r w:rsidRPr="00205C60">
        <w:rPr>
          <w:rFonts w:ascii="Verdana" w:hAnsi="Verdana" w:cs="Arial"/>
          <w:sz w:val="22"/>
          <w:szCs w:val="22"/>
        </w:rPr>
        <w:t>Compañía Nacional de Fuerza y Luz, S.A.</w:t>
      </w:r>
    </w:p>
    <w:p w14:paraId="3CA7EE28" w14:textId="77777777" w:rsidR="00D66CA3" w:rsidRPr="00205C60" w:rsidRDefault="00D66CA3" w:rsidP="003F6C56">
      <w:pPr>
        <w:jc w:val="both"/>
        <w:rPr>
          <w:rFonts w:ascii="Verdana" w:hAnsi="Verdana" w:cs="Arial"/>
          <w:sz w:val="22"/>
          <w:szCs w:val="22"/>
        </w:rPr>
      </w:pPr>
      <w:r w:rsidRPr="00205C60">
        <w:rPr>
          <w:rFonts w:ascii="Verdana" w:hAnsi="Verdana" w:cs="Arial"/>
          <w:b/>
          <w:sz w:val="22"/>
          <w:szCs w:val="22"/>
        </w:rPr>
        <w:t xml:space="preserve">Número de </w:t>
      </w:r>
      <w:r w:rsidR="002859BA" w:rsidRPr="00205C60">
        <w:rPr>
          <w:rFonts w:ascii="Verdana" w:hAnsi="Verdana" w:cs="Arial"/>
          <w:b/>
          <w:sz w:val="22"/>
          <w:szCs w:val="22"/>
        </w:rPr>
        <w:t>c</w:t>
      </w:r>
      <w:r w:rsidRPr="00205C60">
        <w:rPr>
          <w:rFonts w:ascii="Verdana" w:hAnsi="Verdana" w:cs="Arial"/>
          <w:b/>
          <w:sz w:val="22"/>
          <w:szCs w:val="22"/>
        </w:rPr>
        <w:t xml:space="preserve">édula jurídica: </w:t>
      </w:r>
      <w:r w:rsidRPr="00205C60">
        <w:rPr>
          <w:rFonts w:ascii="Verdana" w:hAnsi="Verdana" w:cs="Arial"/>
          <w:sz w:val="22"/>
          <w:szCs w:val="22"/>
        </w:rPr>
        <w:t>3-101-0000-46</w:t>
      </w:r>
    </w:p>
    <w:p w14:paraId="3CA7EE29" w14:textId="77777777" w:rsidR="00D66CA3" w:rsidRPr="00205C60" w:rsidRDefault="00D66CA3" w:rsidP="003F6C56">
      <w:pPr>
        <w:jc w:val="both"/>
        <w:rPr>
          <w:rFonts w:ascii="Verdana" w:hAnsi="Verdana" w:cs="Arial"/>
          <w:sz w:val="22"/>
          <w:szCs w:val="22"/>
        </w:rPr>
      </w:pPr>
      <w:r w:rsidRPr="00205C60">
        <w:rPr>
          <w:rFonts w:ascii="Verdana" w:hAnsi="Verdana" w:cs="Arial"/>
          <w:b/>
          <w:sz w:val="22"/>
          <w:szCs w:val="22"/>
        </w:rPr>
        <w:t xml:space="preserve">Cita de inscripción: </w:t>
      </w:r>
      <w:r w:rsidR="00D75E95" w:rsidRPr="00205C60">
        <w:rPr>
          <w:rFonts w:ascii="Verdana" w:hAnsi="Verdana" w:cs="Arial"/>
          <w:sz w:val="22"/>
          <w:szCs w:val="22"/>
        </w:rPr>
        <w:t>Inscrita en el Registro Nacional al tomo 116, folio 501, asiento 341.</w:t>
      </w:r>
    </w:p>
    <w:p w14:paraId="3CA7EE2A" w14:textId="77777777" w:rsidR="00D66CA3" w:rsidRPr="00205C60" w:rsidRDefault="00D66CA3" w:rsidP="003F6C56">
      <w:pPr>
        <w:jc w:val="both"/>
        <w:rPr>
          <w:rFonts w:ascii="Verdana" w:hAnsi="Verdana" w:cs="Arial"/>
          <w:sz w:val="22"/>
          <w:szCs w:val="22"/>
        </w:rPr>
      </w:pPr>
      <w:r w:rsidRPr="00205C60">
        <w:rPr>
          <w:rFonts w:ascii="Verdana" w:hAnsi="Verdana" w:cs="Arial"/>
          <w:b/>
          <w:sz w:val="22"/>
          <w:szCs w:val="22"/>
        </w:rPr>
        <w:t xml:space="preserve">Domicilio legal: </w:t>
      </w:r>
      <w:r w:rsidRPr="00205C60">
        <w:rPr>
          <w:rFonts w:ascii="Verdana" w:hAnsi="Verdana" w:cs="Arial"/>
          <w:sz w:val="22"/>
          <w:szCs w:val="22"/>
        </w:rPr>
        <w:t>San José, Costa Rica</w:t>
      </w:r>
      <w:r w:rsidR="00BE3A50" w:rsidRPr="00205C60">
        <w:rPr>
          <w:rFonts w:ascii="Verdana" w:hAnsi="Verdana" w:cs="Arial"/>
          <w:sz w:val="22"/>
          <w:szCs w:val="22"/>
        </w:rPr>
        <w:t>, avenida quinta, entre calles central y primera.</w:t>
      </w:r>
    </w:p>
    <w:p w14:paraId="3CA7EE2B" w14:textId="77777777" w:rsidR="00D66CA3" w:rsidRPr="00205C60" w:rsidRDefault="00D66CA3" w:rsidP="003F6C56">
      <w:pPr>
        <w:jc w:val="both"/>
        <w:rPr>
          <w:rFonts w:ascii="Verdana" w:hAnsi="Verdana" w:cs="Arial"/>
          <w:sz w:val="22"/>
          <w:szCs w:val="22"/>
        </w:rPr>
      </w:pPr>
      <w:r w:rsidRPr="00205C60">
        <w:rPr>
          <w:rFonts w:ascii="Verdana" w:hAnsi="Verdana" w:cs="Arial"/>
          <w:b/>
          <w:sz w:val="22"/>
          <w:szCs w:val="22"/>
        </w:rPr>
        <w:t xml:space="preserve">Teléfono: </w:t>
      </w:r>
      <w:r w:rsidR="005C4A90" w:rsidRPr="00205C60">
        <w:rPr>
          <w:rFonts w:ascii="Verdana" w:hAnsi="Verdana" w:cs="Arial"/>
          <w:sz w:val="22"/>
          <w:szCs w:val="22"/>
        </w:rPr>
        <w:t>2</w:t>
      </w:r>
      <w:r w:rsidRPr="00205C60">
        <w:rPr>
          <w:rFonts w:ascii="Verdana" w:hAnsi="Verdana" w:cs="Arial"/>
          <w:sz w:val="22"/>
          <w:szCs w:val="22"/>
        </w:rPr>
        <w:t>295-5550</w:t>
      </w:r>
    </w:p>
    <w:p w14:paraId="3CA7EE2D" w14:textId="77777777" w:rsidR="00D66CA3" w:rsidRPr="00205C60" w:rsidRDefault="00D66CA3" w:rsidP="003F6C56">
      <w:pPr>
        <w:jc w:val="both"/>
        <w:rPr>
          <w:rFonts w:ascii="Verdana" w:hAnsi="Verdana" w:cs="Arial"/>
          <w:sz w:val="22"/>
          <w:szCs w:val="22"/>
        </w:rPr>
      </w:pPr>
      <w:r w:rsidRPr="00205C60">
        <w:rPr>
          <w:rFonts w:ascii="Verdana" w:hAnsi="Verdana" w:cs="Arial"/>
          <w:b/>
          <w:sz w:val="22"/>
          <w:szCs w:val="22"/>
        </w:rPr>
        <w:t xml:space="preserve">Apartado: </w:t>
      </w:r>
      <w:r w:rsidRPr="00205C60">
        <w:rPr>
          <w:rFonts w:ascii="Verdana" w:hAnsi="Verdana" w:cs="Arial"/>
          <w:sz w:val="22"/>
          <w:szCs w:val="22"/>
        </w:rPr>
        <w:t>10026 San José</w:t>
      </w:r>
    </w:p>
    <w:p w14:paraId="3CA7EE2E" w14:textId="77777777" w:rsidR="00D66CA3" w:rsidRPr="00205C60" w:rsidRDefault="00D66CA3" w:rsidP="003F6C56">
      <w:pPr>
        <w:jc w:val="both"/>
        <w:rPr>
          <w:rFonts w:ascii="Verdana" w:hAnsi="Verdana" w:cs="Arial"/>
          <w:sz w:val="22"/>
          <w:szCs w:val="22"/>
        </w:rPr>
      </w:pPr>
      <w:r w:rsidRPr="00205C60">
        <w:rPr>
          <w:rFonts w:ascii="Verdana" w:hAnsi="Verdana" w:cs="Arial"/>
          <w:b/>
          <w:sz w:val="22"/>
          <w:szCs w:val="22"/>
        </w:rPr>
        <w:t>Correo electrónico:</w:t>
      </w:r>
      <w:r w:rsidR="00A81BE5" w:rsidRPr="00205C60">
        <w:rPr>
          <w:rFonts w:ascii="Verdana" w:hAnsi="Verdana" w:cs="Arial"/>
          <w:b/>
          <w:sz w:val="22"/>
          <w:szCs w:val="22"/>
        </w:rPr>
        <w:t xml:space="preserve"> </w:t>
      </w:r>
      <w:r w:rsidR="00197D12" w:rsidRPr="00205C60">
        <w:rPr>
          <w:rFonts w:ascii="Verdana" w:hAnsi="Verdana" w:cs="Arial"/>
          <w:sz w:val="22"/>
          <w:szCs w:val="22"/>
        </w:rPr>
        <w:t>depfinan</w:t>
      </w:r>
      <w:r w:rsidR="00DD51FA" w:rsidRPr="00205C60">
        <w:rPr>
          <w:rFonts w:ascii="Verdana" w:hAnsi="Verdana" w:cs="Arial"/>
          <w:sz w:val="22"/>
          <w:szCs w:val="22"/>
        </w:rPr>
        <w:t>@cnfl.go.cr</w:t>
      </w:r>
    </w:p>
    <w:p w14:paraId="3CA7EE2F" w14:textId="77777777" w:rsidR="00D66CA3" w:rsidRPr="00205C60" w:rsidRDefault="00D66CA3" w:rsidP="003F6C56">
      <w:pPr>
        <w:jc w:val="both"/>
        <w:rPr>
          <w:rFonts w:ascii="Verdana" w:hAnsi="Verdana" w:cs="Arial"/>
          <w:sz w:val="22"/>
          <w:szCs w:val="22"/>
          <w:lang w:val="en-US"/>
        </w:rPr>
      </w:pPr>
      <w:r w:rsidRPr="00205C60">
        <w:rPr>
          <w:rFonts w:ascii="Verdana" w:hAnsi="Verdana" w:cs="Arial"/>
          <w:b/>
          <w:sz w:val="22"/>
          <w:szCs w:val="22"/>
          <w:lang w:val="en-US"/>
        </w:rPr>
        <w:t>Sitio Web:</w:t>
      </w:r>
      <w:r w:rsidR="00197D12" w:rsidRPr="00205C60">
        <w:rPr>
          <w:rFonts w:ascii="Verdana" w:hAnsi="Verdana" w:cs="Arial"/>
          <w:b/>
          <w:sz w:val="22"/>
          <w:szCs w:val="22"/>
          <w:lang w:val="en-US"/>
        </w:rPr>
        <w:t xml:space="preserve"> </w:t>
      </w:r>
      <w:r w:rsidR="00197D12" w:rsidRPr="00205C60">
        <w:rPr>
          <w:rFonts w:ascii="Verdana" w:hAnsi="Verdana" w:cs="Arial"/>
          <w:sz w:val="22"/>
          <w:szCs w:val="22"/>
          <w:lang w:val="en-US"/>
        </w:rPr>
        <w:t>www.cnfl.go.cr</w:t>
      </w:r>
    </w:p>
    <w:p w14:paraId="3CA7EE30" w14:textId="77777777" w:rsidR="00FD794A" w:rsidRPr="00205C60" w:rsidRDefault="00FD794A" w:rsidP="00D66CA3">
      <w:pPr>
        <w:ind w:left="360"/>
        <w:jc w:val="both"/>
        <w:rPr>
          <w:rFonts w:ascii="Verdana" w:hAnsi="Verdana" w:cs="Arial"/>
          <w:sz w:val="22"/>
          <w:szCs w:val="22"/>
          <w:lang w:val="en-US"/>
        </w:rPr>
      </w:pPr>
    </w:p>
    <w:p w14:paraId="3CA7EE31" w14:textId="77777777" w:rsidR="00B44125" w:rsidRPr="00205C60" w:rsidRDefault="00B44125" w:rsidP="00307E2B">
      <w:pPr>
        <w:pStyle w:val="Ttulo2"/>
        <w:numPr>
          <w:ilvl w:val="1"/>
          <w:numId w:val="1"/>
        </w:numPr>
        <w:tabs>
          <w:tab w:val="clear" w:pos="720"/>
          <w:tab w:val="left" w:pos="708"/>
        </w:tabs>
        <w:rPr>
          <w:rFonts w:ascii="Verdana" w:hAnsi="Verdana" w:cs="Arial"/>
          <w:sz w:val="22"/>
          <w:szCs w:val="22"/>
        </w:rPr>
      </w:pPr>
      <w:bookmarkStart w:id="114" w:name="_Toc64699228"/>
      <w:bookmarkStart w:id="115" w:name="_Toc104529466"/>
      <w:r w:rsidRPr="00205C60">
        <w:rPr>
          <w:rFonts w:ascii="Verdana" w:hAnsi="Verdana" w:cs="Arial"/>
          <w:sz w:val="22"/>
          <w:szCs w:val="22"/>
        </w:rPr>
        <w:t>Historia y desarrollo de la Empresa</w:t>
      </w:r>
      <w:bookmarkEnd w:id="114"/>
      <w:bookmarkEnd w:id="115"/>
    </w:p>
    <w:p w14:paraId="3CA7EE32" w14:textId="77777777" w:rsidR="00CA6044" w:rsidRPr="00205C60" w:rsidRDefault="00CA6044" w:rsidP="00CA6044">
      <w:pPr>
        <w:rPr>
          <w:rFonts w:ascii="Verdana" w:hAnsi="Verdana"/>
          <w:sz w:val="22"/>
          <w:szCs w:val="22"/>
        </w:rPr>
      </w:pPr>
    </w:p>
    <w:p w14:paraId="3CA7EE33" w14:textId="77777777" w:rsidR="00B44125" w:rsidRPr="00205C60" w:rsidRDefault="00B44125" w:rsidP="003F6C56">
      <w:pPr>
        <w:jc w:val="both"/>
        <w:rPr>
          <w:rFonts w:ascii="Verdana" w:hAnsi="Verdana" w:cs="Arial"/>
          <w:sz w:val="22"/>
          <w:szCs w:val="22"/>
        </w:rPr>
      </w:pPr>
      <w:bookmarkStart w:id="116" w:name="_Toc64699229"/>
      <w:r w:rsidRPr="00205C60">
        <w:rPr>
          <w:rFonts w:ascii="Verdana" w:hAnsi="Verdana" w:cs="Arial"/>
          <w:sz w:val="22"/>
          <w:szCs w:val="22"/>
        </w:rPr>
        <w:t xml:space="preserve">La creación de la Compañía Nacional de Fuerza y Luz S.A. se da mediante el Contrato Eléctrico, Ley Nº 2 del </w:t>
      </w:r>
      <w:r w:rsidR="00F1410B" w:rsidRPr="00205C60">
        <w:rPr>
          <w:rFonts w:ascii="Verdana" w:hAnsi="Verdana" w:cs="Arial"/>
          <w:sz w:val="22"/>
          <w:szCs w:val="22"/>
        </w:rPr>
        <w:t>8</w:t>
      </w:r>
      <w:r w:rsidRPr="00205C60">
        <w:rPr>
          <w:rFonts w:ascii="Verdana" w:hAnsi="Verdana" w:cs="Arial"/>
          <w:sz w:val="22"/>
          <w:szCs w:val="22"/>
        </w:rPr>
        <w:t xml:space="preserve"> de abril de 1941 y la escritura constitutiva del 15 de mayo de 1941.</w:t>
      </w:r>
      <w:r w:rsidR="00A236AB" w:rsidRPr="00205C60">
        <w:rPr>
          <w:rFonts w:ascii="Verdana" w:hAnsi="Verdana" w:cs="Arial"/>
          <w:sz w:val="22"/>
          <w:szCs w:val="22"/>
        </w:rPr>
        <w:t xml:space="preserve">  Dicha constitución fue producto de la fusión de las sociedades “The Costa Rica Electric Light and Traction </w:t>
      </w:r>
      <w:r w:rsidR="00500394" w:rsidRPr="00205C60">
        <w:rPr>
          <w:rFonts w:ascii="Verdana" w:hAnsi="Verdana" w:cs="Arial"/>
          <w:sz w:val="22"/>
          <w:szCs w:val="22"/>
        </w:rPr>
        <w:t>C</w:t>
      </w:r>
      <w:r w:rsidR="00A236AB" w:rsidRPr="00205C60">
        <w:rPr>
          <w:rFonts w:ascii="Verdana" w:hAnsi="Verdana" w:cs="Arial"/>
          <w:sz w:val="22"/>
          <w:szCs w:val="22"/>
        </w:rPr>
        <w:t>ompa</w:t>
      </w:r>
      <w:r w:rsidR="00500394" w:rsidRPr="00205C60">
        <w:rPr>
          <w:rFonts w:ascii="Verdana" w:hAnsi="Verdana" w:cs="Arial"/>
          <w:sz w:val="22"/>
          <w:szCs w:val="22"/>
        </w:rPr>
        <w:t>ny,</w:t>
      </w:r>
      <w:r w:rsidR="00A236AB" w:rsidRPr="00205C60">
        <w:rPr>
          <w:rFonts w:ascii="Verdana" w:hAnsi="Verdana" w:cs="Arial"/>
          <w:sz w:val="22"/>
          <w:szCs w:val="22"/>
        </w:rPr>
        <w:t xml:space="preserve"> Limited, Compañía Nacional de Electricidad y Compañía Nacional Hidroeléctrica Sociedad Anónima.</w:t>
      </w:r>
    </w:p>
    <w:p w14:paraId="3CA7EE34" w14:textId="77777777" w:rsidR="00B44125" w:rsidRPr="00205C60" w:rsidRDefault="00B44125">
      <w:pPr>
        <w:jc w:val="both"/>
        <w:rPr>
          <w:rFonts w:ascii="Verdana" w:hAnsi="Verdana" w:cs="Arial"/>
          <w:sz w:val="22"/>
          <w:szCs w:val="22"/>
        </w:rPr>
      </w:pPr>
    </w:p>
    <w:p w14:paraId="3CA7EE35" w14:textId="00E6205A" w:rsidR="009D1A03" w:rsidRPr="00205C60" w:rsidRDefault="00B44125" w:rsidP="003F6C56">
      <w:pPr>
        <w:jc w:val="both"/>
        <w:rPr>
          <w:rFonts w:ascii="Verdana" w:hAnsi="Verdana" w:cs="Arial"/>
          <w:sz w:val="22"/>
          <w:szCs w:val="22"/>
        </w:rPr>
      </w:pPr>
      <w:r w:rsidRPr="00205C60">
        <w:rPr>
          <w:rFonts w:ascii="Verdana" w:hAnsi="Verdana" w:cs="Arial"/>
          <w:sz w:val="22"/>
          <w:szCs w:val="22"/>
        </w:rPr>
        <w:t>En 1968, el Instituto Costarricense de Electricidad adquirió el 98,6% de las acciones de la Compañía y las restantes queda</w:t>
      </w:r>
      <w:r w:rsidR="00DA2737" w:rsidRPr="00205C60">
        <w:rPr>
          <w:rFonts w:ascii="Verdana" w:hAnsi="Verdana" w:cs="Arial"/>
          <w:sz w:val="22"/>
          <w:szCs w:val="22"/>
        </w:rPr>
        <w:t>ron en manos de particulares, en vista de lo anterior</w:t>
      </w:r>
      <w:r w:rsidR="009D1A03" w:rsidRPr="00205C60">
        <w:rPr>
          <w:rFonts w:ascii="Verdana" w:hAnsi="Verdana" w:cs="Arial"/>
          <w:sz w:val="22"/>
          <w:szCs w:val="22"/>
        </w:rPr>
        <w:t>,</w:t>
      </w:r>
      <w:r w:rsidR="00DA2737" w:rsidRPr="00205C60">
        <w:rPr>
          <w:rFonts w:ascii="Verdana" w:hAnsi="Verdana" w:cs="Arial"/>
          <w:sz w:val="22"/>
          <w:szCs w:val="22"/>
        </w:rPr>
        <w:t xml:space="preserve"> gran parte del funcionamiento de la</w:t>
      </w:r>
      <w:r w:rsidRPr="00205C60">
        <w:rPr>
          <w:rFonts w:ascii="Verdana" w:hAnsi="Verdana" w:cs="Arial"/>
          <w:sz w:val="22"/>
          <w:szCs w:val="22"/>
        </w:rPr>
        <w:t xml:space="preserve"> Compañía </w:t>
      </w:r>
      <w:r w:rsidR="00DA2737" w:rsidRPr="00205C60">
        <w:rPr>
          <w:rFonts w:ascii="Verdana" w:hAnsi="Verdana" w:cs="Arial"/>
          <w:sz w:val="22"/>
          <w:szCs w:val="22"/>
        </w:rPr>
        <w:t>se ve influenciado por</w:t>
      </w:r>
      <w:r w:rsidR="009D1A03" w:rsidRPr="00205C60">
        <w:rPr>
          <w:rFonts w:ascii="Verdana" w:hAnsi="Verdana" w:cs="Arial"/>
          <w:sz w:val="22"/>
          <w:szCs w:val="22"/>
        </w:rPr>
        <w:t xml:space="preserve"> </w:t>
      </w:r>
      <w:r w:rsidR="00DA2737" w:rsidRPr="00205C60">
        <w:rPr>
          <w:rFonts w:ascii="Verdana" w:hAnsi="Verdana" w:cs="Arial"/>
          <w:sz w:val="22"/>
          <w:szCs w:val="22"/>
        </w:rPr>
        <w:t xml:space="preserve">políticas generales </w:t>
      </w:r>
      <w:r w:rsidR="009D1A03" w:rsidRPr="00205C60">
        <w:rPr>
          <w:rFonts w:ascii="Verdana" w:hAnsi="Verdana" w:cs="Arial"/>
          <w:sz w:val="22"/>
          <w:szCs w:val="22"/>
        </w:rPr>
        <w:t>d</w:t>
      </w:r>
      <w:r w:rsidR="00DA2737" w:rsidRPr="00205C60">
        <w:rPr>
          <w:rFonts w:ascii="Verdana" w:hAnsi="Verdana" w:cs="Arial"/>
          <w:sz w:val="22"/>
          <w:szCs w:val="22"/>
        </w:rPr>
        <w:t xml:space="preserve">ictadas por el ICE </w:t>
      </w:r>
      <w:r w:rsidR="009D1A03" w:rsidRPr="00205C60">
        <w:rPr>
          <w:rFonts w:ascii="Verdana" w:hAnsi="Verdana" w:cs="Arial"/>
          <w:sz w:val="22"/>
          <w:szCs w:val="22"/>
        </w:rPr>
        <w:t xml:space="preserve">como rector del desarrollo eléctrico nacional </w:t>
      </w:r>
      <w:r w:rsidR="00DA2737" w:rsidRPr="00205C60">
        <w:rPr>
          <w:rFonts w:ascii="Verdana" w:hAnsi="Verdana" w:cs="Arial"/>
          <w:sz w:val="22"/>
          <w:szCs w:val="22"/>
        </w:rPr>
        <w:t xml:space="preserve">y transmitidas a CNFL por medio de su </w:t>
      </w:r>
      <w:r w:rsidR="008E6F07" w:rsidRPr="00205C60">
        <w:rPr>
          <w:rFonts w:ascii="Verdana" w:hAnsi="Verdana" w:cs="Arial"/>
          <w:sz w:val="22"/>
          <w:szCs w:val="22"/>
        </w:rPr>
        <w:t>presidente ejecutivo</w:t>
      </w:r>
      <w:r w:rsidR="00DA2737" w:rsidRPr="00205C60">
        <w:rPr>
          <w:rFonts w:ascii="Verdana" w:hAnsi="Verdana" w:cs="Arial"/>
          <w:sz w:val="22"/>
          <w:szCs w:val="22"/>
        </w:rPr>
        <w:t xml:space="preserve"> quien también lo es de</w:t>
      </w:r>
      <w:r w:rsidR="009D1A03" w:rsidRPr="00205C60">
        <w:rPr>
          <w:rFonts w:ascii="Verdana" w:hAnsi="Verdana" w:cs="Arial"/>
          <w:sz w:val="22"/>
          <w:szCs w:val="22"/>
        </w:rPr>
        <w:t xml:space="preserve">l Consejo de Administración de la Compañía. </w:t>
      </w:r>
    </w:p>
    <w:p w14:paraId="3CA7EE36" w14:textId="77777777" w:rsidR="009D1A03" w:rsidRPr="00205C60" w:rsidRDefault="009D1A03" w:rsidP="009D1A03">
      <w:pPr>
        <w:ind w:left="360"/>
        <w:jc w:val="both"/>
        <w:rPr>
          <w:rFonts w:ascii="Verdana" w:hAnsi="Verdana" w:cs="Arial"/>
          <w:sz w:val="22"/>
          <w:szCs w:val="22"/>
        </w:rPr>
      </w:pPr>
    </w:p>
    <w:p w14:paraId="3CA7EE37" w14:textId="77777777" w:rsidR="009D1A03" w:rsidRPr="00205C60" w:rsidRDefault="009D1A03" w:rsidP="003F6C56">
      <w:pPr>
        <w:jc w:val="both"/>
        <w:rPr>
          <w:rFonts w:ascii="Verdana" w:hAnsi="Verdana" w:cs="Arial"/>
          <w:sz w:val="22"/>
          <w:szCs w:val="22"/>
        </w:rPr>
      </w:pPr>
      <w:r w:rsidRPr="00205C60">
        <w:rPr>
          <w:rFonts w:ascii="Verdana" w:hAnsi="Verdana" w:cs="Arial"/>
          <w:sz w:val="22"/>
          <w:szCs w:val="22"/>
        </w:rPr>
        <w:t xml:space="preserve">Estas directrices se </w:t>
      </w:r>
      <w:r w:rsidR="005E635A" w:rsidRPr="00205C60">
        <w:rPr>
          <w:rFonts w:ascii="Verdana" w:hAnsi="Verdana" w:cs="Arial"/>
          <w:sz w:val="22"/>
          <w:szCs w:val="22"/>
        </w:rPr>
        <w:t xml:space="preserve">dirigen a regular técnicamente </w:t>
      </w:r>
      <w:r w:rsidRPr="00205C60">
        <w:rPr>
          <w:rFonts w:ascii="Verdana" w:hAnsi="Verdana" w:cs="Arial"/>
          <w:sz w:val="22"/>
          <w:szCs w:val="22"/>
        </w:rPr>
        <w:t>el desarrollo de infraestructura del sistema de distribución, construcción de subestaciones, opera</w:t>
      </w:r>
      <w:r w:rsidR="005E635A" w:rsidRPr="00205C60">
        <w:rPr>
          <w:rFonts w:ascii="Verdana" w:hAnsi="Verdana" w:cs="Arial"/>
          <w:sz w:val="22"/>
          <w:szCs w:val="22"/>
        </w:rPr>
        <w:t>tividad</w:t>
      </w:r>
      <w:r w:rsidRPr="00205C60">
        <w:rPr>
          <w:rFonts w:ascii="Verdana" w:hAnsi="Verdana" w:cs="Arial"/>
          <w:sz w:val="22"/>
          <w:szCs w:val="22"/>
        </w:rPr>
        <w:t xml:space="preserve"> de las plantas generadoras y construcción de proyectos de generación, entre otros.  </w:t>
      </w:r>
    </w:p>
    <w:p w14:paraId="3CA7EE38" w14:textId="77777777" w:rsidR="009D1A03" w:rsidRPr="00205C60" w:rsidRDefault="009D1A03" w:rsidP="009D1A03">
      <w:pPr>
        <w:jc w:val="both"/>
        <w:rPr>
          <w:rFonts w:ascii="Verdana" w:hAnsi="Verdana" w:cs="Arial"/>
          <w:sz w:val="22"/>
          <w:szCs w:val="22"/>
        </w:rPr>
      </w:pPr>
    </w:p>
    <w:p w14:paraId="3CA7EE39" w14:textId="3FD4B10B" w:rsidR="009D1A03" w:rsidRPr="00205C60" w:rsidRDefault="009D1A03" w:rsidP="003F6C56">
      <w:pPr>
        <w:jc w:val="both"/>
        <w:rPr>
          <w:rFonts w:ascii="Verdana" w:hAnsi="Verdana" w:cs="Arial"/>
          <w:sz w:val="22"/>
          <w:szCs w:val="22"/>
        </w:rPr>
      </w:pPr>
      <w:proofErr w:type="gramStart"/>
      <w:r w:rsidRPr="00205C60">
        <w:rPr>
          <w:rFonts w:ascii="Verdana" w:hAnsi="Verdana" w:cs="Arial"/>
          <w:sz w:val="22"/>
          <w:szCs w:val="22"/>
        </w:rPr>
        <w:t xml:space="preserve">Un factor importante a </w:t>
      </w:r>
      <w:r w:rsidR="00A36F29" w:rsidRPr="00205C60">
        <w:rPr>
          <w:rFonts w:ascii="Verdana" w:hAnsi="Verdana" w:cs="Arial"/>
          <w:sz w:val="22"/>
          <w:szCs w:val="22"/>
        </w:rPr>
        <w:t>considerar</w:t>
      </w:r>
      <w:proofErr w:type="gramEnd"/>
      <w:r w:rsidRPr="00205C60">
        <w:rPr>
          <w:rFonts w:ascii="Verdana" w:hAnsi="Verdana" w:cs="Arial"/>
          <w:sz w:val="22"/>
          <w:szCs w:val="22"/>
        </w:rPr>
        <w:t xml:space="preserve"> es el intercambio constante de </w:t>
      </w:r>
      <w:r w:rsidR="008E6F07" w:rsidRPr="00205C60">
        <w:rPr>
          <w:rFonts w:ascii="Verdana" w:hAnsi="Verdana" w:cs="Arial"/>
          <w:sz w:val="22"/>
          <w:szCs w:val="22"/>
        </w:rPr>
        <w:t>información entre</w:t>
      </w:r>
      <w:r w:rsidRPr="00205C60">
        <w:rPr>
          <w:rFonts w:ascii="Verdana" w:hAnsi="Verdana" w:cs="Arial"/>
          <w:sz w:val="22"/>
          <w:szCs w:val="22"/>
        </w:rPr>
        <w:t xml:space="preserve"> ambas instituciones a nivel técnico, jurídico y financiero, que permiten el cumplimiento de programas de desarrollo para el mejoramiento de la infraestructura del sector eléctrico.</w:t>
      </w:r>
    </w:p>
    <w:p w14:paraId="3CA7EE3A" w14:textId="77777777" w:rsidR="00966C4C" w:rsidRPr="00205C60" w:rsidRDefault="00966C4C">
      <w:pPr>
        <w:ind w:left="360"/>
        <w:jc w:val="both"/>
        <w:rPr>
          <w:rFonts w:ascii="Verdana" w:hAnsi="Verdana" w:cs="Arial"/>
          <w:sz w:val="22"/>
          <w:szCs w:val="22"/>
        </w:rPr>
      </w:pPr>
    </w:p>
    <w:p w14:paraId="3CA7EE3B" w14:textId="712C2EEA" w:rsidR="00B44125" w:rsidRPr="00205C60" w:rsidRDefault="009D1A03" w:rsidP="003F6C56">
      <w:pPr>
        <w:jc w:val="both"/>
        <w:rPr>
          <w:rFonts w:ascii="Verdana" w:hAnsi="Verdana" w:cs="Arial"/>
          <w:sz w:val="22"/>
          <w:szCs w:val="22"/>
        </w:rPr>
      </w:pPr>
      <w:r w:rsidRPr="00205C60">
        <w:rPr>
          <w:rFonts w:ascii="Verdana" w:hAnsi="Verdana" w:cs="Arial"/>
          <w:sz w:val="22"/>
          <w:szCs w:val="22"/>
        </w:rPr>
        <w:t xml:space="preserve">Cabe destacar, que </w:t>
      </w:r>
      <w:r w:rsidR="005E635A" w:rsidRPr="00205C60">
        <w:rPr>
          <w:rFonts w:ascii="Verdana" w:hAnsi="Verdana" w:cs="Arial"/>
          <w:sz w:val="22"/>
          <w:szCs w:val="22"/>
        </w:rPr>
        <w:t xml:space="preserve">en la actualidad </w:t>
      </w:r>
      <w:r w:rsidRPr="00205C60">
        <w:rPr>
          <w:rFonts w:ascii="Verdana" w:hAnsi="Verdana" w:cs="Arial"/>
          <w:sz w:val="22"/>
          <w:szCs w:val="22"/>
        </w:rPr>
        <w:t>la Compañía es</w:t>
      </w:r>
      <w:r w:rsidR="005E635A" w:rsidRPr="00205C60">
        <w:rPr>
          <w:rFonts w:ascii="Verdana" w:hAnsi="Verdana" w:cs="Arial"/>
          <w:sz w:val="22"/>
          <w:szCs w:val="22"/>
        </w:rPr>
        <w:t xml:space="preserve">tá considerada </w:t>
      </w:r>
      <w:r w:rsidR="008E6F07" w:rsidRPr="00205C60">
        <w:rPr>
          <w:rFonts w:ascii="Verdana" w:hAnsi="Verdana" w:cs="Arial"/>
          <w:sz w:val="22"/>
          <w:szCs w:val="22"/>
        </w:rPr>
        <w:t>como una</w:t>
      </w:r>
      <w:r w:rsidR="00B44125" w:rsidRPr="00205C60">
        <w:rPr>
          <w:rFonts w:ascii="Verdana" w:hAnsi="Verdana" w:cs="Arial"/>
          <w:sz w:val="22"/>
          <w:szCs w:val="22"/>
        </w:rPr>
        <w:t xml:space="preserve"> empresa pública constituida como sociedad anónima., por lo que cuenta con una Asamblea de Accionistas y está dirigida por un Consejo de Administración, el cual está conformado en su mayoría por miembros del ICE., responsables de definir las políticas generales que guían el accionar de la Com</w:t>
      </w:r>
      <w:r w:rsidR="008C4B30" w:rsidRPr="00205C60">
        <w:rPr>
          <w:rFonts w:ascii="Verdana" w:hAnsi="Verdana" w:cs="Arial"/>
          <w:sz w:val="22"/>
          <w:szCs w:val="22"/>
        </w:rPr>
        <w:t>pañía dentro del sector energía.</w:t>
      </w:r>
    </w:p>
    <w:p w14:paraId="3CA7EE3C" w14:textId="77777777" w:rsidR="00547DBC" w:rsidRPr="00205C60" w:rsidRDefault="00547DBC" w:rsidP="003F6C56">
      <w:pPr>
        <w:jc w:val="both"/>
        <w:rPr>
          <w:rFonts w:ascii="Verdana" w:hAnsi="Verdana" w:cs="Arial"/>
          <w:sz w:val="22"/>
          <w:szCs w:val="22"/>
        </w:rPr>
      </w:pPr>
    </w:p>
    <w:p w14:paraId="3CA7EE3D" w14:textId="13E7501D" w:rsidR="00B44125" w:rsidRPr="00205C60" w:rsidRDefault="00B44125" w:rsidP="003F6C56">
      <w:pPr>
        <w:jc w:val="both"/>
        <w:rPr>
          <w:rFonts w:ascii="Verdana" w:hAnsi="Verdana" w:cs="Arial"/>
          <w:sz w:val="22"/>
          <w:szCs w:val="22"/>
        </w:rPr>
      </w:pPr>
      <w:r w:rsidRPr="00205C60">
        <w:rPr>
          <w:rFonts w:ascii="Verdana" w:hAnsi="Verdana" w:cs="Arial"/>
          <w:sz w:val="22"/>
          <w:szCs w:val="22"/>
        </w:rPr>
        <w:t>Por la naturaleza de sus actividades, los ingresos de la Compañía provienen princi</w:t>
      </w:r>
      <w:r w:rsidR="00C76624" w:rsidRPr="00205C60">
        <w:rPr>
          <w:rFonts w:ascii="Verdana" w:hAnsi="Verdana" w:cs="Arial"/>
          <w:sz w:val="22"/>
          <w:szCs w:val="22"/>
        </w:rPr>
        <w:t xml:space="preserve">palmente de la venta de energía.  Adicionalmente, se obtienen recursos de </w:t>
      </w:r>
      <w:r w:rsidR="00C76624" w:rsidRPr="00205C60">
        <w:rPr>
          <w:rFonts w:ascii="Verdana" w:hAnsi="Verdana" w:cs="Arial"/>
          <w:sz w:val="22"/>
          <w:szCs w:val="22"/>
        </w:rPr>
        <w:lastRenderedPageBreak/>
        <w:t xml:space="preserve">otras fuentes como lo son </w:t>
      </w:r>
      <w:r w:rsidRPr="00205C60">
        <w:rPr>
          <w:rFonts w:ascii="Verdana" w:hAnsi="Verdana" w:cs="Arial"/>
          <w:sz w:val="22"/>
          <w:szCs w:val="22"/>
        </w:rPr>
        <w:t xml:space="preserve">los créditos aprobados para el desarrollo de proyectos de </w:t>
      </w:r>
      <w:r w:rsidR="00952FF0" w:rsidRPr="00205C60">
        <w:rPr>
          <w:rFonts w:ascii="Verdana" w:hAnsi="Verdana" w:cs="Arial"/>
          <w:sz w:val="22"/>
          <w:szCs w:val="22"/>
        </w:rPr>
        <w:t>inversión, y</w:t>
      </w:r>
      <w:r w:rsidRPr="00205C60">
        <w:rPr>
          <w:rFonts w:ascii="Verdana" w:hAnsi="Verdana" w:cs="Arial"/>
          <w:sz w:val="22"/>
          <w:szCs w:val="22"/>
        </w:rPr>
        <w:t xml:space="preserve"> eventualmente</w:t>
      </w:r>
      <w:r w:rsidR="00C76624" w:rsidRPr="00205C60">
        <w:rPr>
          <w:rFonts w:ascii="Verdana" w:hAnsi="Verdana" w:cs="Arial"/>
          <w:sz w:val="22"/>
          <w:szCs w:val="22"/>
        </w:rPr>
        <w:t xml:space="preserve"> </w:t>
      </w:r>
      <w:r w:rsidRPr="00205C60">
        <w:rPr>
          <w:rFonts w:ascii="Verdana" w:hAnsi="Verdana" w:cs="Arial"/>
          <w:sz w:val="22"/>
          <w:szCs w:val="22"/>
        </w:rPr>
        <w:t>mediante la colocación de bonos.</w:t>
      </w:r>
    </w:p>
    <w:p w14:paraId="3CA7EE3E" w14:textId="77777777" w:rsidR="008E2FB5" w:rsidRPr="00205C60" w:rsidRDefault="008E2FB5">
      <w:pPr>
        <w:ind w:left="360"/>
        <w:rPr>
          <w:rFonts w:ascii="Verdana" w:hAnsi="Verdana" w:cs="Arial"/>
          <w:b/>
          <w:sz w:val="22"/>
          <w:szCs w:val="22"/>
        </w:rPr>
      </w:pPr>
      <w:bookmarkStart w:id="117" w:name="_Toc54079915"/>
    </w:p>
    <w:p w14:paraId="3CA7EE3F" w14:textId="77777777" w:rsidR="00767331" w:rsidRPr="00205C60" w:rsidRDefault="00767331" w:rsidP="003F6C56">
      <w:pPr>
        <w:jc w:val="both"/>
        <w:rPr>
          <w:rFonts w:ascii="Verdana" w:hAnsi="Verdana" w:cs="Arial"/>
          <w:sz w:val="22"/>
          <w:szCs w:val="22"/>
        </w:rPr>
      </w:pPr>
      <w:r w:rsidRPr="00205C60">
        <w:rPr>
          <w:rFonts w:ascii="Verdana" w:hAnsi="Verdana" w:cs="Arial"/>
          <w:sz w:val="22"/>
          <w:szCs w:val="22"/>
        </w:rPr>
        <w:t>No se omite manifestar, que existen juicios contenciosos administrativos en donde la CNFL actúa como parte actora o como parte demandada, cuya sentencia podría tener efectos positivos o negativos en la condición financiera de la Compañía.</w:t>
      </w:r>
      <w:r w:rsidR="00617467" w:rsidRPr="00205C60">
        <w:rPr>
          <w:rFonts w:ascii="Verdana" w:hAnsi="Verdana" w:cs="Arial"/>
          <w:sz w:val="22"/>
          <w:szCs w:val="22"/>
        </w:rPr>
        <w:t xml:space="preserve">  En el anexo Nº 3 se presenta información sobre la naturaleza de los juicios, las partes involucradas, órgano jurisdiccional, número de expediente, breve descripción de su origen, estado, posible</w:t>
      </w:r>
      <w:r w:rsidR="00B1510A" w:rsidRPr="00205C60">
        <w:rPr>
          <w:rFonts w:ascii="Verdana" w:hAnsi="Verdana" w:cs="Arial"/>
          <w:sz w:val="22"/>
          <w:szCs w:val="22"/>
        </w:rPr>
        <w:t>s</w:t>
      </w:r>
      <w:r w:rsidR="00617467" w:rsidRPr="00205C60">
        <w:rPr>
          <w:rFonts w:ascii="Verdana" w:hAnsi="Verdana" w:cs="Arial"/>
          <w:sz w:val="22"/>
          <w:szCs w:val="22"/>
        </w:rPr>
        <w:t xml:space="preserve"> consecuencias, estimación de efectos financieros, incertidumbre de posible importe o calendario de salidas y posibilidad de reembolso</w:t>
      </w:r>
      <w:r w:rsidR="00B1510A" w:rsidRPr="00205C60">
        <w:rPr>
          <w:rFonts w:ascii="Verdana" w:hAnsi="Verdana" w:cs="Arial"/>
          <w:sz w:val="22"/>
          <w:szCs w:val="22"/>
        </w:rPr>
        <w:t>s</w:t>
      </w:r>
      <w:r w:rsidR="00617467" w:rsidRPr="00205C60">
        <w:rPr>
          <w:rFonts w:ascii="Verdana" w:hAnsi="Verdana" w:cs="Arial"/>
          <w:sz w:val="22"/>
          <w:szCs w:val="22"/>
        </w:rPr>
        <w:t>.</w:t>
      </w:r>
    </w:p>
    <w:p w14:paraId="3CA7EE41" w14:textId="77777777" w:rsidR="003C2B27" w:rsidRPr="00205C60" w:rsidRDefault="003C2B27">
      <w:pPr>
        <w:ind w:left="360"/>
        <w:rPr>
          <w:rFonts w:ascii="Verdana" w:hAnsi="Verdana" w:cs="Arial"/>
          <w:b/>
          <w:sz w:val="22"/>
          <w:szCs w:val="22"/>
        </w:rPr>
      </w:pPr>
    </w:p>
    <w:p w14:paraId="3CA7EE42" w14:textId="77777777" w:rsidR="00B44125" w:rsidRPr="00205C60" w:rsidRDefault="00B44125">
      <w:pPr>
        <w:ind w:left="360"/>
        <w:rPr>
          <w:rFonts w:ascii="Verdana" w:hAnsi="Verdana" w:cs="Arial"/>
          <w:b/>
          <w:sz w:val="22"/>
          <w:szCs w:val="22"/>
        </w:rPr>
      </w:pPr>
      <w:r w:rsidRPr="00205C60">
        <w:rPr>
          <w:rFonts w:ascii="Verdana" w:hAnsi="Verdana" w:cs="Arial"/>
          <w:b/>
          <w:sz w:val="22"/>
          <w:szCs w:val="22"/>
        </w:rPr>
        <w:t>MISIÓN</w:t>
      </w:r>
      <w:r w:rsidR="009740D4" w:rsidRPr="00205C60">
        <w:rPr>
          <w:rFonts w:ascii="Verdana" w:hAnsi="Verdana" w:cs="Arial"/>
          <w:b/>
          <w:sz w:val="22"/>
          <w:szCs w:val="22"/>
        </w:rPr>
        <w:t xml:space="preserve"> EMPRESARIAL</w:t>
      </w:r>
    </w:p>
    <w:p w14:paraId="3CA7EE43" w14:textId="77777777" w:rsidR="003C2B27" w:rsidRPr="00205C60" w:rsidRDefault="003C2B27">
      <w:pPr>
        <w:ind w:left="360"/>
        <w:rPr>
          <w:rFonts w:ascii="Verdana" w:hAnsi="Verdana" w:cs="Arial"/>
          <w:b/>
          <w:sz w:val="22"/>
          <w:szCs w:val="22"/>
        </w:rPr>
      </w:pPr>
    </w:p>
    <w:bookmarkEnd w:id="117"/>
    <w:p w14:paraId="3CA7EE44" w14:textId="77777777" w:rsidR="009740D4" w:rsidRPr="00205C60" w:rsidRDefault="009740D4" w:rsidP="009740D4">
      <w:pPr>
        <w:jc w:val="both"/>
        <w:rPr>
          <w:rFonts w:ascii="Verdana" w:eastAsia="Calibri" w:hAnsi="Verdana" w:cs="Arial"/>
          <w:iCs/>
          <w:sz w:val="22"/>
          <w:szCs w:val="22"/>
          <w:lang w:val="es-CR" w:eastAsia="en-US"/>
        </w:rPr>
      </w:pPr>
      <w:r w:rsidRPr="00205C60">
        <w:rPr>
          <w:rFonts w:ascii="Verdana" w:eastAsia="Calibri" w:hAnsi="Verdana" w:cs="Arial"/>
          <w:iCs/>
          <w:sz w:val="22"/>
          <w:szCs w:val="22"/>
          <w:lang w:val="es-CR" w:eastAsia="en-US"/>
        </w:rPr>
        <w:t>“Brindar soluciones integrales de energía, para el desarrollo sostenible, y el bienestar de nuestros clientes”</w:t>
      </w:r>
    </w:p>
    <w:p w14:paraId="3CA7EE45" w14:textId="77777777" w:rsidR="00172F93" w:rsidRPr="00205C60" w:rsidRDefault="00172F93">
      <w:pPr>
        <w:rPr>
          <w:rFonts w:ascii="Verdana" w:hAnsi="Verdana" w:cs="Arial"/>
          <w:sz w:val="22"/>
          <w:szCs w:val="22"/>
        </w:rPr>
      </w:pPr>
    </w:p>
    <w:p w14:paraId="3CA7EE46" w14:textId="77777777" w:rsidR="00B44125" w:rsidRPr="00205C60" w:rsidRDefault="00B44125">
      <w:pPr>
        <w:ind w:left="360"/>
        <w:rPr>
          <w:rFonts w:ascii="Verdana" w:hAnsi="Verdana" w:cs="Arial"/>
          <w:b/>
          <w:sz w:val="22"/>
          <w:szCs w:val="22"/>
        </w:rPr>
      </w:pPr>
      <w:r w:rsidRPr="00205C60">
        <w:rPr>
          <w:rFonts w:ascii="Verdana" w:hAnsi="Verdana" w:cs="Arial"/>
          <w:b/>
          <w:sz w:val="22"/>
          <w:szCs w:val="22"/>
        </w:rPr>
        <w:t>VISIÓN</w:t>
      </w:r>
      <w:r w:rsidR="009740D4" w:rsidRPr="00205C60">
        <w:rPr>
          <w:rFonts w:ascii="Verdana" w:hAnsi="Verdana" w:cs="Arial"/>
          <w:b/>
          <w:sz w:val="22"/>
          <w:szCs w:val="22"/>
        </w:rPr>
        <w:t xml:space="preserve"> EMPRESARIAL</w:t>
      </w:r>
    </w:p>
    <w:p w14:paraId="3CA7EE47" w14:textId="77777777" w:rsidR="00CC1CDD" w:rsidRPr="00205C60" w:rsidRDefault="00CC1CDD">
      <w:pPr>
        <w:ind w:left="360"/>
        <w:rPr>
          <w:rFonts w:ascii="Verdana" w:hAnsi="Verdana" w:cs="Arial"/>
          <w:b/>
          <w:sz w:val="22"/>
          <w:szCs w:val="22"/>
        </w:rPr>
      </w:pPr>
    </w:p>
    <w:p w14:paraId="3CA7EE48" w14:textId="77777777" w:rsidR="009740D4" w:rsidRPr="00205C60" w:rsidRDefault="009740D4" w:rsidP="00933C99">
      <w:pPr>
        <w:jc w:val="both"/>
        <w:rPr>
          <w:rFonts w:ascii="Verdana" w:eastAsia="Calibri" w:hAnsi="Verdana" w:cs="Arial"/>
          <w:iCs/>
          <w:sz w:val="22"/>
          <w:szCs w:val="22"/>
          <w:lang w:val="es-CR" w:eastAsia="en-US"/>
        </w:rPr>
      </w:pPr>
      <w:r w:rsidRPr="00205C60">
        <w:rPr>
          <w:rFonts w:ascii="Verdana" w:eastAsia="Calibri" w:hAnsi="Verdana" w:cs="Arial"/>
          <w:noProof/>
          <w:sz w:val="22"/>
          <w:szCs w:val="22"/>
          <w:lang w:val="es-CR" w:eastAsia="es-CR"/>
        </w:rPr>
        <w:drawing>
          <wp:anchor distT="0" distB="0" distL="114300" distR="114300" simplePos="0" relativeHeight="251659264" behindDoc="0" locked="0" layoutInCell="1" allowOverlap="1" wp14:anchorId="3CA7F4F7" wp14:editId="3CA7F4F8">
            <wp:simplePos x="0" y="0"/>
            <wp:positionH relativeFrom="column">
              <wp:posOffset>8667115</wp:posOffset>
            </wp:positionH>
            <wp:positionV relativeFrom="paragraph">
              <wp:posOffset>-5790565</wp:posOffset>
            </wp:positionV>
            <wp:extent cx="3535045" cy="2025015"/>
            <wp:effectExtent l="0" t="0" r="0" b="0"/>
            <wp:wrapNone/>
            <wp:docPr id="1" name="Imagen 1" descr="Cinco países tienen los más altos coeficientes:&#10;• Noruega ( 0.953)&#10;• Suiza (0.944)&#10;• Australia (0.939)&#10;• Irlanda (0.938) &#10;• Alemania (0.936)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nco países tienen los más altos coeficientes:&#10;• Noruega ( 0.953)&#10;• Suiza (0.944)&#10;• Australia (0.939)&#10;• Irlanda (0.938) &#10;• Alemania (0.936)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35045" cy="2025015"/>
                    </a:xfrm>
                    <a:prstGeom prst="rect">
                      <a:avLst/>
                    </a:prstGeom>
                    <a:noFill/>
                  </pic:spPr>
                </pic:pic>
              </a:graphicData>
            </a:graphic>
            <wp14:sizeRelH relativeFrom="page">
              <wp14:pctWidth>0</wp14:pctWidth>
            </wp14:sizeRelH>
            <wp14:sizeRelV relativeFrom="page">
              <wp14:pctHeight>0</wp14:pctHeight>
            </wp14:sizeRelV>
          </wp:anchor>
        </w:drawing>
      </w:r>
      <w:r w:rsidRPr="00205C60">
        <w:rPr>
          <w:rFonts w:ascii="Verdana" w:eastAsia="Calibri" w:hAnsi="Verdana" w:cs="Arial"/>
          <w:iCs/>
          <w:sz w:val="22"/>
          <w:szCs w:val="22"/>
          <w:lang w:val="es-CR" w:eastAsia="en-US"/>
        </w:rPr>
        <w:t>“Ser la Empresa referente en distribución eléctrica urbana de la región, con soluciones integrales, innovadoras y competitivas”</w:t>
      </w:r>
    </w:p>
    <w:p w14:paraId="3CA7EE49" w14:textId="77777777" w:rsidR="00B44125" w:rsidRPr="00205C60" w:rsidRDefault="00B44125" w:rsidP="00200A61">
      <w:pPr>
        <w:pStyle w:val="Ttulo2"/>
        <w:numPr>
          <w:ilvl w:val="0"/>
          <w:numId w:val="0"/>
        </w:numPr>
        <w:jc w:val="both"/>
        <w:rPr>
          <w:rFonts w:ascii="Verdana" w:hAnsi="Verdana" w:cs="Arial"/>
          <w:b w:val="0"/>
          <w:snapToGrid/>
          <w:color w:val="auto"/>
          <w:sz w:val="22"/>
          <w:szCs w:val="22"/>
        </w:rPr>
      </w:pPr>
    </w:p>
    <w:p w14:paraId="3CA7EE4A" w14:textId="77777777" w:rsidR="00172F93" w:rsidRPr="00205C60" w:rsidRDefault="00172F93" w:rsidP="00172F93">
      <w:pPr>
        <w:rPr>
          <w:rFonts w:ascii="Verdana" w:hAnsi="Verdana"/>
          <w:sz w:val="22"/>
          <w:szCs w:val="22"/>
        </w:rPr>
      </w:pPr>
    </w:p>
    <w:p w14:paraId="3CA7EE4B" w14:textId="77777777" w:rsidR="002F2C41" w:rsidRPr="00205C60" w:rsidRDefault="002F2C41" w:rsidP="00307E2B">
      <w:pPr>
        <w:pStyle w:val="Ttulo2"/>
        <w:numPr>
          <w:ilvl w:val="1"/>
          <w:numId w:val="1"/>
        </w:numPr>
        <w:tabs>
          <w:tab w:val="clear" w:pos="720"/>
          <w:tab w:val="left" w:pos="708"/>
        </w:tabs>
        <w:rPr>
          <w:rFonts w:ascii="Verdana" w:hAnsi="Verdana" w:cs="Arial"/>
          <w:sz w:val="22"/>
          <w:szCs w:val="22"/>
        </w:rPr>
      </w:pPr>
      <w:bookmarkStart w:id="118" w:name="_Toc104529467"/>
      <w:r w:rsidRPr="00205C60">
        <w:rPr>
          <w:rFonts w:ascii="Verdana" w:hAnsi="Verdana" w:cs="Arial"/>
          <w:sz w:val="22"/>
          <w:szCs w:val="22"/>
        </w:rPr>
        <w:t>Principales actividades y servicios</w:t>
      </w:r>
      <w:bookmarkEnd w:id="118"/>
    </w:p>
    <w:p w14:paraId="3CA7EE4C" w14:textId="77777777" w:rsidR="00917E38" w:rsidRPr="00205C60" w:rsidRDefault="00917E38" w:rsidP="00917E38">
      <w:pPr>
        <w:rPr>
          <w:rFonts w:ascii="Verdana" w:hAnsi="Verdana"/>
          <w:sz w:val="22"/>
          <w:szCs w:val="22"/>
        </w:rPr>
      </w:pPr>
    </w:p>
    <w:p w14:paraId="3CA7EE4D" w14:textId="07779BA3" w:rsidR="002F2C41" w:rsidRPr="00205C60" w:rsidRDefault="002F2C41" w:rsidP="00122C25">
      <w:pPr>
        <w:jc w:val="both"/>
        <w:rPr>
          <w:rFonts w:ascii="Verdana" w:hAnsi="Verdana" w:cs="Arial"/>
          <w:sz w:val="22"/>
          <w:szCs w:val="22"/>
        </w:rPr>
      </w:pPr>
      <w:r w:rsidRPr="00205C60">
        <w:rPr>
          <w:rFonts w:ascii="Verdana" w:hAnsi="Verdana" w:cs="Arial"/>
          <w:sz w:val="22"/>
          <w:szCs w:val="22"/>
        </w:rPr>
        <w:t xml:space="preserve">La principal actividad de la empresa es la distribución de energía </w:t>
      </w:r>
      <w:r w:rsidR="00122C25" w:rsidRPr="00205C60">
        <w:rPr>
          <w:rFonts w:ascii="Verdana" w:hAnsi="Verdana" w:cs="Arial"/>
          <w:sz w:val="22"/>
          <w:szCs w:val="22"/>
        </w:rPr>
        <w:t xml:space="preserve">eléctrica </w:t>
      </w:r>
      <w:r w:rsidRPr="00205C60">
        <w:rPr>
          <w:rFonts w:ascii="Verdana" w:hAnsi="Verdana" w:cs="Arial"/>
          <w:sz w:val="22"/>
          <w:szCs w:val="22"/>
        </w:rPr>
        <w:t>en su área de concesión, que abarca 903 km</w:t>
      </w:r>
      <w:r w:rsidRPr="00205C60">
        <w:rPr>
          <w:rFonts w:ascii="Verdana" w:hAnsi="Verdana" w:cs="Arial"/>
          <w:sz w:val="22"/>
          <w:szCs w:val="22"/>
          <w:vertAlign w:val="superscript"/>
        </w:rPr>
        <w:t>2</w:t>
      </w:r>
      <w:r w:rsidRPr="00205C60">
        <w:rPr>
          <w:rFonts w:ascii="Verdana" w:hAnsi="Verdana" w:cs="Arial"/>
          <w:sz w:val="22"/>
          <w:szCs w:val="22"/>
        </w:rPr>
        <w:t xml:space="preserve"> principalmente el </w:t>
      </w:r>
      <w:r w:rsidR="0032549D" w:rsidRPr="00205C60">
        <w:rPr>
          <w:rFonts w:ascii="Verdana" w:hAnsi="Verdana" w:cs="Arial"/>
          <w:sz w:val="22"/>
          <w:szCs w:val="22"/>
        </w:rPr>
        <w:t>Área</w:t>
      </w:r>
      <w:r w:rsidRPr="00205C60">
        <w:rPr>
          <w:rFonts w:ascii="Verdana" w:hAnsi="Verdana" w:cs="Arial"/>
          <w:sz w:val="22"/>
          <w:szCs w:val="22"/>
        </w:rPr>
        <w:t xml:space="preserve"> Metropolitana de San José y algunos cantones colindantes con Alajuela, Heredia y Cartago.</w:t>
      </w:r>
    </w:p>
    <w:p w14:paraId="129A61E8" w14:textId="47AAC2C5" w:rsidR="00AA3969" w:rsidRPr="00205C60" w:rsidRDefault="00AA3969" w:rsidP="00122C25">
      <w:pPr>
        <w:jc w:val="both"/>
        <w:rPr>
          <w:rFonts w:ascii="Verdana" w:hAnsi="Verdana" w:cs="Arial"/>
          <w:sz w:val="22"/>
          <w:szCs w:val="22"/>
        </w:rPr>
      </w:pPr>
    </w:p>
    <w:p w14:paraId="302C2FF1" w14:textId="6425442D" w:rsidR="00AA3969" w:rsidRPr="00205C60" w:rsidRDefault="00AA3969" w:rsidP="00AA3969">
      <w:pPr>
        <w:jc w:val="both"/>
        <w:rPr>
          <w:rFonts w:ascii="Verdana" w:hAnsi="Verdana" w:cs="Arial"/>
          <w:sz w:val="22"/>
          <w:szCs w:val="22"/>
        </w:rPr>
      </w:pPr>
      <w:r w:rsidRPr="00205C60">
        <w:rPr>
          <w:rFonts w:ascii="Verdana" w:hAnsi="Verdana" w:cs="Arial"/>
          <w:sz w:val="22"/>
          <w:szCs w:val="22"/>
        </w:rPr>
        <w:t xml:space="preserve">Para la atención de sus clientes la Compañía cuenta con las sucursales: Central, Guadalupe, Escazú, Desamparados y Heredia, adicionalmente una Agencia en Tres Ríos y un área de atención al cliente en nuestro Edificio Central.  Además, tiene a disposición del público la atención por medio de nuestro Call Center 800 – energía (800-3637442) para la atención de consultas y nuestra línea telefónica 1026 en horario 24/7/365 para el reporte de averías, así como el Área de Atención Virtual que nos administra y gestiona requerimiento de nuestros clientes utilizando para ello canales remotos de atención tales como; redes sociales, </w:t>
      </w:r>
      <w:proofErr w:type="spellStart"/>
      <w:r w:rsidRPr="00205C60">
        <w:rPr>
          <w:rFonts w:ascii="Verdana" w:hAnsi="Verdana" w:cs="Arial"/>
          <w:sz w:val="22"/>
          <w:szCs w:val="22"/>
        </w:rPr>
        <w:t>webchat</w:t>
      </w:r>
      <w:proofErr w:type="spellEnd"/>
      <w:r w:rsidRPr="00205C60">
        <w:rPr>
          <w:rFonts w:ascii="Verdana" w:hAnsi="Verdana" w:cs="Arial"/>
          <w:sz w:val="22"/>
          <w:szCs w:val="22"/>
        </w:rPr>
        <w:t xml:space="preserve">, correos electrónicos, WhatsApp Empresarial 8319-5273 y nuestra aplicación para móviles CNFL y página web </w:t>
      </w:r>
      <w:hyperlink r:id="rId14" w:history="1">
        <w:r w:rsidRPr="00205C60">
          <w:rPr>
            <w:rFonts w:ascii="Verdana" w:hAnsi="Verdana"/>
            <w:sz w:val="22"/>
            <w:szCs w:val="22"/>
          </w:rPr>
          <w:t>www.cnfl.go.cr</w:t>
        </w:r>
      </w:hyperlink>
      <w:r w:rsidRPr="00205C60">
        <w:rPr>
          <w:rFonts w:ascii="Verdana" w:hAnsi="Verdana" w:cs="Arial"/>
          <w:sz w:val="22"/>
          <w:szCs w:val="22"/>
        </w:rPr>
        <w:t>.,  Por otra parte, tiene firmados convenios de recaudación con bancos del sistema bancario nacional, los principales supermercados del país y algunas otras agencias recaudadoras autorizadas</w:t>
      </w:r>
    </w:p>
    <w:p w14:paraId="7CFECFF6" w14:textId="77777777" w:rsidR="00AA3969" w:rsidRPr="00205C60" w:rsidRDefault="00AA3969" w:rsidP="00122C25">
      <w:pPr>
        <w:jc w:val="both"/>
        <w:rPr>
          <w:rFonts w:ascii="Verdana" w:hAnsi="Verdana" w:cs="Arial"/>
          <w:sz w:val="22"/>
          <w:szCs w:val="22"/>
        </w:rPr>
      </w:pPr>
    </w:p>
    <w:p w14:paraId="3CA7EE4E" w14:textId="77777777" w:rsidR="00DF27DE" w:rsidRPr="00205C60" w:rsidRDefault="00DF27DE" w:rsidP="00122C25">
      <w:pPr>
        <w:jc w:val="both"/>
        <w:rPr>
          <w:rFonts w:ascii="Verdana" w:hAnsi="Verdana" w:cs="Arial"/>
          <w:sz w:val="22"/>
          <w:szCs w:val="22"/>
        </w:rPr>
      </w:pPr>
    </w:p>
    <w:p w14:paraId="3CA7EE50" w14:textId="5135490F" w:rsidR="008E50DD" w:rsidRPr="00205C60" w:rsidRDefault="008E50DD" w:rsidP="008E50DD">
      <w:pPr>
        <w:rPr>
          <w:rFonts w:ascii="Verdana" w:hAnsi="Verdana" w:cs="Calibri"/>
          <w:sz w:val="22"/>
          <w:szCs w:val="22"/>
        </w:rPr>
      </w:pPr>
    </w:p>
    <w:p w14:paraId="0440AE8D" w14:textId="4075127E" w:rsidR="00246844" w:rsidRPr="00205C60" w:rsidRDefault="00246844" w:rsidP="008E50DD">
      <w:pPr>
        <w:rPr>
          <w:rFonts w:ascii="Verdana" w:hAnsi="Verdana" w:cs="Calibri"/>
          <w:sz w:val="22"/>
          <w:szCs w:val="22"/>
        </w:rPr>
      </w:pPr>
    </w:p>
    <w:p w14:paraId="6653393F" w14:textId="21C81F0C" w:rsidR="00246844" w:rsidRPr="00205C60" w:rsidRDefault="00246844" w:rsidP="008E50DD">
      <w:pPr>
        <w:rPr>
          <w:rFonts w:ascii="Verdana" w:hAnsi="Verdana" w:cs="Calibri"/>
          <w:sz w:val="22"/>
          <w:szCs w:val="22"/>
        </w:rPr>
      </w:pPr>
    </w:p>
    <w:p w14:paraId="155BDE30" w14:textId="77777777" w:rsidR="00246844" w:rsidRPr="00205C60" w:rsidRDefault="00246844" w:rsidP="008E50DD">
      <w:pPr>
        <w:rPr>
          <w:rFonts w:ascii="Verdana" w:hAnsi="Verdana" w:cs="Calibri"/>
          <w:sz w:val="22"/>
          <w:szCs w:val="22"/>
        </w:rPr>
      </w:pPr>
    </w:p>
    <w:p w14:paraId="3CA7EE51" w14:textId="47076FD2" w:rsidR="0055578E" w:rsidRPr="00205C60" w:rsidRDefault="0055578E" w:rsidP="00122C25">
      <w:pPr>
        <w:jc w:val="both"/>
        <w:rPr>
          <w:rFonts w:ascii="Verdana" w:hAnsi="Verdana" w:cs="Arial"/>
          <w:sz w:val="22"/>
          <w:szCs w:val="22"/>
        </w:rPr>
      </w:pPr>
    </w:p>
    <w:p w14:paraId="0359B3BE" w14:textId="23513B72" w:rsidR="00F25EB3" w:rsidRPr="00205C60" w:rsidRDefault="00F25EB3" w:rsidP="00122C25">
      <w:pPr>
        <w:jc w:val="both"/>
        <w:rPr>
          <w:rFonts w:ascii="Verdana" w:hAnsi="Verdana" w:cs="Arial"/>
          <w:sz w:val="22"/>
          <w:szCs w:val="22"/>
        </w:rPr>
      </w:pPr>
    </w:p>
    <w:p w14:paraId="7E623976" w14:textId="0FF3E72F" w:rsidR="00F25EB3" w:rsidRPr="00205C60" w:rsidRDefault="00F25EB3" w:rsidP="00122C25">
      <w:pPr>
        <w:jc w:val="both"/>
        <w:rPr>
          <w:rFonts w:ascii="Verdana" w:hAnsi="Verdana" w:cs="Arial"/>
          <w:sz w:val="22"/>
          <w:szCs w:val="22"/>
        </w:rPr>
      </w:pPr>
    </w:p>
    <w:p w14:paraId="1AF8C07B" w14:textId="5DCA885A" w:rsidR="00F25EB3" w:rsidRPr="00205C60" w:rsidRDefault="00F25EB3" w:rsidP="00122C25">
      <w:pPr>
        <w:jc w:val="both"/>
        <w:rPr>
          <w:rFonts w:ascii="Verdana" w:hAnsi="Verdana" w:cs="Arial"/>
          <w:color w:val="FF0000"/>
          <w:sz w:val="22"/>
          <w:szCs w:val="22"/>
        </w:rPr>
      </w:pPr>
    </w:p>
    <w:p w14:paraId="3CA7EE52" w14:textId="10B61C0E" w:rsidR="00DB307B" w:rsidRPr="00205C60" w:rsidRDefault="00DB307B" w:rsidP="00307E2B">
      <w:pPr>
        <w:pStyle w:val="Ttulo2"/>
        <w:numPr>
          <w:ilvl w:val="1"/>
          <w:numId w:val="1"/>
        </w:numPr>
        <w:tabs>
          <w:tab w:val="clear" w:pos="720"/>
          <w:tab w:val="left" w:pos="708"/>
        </w:tabs>
        <w:rPr>
          <w:rFonts w:ascii="Verdana" w:hAnsi="Verdana" w:cs="Arial"/>
          <w:sz w:val="22"/>
          <w:szCs w:val="22"/>
        </w:rPr>
      </w:pPr>
      <w:bookmarkStart w:id="119" w:name="_Toc104529468"/>
      <w:r w:rsidRPr="00205C60">
        <w:rPr>
          <w:rFonts w:ascii="Verdana" w:hAnsi="Verdana" w:cs="Arial"/>
          <w:sz w:val="22"/>
          <w:szCs w:val="22"/>
        </w:rPr>
        <w:t>Características del mercado</w:t>
      </w:r>
      <w:bookmarkEnd w:id="119"/>
    </w:p>
    <w:p w14:paraId="3CA7EE53" w14:textId="2FC4894C" w:rsidR="00917E38" w:rsidRPr="00205C60" w:rsidRDefault="00917E38" w:rsidP="00917E38">
      <w:pPr>
        <w:rPr>
          <w:rFonts w:ascii="Verdana" w:hAnsi="Verdana"/>
          <w:sz w:val="22"/>
          <w:szCs w:val="22"/>
        </w:rPr>
      </w:pPr>
    </w:p>
    <w:p w14:paraId="3CA7EE54" w14:textId="40BF52DB" w:rsidR="00FD074E" w:rsidRPr="00205C60" w:rsidRDefault="009B32FD" w:rsidP="009B32FD">
      <w:pPr>
        <w:rPr>
          <w:rFonts w:ascii="Verdana" w:hAnsi="Verdana" w:cs="Arial"/>
          <w:sz w:val="22"/>
          <w:szCs w:val="22"/>
        </w:rPr>
      </w:pPr>
      <w:r w:rsidRPr="00205C60">
        <w:rPr>
          <w:rFonts w:ascii="Verdana" w:hAnsi="Verdana" w:cs="Arial"/>
          <w:sz w:val="22"/>
          <w:szCs w:val="22"/>
        </w:rPr>
        <w:t>En términos de clientes y consumo la Compañía cuenta al</w:t>
      </w:r>
      <w:r w:rsidR="00100F5A" w:rsidRPr="00205C60">
        <w:rPr>
          <w:rFonts w:ascii="Verdana" w:hAnsi="Verdana" w:cs="Arial"/>
          <w:sz w:val="22"/>
          <w:szCs w:val="22"/>
        </w:rPr>
        <w:t xml:space="preserve"> </w:t>
      </w:r>
      <w:r w:rsidRPr="00205C60">
        <w:rPr>
          <w:rFonts w:ascii="Verdana" w:hAnsi="Verdana" w:cs="Arial"/>
          <w:sz w:val="22"/>
          <w:szCs w:val="22"/>
        </w:rPr>
        <w:t>3</w:t>
      </w:r>
      <w:r w:rsidR="009922D2" w:rsidRPr="00205C60">
        <w:rPr>
          <w:rFonts w:ascii="Verdana" w:hAnsi="Verdana" w:cs="Arial"/>
          <w:sz w:val="22"/>
          <w:szCs w:val="22"/>
        </w:rPr>
        <w:t>1</w:t>
      </w:r>
      <w:r w:rsidRPr="00205C60">
        <w:rPr>
          <w:rFonts w:ascii="Verdana" w:hAnsi="Verdana" w:cs="Arial"/>
          <w:sz w:val="22"/>
          <w:szCs w:val="22"/>
        </w:rPr>
        <w:t xml:space="preserve"> de </w:t>
      </w:r>
      <w:r w:rsidR="009922D2" w:rsidRPr="00205C60">
        <w:rPr>
          <w:rFonts w:ascii="Verdana" w:hAnsi="Verdana" w:cs="Arial"/>
          <w:sz w:val="22"/>
          <w:szCs w:val="22"/>
        </w:rPr>
        <w:t>diciembre</w:t>
      </w:r>
      <w:r w:rsidRPr="00205C60">
        <w:rPr>
          <w:rFonts w:ascii="Verdana" w:hAnsi="Verdana" w:cs="Arial"/>
          <w:sz w:val="22"/>
          <w:szCs w:val="22"/>
        </w:rPr>
        <w:t xml:space="preserve"> del 20</w:t>
      </w:r>
      <w:r w:rsidR="00A822B7" w:rsidRPr="00205C60">
        <w:rPr>
          <w:rFonts w:ascii="Verdana" w:hAnsi="Verdana" w:cs="Arial"/>
          <w:sz w:val="22"/>
          <w:szCs w:val="22"/>
        </w:rPr>
        <w:t>2</w:t>
      </w:r>
      <w:r w:rsidR="00DC633E" w:rsidRPr="00205C60">
        <w:rPr>
          <w:rFonts w:ascii="Verdana" w:hAnsi="Verdana" w:cs="Arial"/>
          <w:sz w:val="22"/>
          <w:szCs w:val="22"/>
        </w:rPr>
        <w:t>2</w:t>
      </w:r>
      <w:r w:rsidRPr="00205C60">
        <w:rPr>
          <w:rFonts w:ascii="Verdana" w:hAnsi="Verdana" w:cs="Arial"/>
          <w:sz w:val="22"/>
          <w:szCs w:val="22"/>
        </w:rPr>
        <w:t xml:space="preserve"> con los siguientes datos:</w:t>
      </w:r>
    </w:p>
    <w:p w14:paraId="3CA7EE57" w14:textId="16BDE85A" w:rsidR="00360232" w:rsidRPr="00205C60" w:rsidRDefault="00360232" w:rsidP="009B32FD">
      <w:pPr>
        <w:rPr>
          <w:rFonts w:ascii="Verdana" w:hAnsi="Verdana"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2260"/>
        <w:gridCol w:w="2946"/>
      </w:tblGrid>
      <w:tr w:rsidR="009B32FD" w:rsidRPr="00205C60" w14:paraId="3CA7EE5C" w14:textId="77777777" w:rsidTr="00E84B1D">
        <w:trPr>
          <w:jc w:val="center"/>
        </w:trPr>
        <w:tc>
          <w:tcPr>
            <w:tcW w:w="2098" w:type="dxa"/>
            <w:vAlign w:val="center"/>
          </w:tcPr>
          <w:p w14:paraId="3CA7EE58" w14:textId="77777777" w:rsidR="009B32FD" w:rsidRPr="00205C60" w:rsidRDefault="009B32FD" w:rsidP="00E84B1D">
            <w:pPr>
              <w:jc w:val="center"/>
              <w:rPr>
                <w:rFonts w:ascii="Verdana" w:hAnsi="Verdana" w:cs="Arial"/>
                <w:b/>
                <w:sz w:val="22"/>
                <w:szCs w:val="22"/>
              </w:rPr>
            </w:pPr>
            <w:r w:rsidRPr="00205C60">
              <w:rPr>
                <w:rFonts w:ascii="Verdana" w:hAnsi="Verdana" w:cs="Arial"/>
                <w:b/>
                <w:sz w:val="22"/>
                <w:szCs w:val="22"/>
              </w:rPr>
              <w:t>S</w:t>
            </w:r>
            <w:r w:rsidR="00E84B1D" w:rsidRPr="00205C60">
              <w:rPr>
                <w:rFonts w:ascii="Verdana" w:hAnsi="Verdana" w:cs="Arial"/>
                <w:b/>
                <w:sz w:val="22"/>
                <w:szCs w:val="22"/>
              </w:rPr>
              <w:t>ector</w:t>
            </w:r>
          </w:p>
        </w:tc>
        <w:tc>
          <w:tcPr>
            <w:tcW w:w="2260" w:type="dxa"/>
            <w:vAlign w:val="center"/>
          </w:tcPr>
          <w:p w14:paraId="3CA7EE59" w14:textId="77777777" w:rsidR="009B32FD" w:rsidRPr="00205C60" w:rsidRDefault="00E84B1D" w:rsidP="00E84B1D">
            <w:pPr>
              <w:jc w:val="center"/>
              <w:rPr>
                <w:rFonts w:ascii="Verdana" w:hAnsi="Verdana" w:cs="Arial"/>
                <w:b/>
                <w:sz w:val="22"/>
                <w:szCs w:val="22"/>
              </w:rPr>
            </w:pPr>
            <w:r w:rsidRPr="00205C60">
              <w:rPr>
                <w:rFonts w:ascii="Verdana" w:hAnsi="Verdana" w:cs="Arial"/>
                <w:b/>
                <w:sz w:val="22"/>
                <w:szCs w:val="22"/>
              </w:rPr>
              <w:t>Número de clientes</w:t>
            </w:r>
          </w:p>
        </w:tc>
        <w:tc>
          <w:tcPr>
            <w:tcW w:w="2641" w:type="dxa"/>
            <w:vAlign w:val="center"/>
          </w:tcPr>
          <w:p w14:paraId="3CA7EE5A" w14:textId="4B5BB779" w:rsidR="009B32FD" w:rsidRPr="00205C60" w:rsidRDefault="00E84B1D" w:rsidP="00E84B1D">
            <w:pPr>
              <w:jc w:val="center"/>
              <w:rPr>
                <w:rFonts w:ascii="Verdana" w:hAnsi="Verdana" w:cs="Arial"/>
                <w:b/>
                <w:sz w:val="22"/>
                <w:szCs w:val="22"/>
              </w:rPr>
            </w:pPr>
            <w:r w:rsidRPr="00205C60">
              <w:rPr>
                <w:rFonts w:ascii="Verdana" w:hAnsi="Verdana" w:cs="Arial"/>
                <w:b/>
                <w:sz w:val="22"/>
                <w:szCs w:val="22"/>
              </w:rPr>
              <w:t>Consumo promedio</w:t>
            </w:r>
          </w:p>
          <w:p w14:paraId="3CA7EE5B" w14:textId="5CA4B203" w:rsidR="009922D2" w:rsidRPr="00205C60" w:rsidRDefault="00547DBC" w:rsidP="00E84B1D">
            <w:pPr>
              <w:jc w:val="center"/>
              <w:rPr>
                <w:rFonts w:ascii="Verdana" w:hAnsi="Verdana" w:cs="Arial"/>
                <w:b/>
                <w:sz w:val="22"/>
                <w:szCs w:val="22"/>
              </w:rPr>
            </w:pPr>
            <w:r w:rsidRPr="00205C60">
              <w:rPr>
                <w:rFonts w:ascii="Verdana" w:hAnsi="Verdana" w:cs="Arial"/>
                <w:b/>
                <w:sz w:val="22"/>
                <w:szCs w:val="22"/>
              </w:rPr>
              <w:t>kWh</w:t>
            </w:r>
            <w:r w:rsidR="00E84B1D" w:rsidRPr="00205C60">
              <w:rPr>
                <w:rFonts w:ascii="Verdana" w:hAnsi="Verdana" w:cs="Arial"/>
                <w:b/>
                <w:sz w:val="22"/>
                <w:szCs w:val="22"/>
              </w:rPr>
              <w:t>/cliente/mensual</w:t>
            </w:r>
            <w:r w:rsidR="00F916BE" w:rsidRPr="00205C60">
              <w:rPr>
                <w:rFonts w:ascii="Verdana" w:hAnsi="Verdana" w:cs="Arial"/>
                <w:b/>
                <w:sz w:val="22"/>
                <w:szCs w:val="22"/>
              </w:rPr>
              <w:t xml:space="preserve"> 1/</w:t>
            </w:r>
          </w:p>
        </w:tc>
      </w:tr>
      <w:tr w:rsidR="009B32FD" w:rsidRPr="00205C60" w14:paraId="3CA7EE60" w14:textId="77777777" w:rsidTr="00E84B1D">
        <w:trPr>
          <w:jc w:val="center"/>
        </w:trPr>
        <w:tc>
          <w:tcPr>
            <w:tcW w:w="2098" w:type="dxa"/>
            <w:vAlign w:val="center"/>
          </w:tcPr>
          <w:p w14:paraId="3CA7EE5D" w14:textId="77777777" w:rsidR="009B32FD" w:rsidRPr="00205C60" w:rsidRDefault="009B32FD" w:rsidP="00E84B1D">
            <w:pPr>
              <w:jc w:val="center"/>
              <w:rPr>
                <w:rFonts w:ascii="Verdana" w:hAnsi="Verdana" w:cs="Arial"/>
                <w:sz w:val="22"/>
                <w:szCs w:val="22"/>
              </w:rPr>
            </w:pPr>
            <w:r w:rsidRPr="00205C60">
              <w:rPr>
                <w:rFonts w:ascii="Verdana" w:hAnsi="Verdana" w:cs="Arial"/>
                <w:sz w:val="22"/>
                <w:szCs w:val="22"/>
              </w:rPr>
              <w:t>Sector Residencial</w:t>
            </w:r>
          </w:p>
        </w:tc>
        <w:tc>
          <w:tcPr>
            <w:tcW w:w="2260" w:type="dxa"/>
            <w:vAlign w:val="center"/>
          </w:tcPr>
          <w:p w14:paraId="3CA7EE5E" w14:textId="38B669F5" w:rsidR="0086633E" w:rsidRPr="00205C60" w:rsidRDefault="00164117" w:rsidP="00360232">
            <w:pPr>
              <w:jc w:val="center"/>
              <w:rPr>
                <w:rFonts w:ascii="Verdana" w:hAnsi="Verdana" w:cs="Arial"/>
                <w:sz w:val="22"/>
                <w:szCs w:val="22"/>
              </w:rPr>
            </w:pPr>
            <w:r w:rsidRPr="00205C60">
              <w:rPr>
                <w:rFonts w:ascii="Verdana" w:hAnsi="Verdana" w:cs="Arial"/>
                <w:sz w:val="22"/>
                <w:szCs w:val="22"/>
              </w:rPr>
              <w:t>5</w:t>
            </w:r>
            <w:r w:rsidR="00506580" w:rsidRPr="00205C60">
              <w:rPr>
                <w:rFonts w:ascii="Verdana" w:hAnsi="Verdana" w:cs="Arial"/>
                <w:sz w:val="22"/>
                <w:szCs w:val="22"/>
              </w:rPr>
              <w:t>26.112</w:t>
            </w:r>
          </w:p>
        </w:tc>
        <w:tc>
          <w:tcPr>
            <w:tcW w:w="2641" w:type="dxa"/>
            <w:vAlign w:val="center"/>
          </w:tcPr>
          <w:p w14:paraId="3CA7EE5F" w14:textId="47D00E70" w:rsidR="009B32FD" w:rsidRPr="00205C60" w:rsidRDefault="00D17F42" w:rsidP="0086633E">
            <w:pPr>
              <w:jc w:val="center"/>
              <w:rPr>
                <w:rFonts w:ascii="Verdana" w:hAnsi="Verdana" w:cs="Arial"/>
                <w:sz w:val="22"/>
                <w:szCs w:val="22"/>
              </w:rPr>
            </w:pPr>
            <w:r w:rsidRPr="00205C60">
              <w:rPr>
                <w:rFonts w:ascii="Verdana" w:hAnsi="Verdana" w:cs="Arial"/>
                <w:sz w:val="22"/>
                <w:szCs w:val="22"/>
              </w:rPr>
              <w:t>2</w:t>
            </w:r>
            <w:r w:rsidR="00D86D0D" w:rsidRPr="00205C60">
              <w:rPr>
                <w:rFonts w:ascii="Verdana" w:hAnsi="Verdana" w:cs="Arial"/>
                <w:sz w:val="22"/>
                <w:szCs w:val="22"/>
              </w:rPr>
              <w:t>33</w:t>
            </w:r>
          </w:p>
        </w:tc>
      </w:tr>
      <w:tr w:rsidR="009B32FD" w:rsidRPr="00205C60" w14:paraId="3CA7EE64" w14:textId="77777777" w:rsidTr="00E84B1D">
        <w:trPr>
          <w:jc w:val="center"/>
        </w:trPr>
        <w:tc>
          <w:tcPr>
            <w:tcW w:w="2098" w:type="dxa"/>
            <w:vAlign w:val="center"/>
          </w:tcPr>
          <w:p w14:paraId="3CA7EE61" w14:textId="77777777" w:rsidR="009B32FD" w:rsidRPr="00205C60" w:rsidRDefault="009B32FD" w:rsidP="00E84B1D">
            <w:pPr>
              <w:jc w:val="center"/>
              <w:rPr>
                <w:rFonts w:ascii="Verdana" w:hAnsi="Verdana" w:cs="Arial"/>
                <w:sz w:val="22"/>
                <w:szCs w:val="22"/>
              </w:rPr>
            </w:pPr>
            <w:r w:rsidRPr="00205C60">
              <w:rPr>
                <w:rFonts w:ascii="Verdana" w:hAnsi="Verdana" w:cs="Arial"/>
                <w:sz w:val="22"/>
                <w:szCs w:val="22"/>
              </w:rPr>
              <w:t xml:space="preserve">Sector </w:t>
            </w:r>
            <w:r w:rsidR="00445645" w:rsidRPr="00205C60">
              <w:rPr>
                <w:rFonts w:ascii="Verdana" w:hAnsi="Verdana" w:cs="Arial"/>
                <w:sz w:val="22"/>
                <w:szCs w:val="22"/>
              </w:rPr>
              <w:t>Comercial</w:t>
            </w:r>
          </w:p>
        </w:tc>
        <w:tc>
          <w:tcPr>
            <w:tcW w:w="2260" w:type="dxa"/>
            <w:vAlign w:val="center"/>
          </w:tcPr>
          <w:p w14:paraId="3CA7EE62" w14:textId="5ABE7F31" w:rsidR="009B32FD" w:rsidRPr="00205C60" w:rsidRDefault="00D17F42" w:rsidP="0086633E">
            <w:pPr>
              <w:jc w:val="center"/>
              <w:rPr>
                <w:rFonts w:ascii="Verdana" w:hAnsi="Verdana" w:cs="Arial"/>
                <w:sz w:val="22"/>
                <w:szCs w:val="22"/>
              </w:rPr>
            </w:pPr>
            <w:r w:rsidRPr="00205C60">
              <w:rPr>
                <w:rFonts w:ascii="Verdana" w:hAnsi="Verdana" w:cs="Arial"/>
                <w:sz w:val="22"/>
                <w:szCs w:val="22"/>
              </w:rPr>
              <w:t>7</w:t>
            </w:r>
            <w:r w:rsidR="00506580" w:rsidRPr="00205C60">
              <w:rPr>
                <w:rFonts w:ascii="Verdana" w:hAnsi="Verdana" w:cs="Arial"/>
                <w:sz w:val="22"/>
                <w:szCs w:val="22"/>
              </w:rPr>
              <w:t>6.308</w:t>
            </w:r>
          </w:p>
        </w:tc>
        <w:tc>
          <w:tcPr>
            <w:tcW w:w="2641" w:type="dxa"/>
            <w:vAlign w:val="center"/>
          </w:tcPr>
          <w:p w14:paraId="3CA7EE63" w14:textId="4B42B1F6" w:rsidR="009B32FD" w:rsidRPr="00205C60" w:rsidRDefault="00D17F42" w:rsidP="0086633E">
            <w:pPr>
              <w:jc w:val="center"/>
              <w:rPr>
                <w:rFonts w:ascii="Verdana" w:hAnsi="Verdana" w:cs="Arial"/>
                <w:sz w:val="22"/>
                <w:szCs w:val="22"/>
              </w:rPr>
            </w:pPr>
            <w:r w:rsidRPr="00205C60">
              <w:rPr>
                <w:rFonts w:ascii="Verdana" w:hAnsi="Verdana" w:cs="Arial"/>
                <w:sz w:val="22"/>
                <w:szCs w:val="22"/>
              </w:rPr>
              <w:t>1.5</w:t>
            </w:r>
            <w:r w:rsidR="00506580" w:rsidRPr="00205C60">
              <w:rPr>
                <w:rFonts w:ascii="Verdana" w:hAnsi="Verdana" w:cs="Arial"/>
                <w:sz w:val="22"/>
                <w:szCs w:val="22"/>
              </w:rPr>
              <w:t>4</w:t>
            </w:r>
            <w:r w:rsidR="00D86D0D" w:rsidRPr="00205C60">
              <w:rPr>
                <w:rFonts w:ascii="Verdana" w:hAnsi="Verdana" w:cs="Arial"/>
                <w:sz w:val="22"/>
                <w:szCs w:val="22"/>
              </w:rPr>
              <w:t>9</w:t>
            </w:r>
          </w:p>
        </w:tc>
      </w:tr>
      <w:tr w:rsidR="009B32FD" w:rsidRPr="00205C60" w14:paraId="3CA7EE68" w14:textId="77777777" w:rsidTr="00E84B1D">
        <w:trPr>
          <w:jc w:val="center"/>
        </w:trPr>
        <w:tc>
          <w:tcPr>
            <w:tcW w:w="2098" w:type="dxa"/>
            <w:vAlign w:val="center"/>
          </w:tcPr>
          <w:p w14:paraId="3CA7EE65" w14:textId="77777777" w:rsidR="009B32FD" w:rsidRPr="00205C60" w:rsidRDefault="009B32FD" w:rsidP="00E84B1D">
            <w:pPr>
              <w:jc w:val="center"/>
              <w:rPr>
                <w:rFonts w:ascii="Verdana" w:hAnsi="Verdana" w:cs="Arial"/>
                <w:sz w:val="22"/>
                <w:szCs w:val="22"/>
              </w:rPr>
            </w:pPr>
            <w:r w:rsidRPr="00205C60">
              <w:rPr>
                <w:rFonts w:ascii="Verdana" w:hAnsi="Verdana" w:cs="Arial"/>
                <w:sz w:val="22"/>
                <w:szCs w:val="22"/>
              </w:rPr>
              <w:t>Sector Industrial</w:t>
            </w:r>
          </w:p>
        </w:tc>
        <w:tc>
          <w:tcPr>
            <w:tcW w:w="2260" w:type="dxa"/>
            <w:vAlign w:val="center"/>
          </w:tcPr>
          <w:p w14:paraId="3CA7EE66" w14:textId="5441D175" w:rsidR="009B32FD" w:rsidRPr="00205C60" w:rsidRDefault="00D17F42" w:rsidP="0086633E">
            <w:pPr>
              <w:jc w:val="center"/>
              <w:rPr>
                <w:rFonts w:ascii="Verdana" w:hAnsi="Verdana" w:cs="Arial"/>
                <w:sz w:val="22"/>
                <w:szCs w:val="22"/>
              </w:rPr>
            </w:pPr>
            <w:r w:rsidRPr="00205C60">
              <w:rPr>
                <w:rFonts w:ascii="Verdana" w:hAnsi="Verdana" w:cs="Arial"/>
                <w:sz w:val="22"/>
                <w:szCs w:val="22"/>
              </w:rPr>
              <w:t>1.5</w:t>
            </w:r>
            <w:r w:rsidR="00506580" w:rsidRPr="00205C60">
              <w:rPr>
                <w:rFonts w:ascii="Verdana" w:hAnsi="Verdana" w:cs="Arial"/>
                <w:sz w:val="22"/>
                <w:szCs w:val="22"/>
              </w:rPr>
              <w:t>64</w:t>
            </w:r>
          </w:p>
        </w:tc>
        <w:tc>
          <w:tcPr>
            <w:tcW w:w="2641" w:type="dxa"/>
            <w:vAlign w:val="center"/>
          </w:tcPr>
          <w:p w14:paraId="3CA7EE67" w14:textId="47CA80E1" w:rsidR="009B32FD" w:rsidRPr="00205C60" w:rsidRDefault="00D86D0D" w:rsidP="0086633E">
            <w:pPr>
              <w:jc w:val="center"/>
              <w:rPr>
                <w:rFonts w:ascii="Verdana" w:hAnsi="Verdana" w:cs="Arial"/>
                <w:sz w:val="22"/>
                <w:szCs w:val="22"/>
              </w:rPr>
            </w:pPr>
            <w:r w:rsidRPr="00205C60">
              <w:rPr>
                <w:rFonts w:ascii="Verdana" w:hAnsi="Verdana" w:cs="Arial"/>
                <w:sz w:val="22"/>
                <w:szCs w:val="22"/>
              </w:rPr>
              <w:t>20.284</w:t>
            </w:r>
          </w:p>
        </w:tc>
      </w:tr>
    </w:tbl>
    <w:p w14:paraId="3CA7EE69" w14:textId="6E5023BE" w:rsidR="008D724C" w:rsidRPr="00205C60" w:rsidRDefault="00D17F42" w:rsidP="009B32FD">
      <w:pPr>
        <w:rPr>
          <w:rFonts w:ascii="Verdana" w:hAnsi="Verdana" w:cs="Arial"/>
          <w:i/>
          <w:iCs/>
          <w:sz w:val="22"/>
          <w:szCs w:val="22"/>
        </w:rPr>
      </w:pPr>
      <w:r w:rsidRPr="00205C60">
        <w:rPr>
          <w:rFonts w:ascii="Verdana" w:hAnsi="Verdana" w:cs="Arial"/>
          <w:sz w:val="22"/>
          <w:szCs w:val="22"/>
        </w:rPr>
        <w:tab/>
        <w:t xml:space="preserve">   </w:t>
      </w:r>
      <w:r w:rsidRPr="00205C60">
        <w:rPr>
          <w:rFonts w:ascii="Verdana" w:hAnsi="Verdana" w:cs="Arial"/>
          <w:i/>
          <w:iCs/>
          <w:sz w:val="20"/>
        </w:rPr>
        <w:t xml:space="preserve">Fuente: </w:t>
      </w:r>
      <w:r w:rsidR="00162013" w:rsidRPr="00205C60">
        <w:rPr>
          <w:rFonts w:ascii="Verdana" w:hAnsi="Verdana" w:cs="Arial"/>
          <w:i/>
          <w:iCs/>
          <w:sz w:val="20"/>
        </w:rPr>
        <w:t>sistema SIGE</w:t>
      </w:r>
      <w:r w:rsidRPr="00205C60">
        <w:rPr>
          <w:rFonts w:ascii="Verdana" w:hAnsi="Verdana" w:cs="Arial"/>
          <w:i/>
          <w:iCs/>
          <w:sz w:val="20"/>
        </w:rPr>
        <w:t xml:space="preserve"> CNFL</w:t>
      </w:r>
    </w:p>
    <w:p w14:paraId="31790EF9" w14:textId="77777777" w:rsidR="00D17F42" w:rsidRPr="00205C60" w:rsidRDefault="00D17F42" w:rsidP="009B32FD">
      <w:pPr>
        <w:rPr>
          <w:rFonts w:ascii="Verdana" w:hAnsi="Verdana" w:cs="Arial"/>
          <w:sz w:val="22"/>
          <w:szCs w:val="22"/>
        </w:rPr>
      </w:pPr>
    </w:p>
    <w:p w14:paraId="3CA7EE6A" w14:textId="2AD43A45" w:rsidR="00F916BE" w:rsidRPr="00205C60" w:rsidRDefault="00F916BE" w:rsidP="009B32FD">
      <w:pPr>
        <w:rPr>
          <w:rFonts w:ascii="Verdana" w:hAnsi="Verdana" w:cs="Arial"/>
          <w:sz w:val="22"/>
          <w:szCs w:val="22"/>
        </w:rPr>
      </w:pPr>
      <w:r w:rsidRPr="00205C60">
        <w:rPr>
          <w:rFonts w:ascii="Verdana" w:hAnsi="Verdana" w:cs="Arial"/>
          <w:sz w:val="22"/>
          <w:szCs w:val="22"/>
        </w:rPr>
        <w:t>1</w:t>
      </w:r>
      <w:r w:rsidR="001348F3" w:rsidRPr="00205C60">
        <w:rPr>
          <w:rFonts w:ascii="Verdana" w:hAnsi="Verdana" w:cs="Arial"/>
          <w:sz w:val="22"/>
          <w:szCs w:val="22"/>
        </w:rPr>
        <w:t>/ kWh</w:t>
      </w:r>
      <w:r w:rsidRPr="00205C60">
        <w:rPr>
          <w:rFonts w:ascii="Verdana" w:hAnsi="Verdana" w:cs="Arial"/>
          <w:sz w:val="22"/>
          <w:szCs w:val="22"/>
        </w:rPr>
        <w:t>: kilo watts-horas, medida de la energía (potencia por un determinado número de horas ya sea producida o consumida).  Equivale a 1.000 watts-hora o vatio-hora.</w:t>
      </w:r>
    </w:p>
    <w:p w14:paraId="5D4ABF52" w14:textId="77777777" w:rsidR="00D17F42" w:rsidRPr="00205C60" w:rsidRDefault="00D17F42" w:rsidP="007040B6">
      <w:pPr>
        <w:jc w:val="both"/>
        <w:rPr>
          <w:rFonts w:ascii="Verdana" w:hAnsi="Verdana" w:cs="Arial"/>
          <w:sz w:val="22"/>
          <w:szCs w:val="22"/>
        </w:rPr>
      </w:pPr>
    </w:p>
    <w:p w14:paraId="3CA7EE6D" w14:textId="1319BBEA" w:rsidR="00DB307B" w:rsidRPr="00205C60" w:rsidRDefault="00165DFA" w:rsidP="007040B6">
      <w:pPr>
        <w:jc w:val="both"/>
        <w:rPr>
          <w:rFonts w:ascii="Verdana" w:hAnsi="Verdana" w:cs="Arial"/>
          <w:sz w:val="22"/>
          <w:szCs w:val="22"/>
        </w:rPr>
      </w:pPr>
      <w:r w:rsidRPr="00205C60">
        <w:rPr>
          <w:rFonts w:ascii="Verdana" w:hAnsi="Verdana" w:cs="Arial"/>
          <w:sz w:val="22"/>
          <w:szCs w:val="22"/>
        </w:rPr>
        <w:t>Debido a la naturaleza del servicio eléctrico la entrega a los clientes se realiza a través de los conductores instalados en la red de distribución.</w:t>
      </w:r>
    </w:p>
    <w:p w14:paraId="3CA7EE6E" w14:textId="77777777" w:rsidR="00165DFA" w:rsidRPr="00205C60" w:rsidRDefault="00165DFA">
      <w:pPr>
        <w:rPr>
          <w:rFonts w:ascii="Verdana" w:hAnsi="Verdana" w:cs="Arial"/>
          <w:sz w:val="22"/>
          <w:szCs w:val="22"/>
        </w:rPr>
      </w:pPr>
    </w:p>
    <w:p w14:paraId="3CA7EE6F" w14:textId="77777777" w:rsidR="00165DFA" w:rsidRPr="00205C60" w:rsidRDefault="006A1F13" w:rsidP="006A1F13">
      <w:pPr>
        <w:jc w:val="both"/>
        <w:rPr>
          <w:rFonts w:ascii="Verdana" w:hAnsi="Verdana" w:cs="Arial"/>
          <w:sz w:val="22"/>
          <w:szCs w:val="22"/>
        </w:rPr>
      </w:pPr>
      <w:r w:rsidRPr="00205C60">
        <w:rPr>
          <w:rFonts w:ascii="Verdana" w:hAnsi="Verdana" w:cs="Arial"/>
          <w:sz w:val="22"/>
          <w:szCs w:val="22"/>
        </w:rPr>
        <w:t xml:space="preserve">De conformidad con la legislación existente, </w:t>
      </w:r>
      <w:r w:rsidR="00165DFA" w:rsidRPr="00205C60">
        <w:rPr>
          <w:rFonts w:ascii="Verdana" w:hAnsi="Verdana" w:cs="Arial"/>
          <w:sz w:val="22"/>
          <w:szCs w:val="22"/>
        </w:rPr>
        <w:t>no es posible la entrada de competidores al mercado servido por la Compañía</w:t>
      </w:r>
      <w:r w:rsidRPr="00205C60">
        <w:rPr>
          <w:rFonts w:ascii="Verdana" w:hAnsi="Verdana" w:cs="Arial"/>
          <w:sz w:val="22"/>
          <w:szCs w:val="22"/>
        </w:rPr>
        <w:t xml:space="preserve">, lo que se conoce como </w:t>
      </w:r>
      <w:r w:rsidR="00165DFA" w:rsidRPr="00205C60">
        <w:rPr>
          <w:rFonts w:ascii="Verdana" w:hAnsi="Verdana" w:cs="Arial"/>
          <w:sz w:val="22"/>
          <w:szCs w:val="22"/>
        </w:rPr>
        <w:t>un monopolio natural.</w:t>
      </w:r>
    </w:p>
    <w:p w14:paraId="66B360C9" w14:textId="48655E2A" w:rsidR="00994302" w:rsidRPr="00205C60" w:rsidRDefault="00994302" w:rsidP="00165DFA">
      <w:pPr>
        <w:jc w:val="both"/>
        <w:rPr>
          <w:rFonts w:ascii="Verdana" w:hAnsi="Verdana" w:cs="Arial"/>
          <w:sz w:val="22"/>
          <w:szCs w:val="22"/>
        </w:rPr>
      </w:pPr>
    </w:p>
    <w:p w14:paraId="13C63BFA" w14:textId="157CF1B6" w:rsidR="00BA5564" w:rsidRPr="00205C60" w:rsidRDefault="00BA5564" w:rsidP="00165DFA">
      <w:pPr>
        <w:jc w:val="both"/>
        <w:rPr>
          <w:rFonts w:ascii="Verdana" w:hAnsi="Verdana" w:cs="Arial"/>
          <w:b/>
          <w:bCs/>
          <w:color w:val="FF0000"/>
          <w:sz w:val="22"/>
          <w:szCs w:val="22"/>
        </w:rPr>
      </w:pPr>
    </w:p>
    <w:p w14:paraId="38B11C3C" w14:textId="77777777" w:rsidR="0093422E" w:rsidRPr="00205C60" w:rsidRDefault="0093422E" w:rsidP="00165DFA">
      <w:pPr>
        <w:jc w:val="both"/>
        <w:rPr>
          <w:rFonts w:ascii="Verdana" w:hAnsi="Verdana" w:cs="Arial"/>
          <w:sz w:val="22"/>
          <w:szCs w:val="22"/>
        </w:rPr>
      </w:pPr>
    </w:p>
    <w:p w14:paraId="3CA7EE72" w14:textId="77777777" w:rsidR="00165DFA" w:rsidRPr="00205C60" w:rsidRDefault="00165DFA" w:rsidP="00307E2B">
      <w:pPr>
        <w:pStyle w:val="Ttulo2"/>
        <w:numPr>
          <w:ilvl w:val="1"/>
          <w:numId w:val="1"/>
        </w:numPr>
        <w:tabs>
          <w:tab w:val="clear" w:pos="720"/>
          <w:tab w:val="left" w:pos="708"/>
        </w:tabs>
        <w:rPr>
          <w:rFonts w:ascii="Verdana" w:hAnsi="Verdana" w:cs="Arial"/>
          <w:sz w:val="22"/>
          <w:szCs w:val="22"/>
        </w:rPr>
      </w:pPr>
      <w:bookmarkStart w:id="120" w:name="_Toc104529469"/>
      <w:r w:rsidRPr="00205C60">
        <w:rPr>
          <w:rFonts w:ascii="Verdana" w:hAnsi="Verdana" w:cs="Arial"/>
          <w:sz w:val="22"/>
          <w:szCs w:val="22"/>
        </w:rPr>
        <w:t>Principales proveedores</w:t>
      </w:r>
      <w:bookmarkEnd w:id="120"/>
    </w:p>
    <w:p w14:paraId="3CA7EE73" w14:textId="77777777" w:rsidR="00E94CEC" w:rsidRPr="00205C60" w:rsidRDefault="00E94CEC" w:rsidP="00E94CEC">
      <w:pPr>
        <w:rPr>
          <w:rFonts w:ascii="Verdana" w:hAnsi="Verdana"/>
          <w:sz w:val="22"/>
          <w:szCs w:val="22"/>
        </w:rPr>
      </w:pPr>
    </w:p>
    <w:p w14:paraId="26C8394C" w14:textId="68C672A5" w:rsidR="00DD0198" w:rsidRPr="00205C60" w:rsidRDefault="000E3B70" w:rsidP="006A1F13">
      <w:pPr>
        <w:jc w:val="both"/>
        <w:rPr>
          <w:rFonts w:ascii="Verdana" w:hAnsi="Verdana" w:cs="Arial"/>
          <w:sz w:val="22"/>
          <w:szCs w:val="22"/>
        </w:rPr>
      </w:pPr>
      <w:r w:rsidRPr="00205C60">
        <w:rPr>
          <w:rFonts w:ascii="Verdana" w:hAnsi="Verdana" w:cs="Arial"/>
          <w:sz w:val="22"/>
          <w:szCs w:val="22"/>
        </w:rPr>
        <w:t>En el año 20</w:t>
      </w:r>
      <w:r w:rsidR="00252046" w:rsidRPr="00205C60">
        <w:rPr>
          <w:rFonts w:ascii="Verdana" w:hAnsi="Verdana" w:cs="Arial"/>
          <w:sz w:val="22"/>
          <w:szCs w:val="22"/>
        </w:rPr>
        <w:t>2</w:t>
      </w:r>
      <w:r w:rsidR="002C09A7" w:rsidRPr="00205C60">
        <w:rPr>
          <w:rFonts w:ascii="Verdana" w:hAnsi="Verdana" w:cs="Arial"/>
          <w:sz w:val="22"/>
          <w:szCs w:val="22"/>
        </w:rPr>
        <w:t>2</w:t>
      </w:r>
      <w:r w:rsidRPr="00205C60">
        <w:rPr>
          <w:rFonts w:ascii="Verdana" w:hAnsi="Verdana" w:cs="Arial"/>
          <w:color w:val="C00000"/>
          <w:sz w:val="22"/>
          <w:szCs w:val="22"/>
        </w:rPr>
        <w:t xml:space="preserve"> </w:t>
      </w:r>
      <w:r w:rsidRPr="00205C60">
        <w:rPr>
          <w:rFonts w:ascii="Verdana" w:hAnsi="Verdana" w:cs="Arial"/>
          <w:sz w:val="22"/>
          <w:szCs w:val="22"/>
        </w:rPr>
        <w:t>d</w:t>
      </w:r>
      <w:r w:rsidR="006A1F13" w:rsidRPr="00205C60">
        <w:rPr>
          <w:rFonts w:ascii="Verdana" w:hAnsi="Verdana" w:cs="Arial"/>
          <w:sz w:val="22"/>
          <w:szCs w:val="22"/>
        </w:rPr>
        <w:t>entro de los proveedores más importantes de la Compañía se mencionan los siguientes:</w:t>
      </w:r>
    </w:p>
    <w:p w14:paraId="20290C48" w14:textId="61C8EA57" w:rsidR="00FD29FF" w:rsidRPr="00205C60" w:rsidRDefault="00FD29FF" w:rsidP="006A1F13">
      <w:pPr>
        <w:jc w:val="both"/>
        <w:rPr>
          <w:rFonts w:ascii="Verdana" w:hAnsi="Verdana" w:cs="Arial"/>
          <w:sz w:val="22"/>
          <w:szCs w:val="22"/>
        </w:rPr>
      </w:pPr>
    </w:p>
    <w:p w14:paraId="73D2F0AE" w14:textId="77777777" w:rsidR="00FD29FF" w:rsidRPr="00205C60" w:rsidRDefault="00FD29FF" w:rsidP="006A1F13">
      <w:pPr>
        <w:jc w:val="both"/>
        <w:rPr>
          <w:rFonts w:ascii="Verdana" w:hAnsi="Verdana" w:cs="Arial"/>
          <w:sz w:val="22"/>
          <w:szCs w:val="22"/>
        </w:rPr>
      </w:pPr>
    </w:p>
    <w:p w14:paraId="05DFE8D0" w14:textId="79F31820" w:rsidR="009D1BEA" w:rsidRPr="00205C60" w:rsidRDefault="009D1BEA" w:rsidP="006A1F13">
      <w:pPr>
        <w:jc w:val="both"/>
        <w:rPr>
          <w:rFonts w:ascii="Verdana" w:hAnsi="Verdana" w:cs="Arial"/>
          <w:sz w:val="22"/>
          <w:szCs w:val="22"/>
        </w:rPr>
      </w:pPr>
    </w:p>
    <w:p w14:paraId="7DF17609" w14:textId="1BD10EFA" w:rsidR="009D1BEA" w:rsidRPr="00205C60" w:rsidRDefault="009D1BEA" w:rsidP="006A1F13">
      <w:pPr>
        <w:jc w:val="both"/>
        <w:rPr>
          <w:rFonts w:ascii="Verdana" w:hAnsi="Verdana" w:cs="Arial"/>
          <w:sz w:val="22"/>
          <w:szCs w:val="22"/>
        </w:rPr>
      </w:pPr>
      <w:r w:rsidRPr="00205C60">
        <w:rPr>
          <w:noProof/>
        </w:rPr>
        <w:lastRenderedPageBreak/>
        <w:drawing>
          <wp:inline distT="0" distB="0" distL="0" distR="0" wp14:anchorId="6BCBEDD2" wp14:editId="43830E69">
            <wp:extent cx="5353050" cy="556473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56712" cy="5568540"/>
                    </a:xfrm>
                    <a:prstGeom prst="rect">
                      <a:avLst/>
                    </a:prstGeom>
                    <a:noFill/>
                    <a:ln>
                      <a:noFill/>
                    </a:ln>
                  </pic:spPr>
                </pic:pic>
              </a:graphicData>
            </a:graphic>
          </wp:inline>
        </w:drawing>
      </w:r>
    </w:p>
    <w:p w14:paraId="2E938661" w14:textId="6172E07E" w:rsidR="00DD0198" w:rsidRPr="00205C60" w:rsidRDefault="00DD0198" w:rsidP="00DD0198">
      <w:pPr>
        <w:rPr>
          <w:rFonts w:ascii="Verdana" w:hAnsi="Verdana" w:cs="Arial"/>
          <w:sz w:val="22"/>
          <w:szCs w:val="22"/>
        </w:rPr>
      </w:pPr>
      <w:r w:rsidRPr="00205C60">
        <w:rPr>
          <w:rFonts w:ascii="Verdana" w:hAnsi="Verdana" w:cs="Arial"/>
          <w:sz w:val="20"/>
        </w:rPr>
        <w:t>Fuente: Área Proveeduría Empresarial, CNFL</w:t>
      </w:r>
    </w:p>
    <w:p w14:paraId="3CA7EE75" w14:textId="6C9706BC" w:rsidR="00736266" w:rsidRPr="00205C60" w:rsidRDefault="00070601" w:rsidP="00736266">
      <w:pPr>
        <w:rPr>
          <w:rFonts w:ascii="Verdana" w:hAnsi="Verdana" w:cs="Arial"/>
          <w:color w:val="FF0000"/>
          <w:sz w:val="22"/>
          <w:szCs w:val="22"/>
        </w:rPr>
      </w:pPr>
      <w:r w:rsidRPr="00205C60">
        <w:rPr>
          <w:rFonts w:ascii="Verdana" w:hAnsi="Verdana"/>
          <w:sz w:val="22"/>
          <w:szCs w:val="22"/>
        </w:rPr>
        <w:t xml:space="preserve">      </w:t>
      </w:r>
    </w:p>
    <w:p w14:paraId="3CA7EE7A" w14:textId="362674FE" w:rsidR="004666CB" w:rsidRPr="00205C60" w:rsidRDefault="004666CB" w:rsidP="00115EB4">
      <w:pPr>
        <w:jc w:val="both"/>
        <w:rPr>
          <w:rFonts w:ascii="Verdana" w:hAnsi="Verdana" w:cs="Arial"/>
          <w:color w:val="C00000"/>
          <w:sz w:val="22"/>
          <w:szCs w:val="22"/>
        </w:rPr>
      </w:pPr>
      <w:r w:rsidRPr="00205C60">
        <w:rPr>
          <w:rFonts w:ascii="Verdana" w:hAnsi="Verdana" w:cs="Arial"/>
          <w:sz w:val="22"/>
          <w:szCs w:val="22"/>
        </w:rPr>
        <w:t>Se debe señalar</w:t>
      </w:r>
      <w:r w:rsidR="00291378" w:rsidRPr="00205C60">
        <w:rPr>
          <w:rFonts w:ascii="Verdana" w:hAnsi="Verdana" w:cs="Arial"/>
          <w:sz w:val="22"/>
          <w:szCs w:val="22"/>
        </w:rPr>
        <w:t>, por un lado,</w:t>
      </w:r>
      <w:r w:rsidRPr="00205C60">
        <w:rPr>
          <w:rFonts w:ascii="Verdana" w:hAnsi="Verdana" w:cs="Arial"/>
          <w:sz w:val="22"/>
          <w:szCs w:val="22"/>
        </w:rPr>
        <w:t xml:space="preserve"> que el principal proveedor de la Compañía es el Instituto Costarricense de Electricidad, del cual se adquiere aproximadamente el </w:t>
      </w:r>
      <w:r w:rsidR="006E1918" w:rsidRPr="00205C60">
        <w:rPr>
          <w:rFonts w:ascii="Verdana" w:hAnsi="Verdana" w:cs="Arial"/>
          <w:sz w:val="22"/>
          <w:szCs w:val="22"/>
        </w:rPr>
        <w:t>9</w:t>
      </w:r>
      <w:r w:rsidR="002E5D87" w:rsidRPr="00205C60">
        <w:rPr>
          <w:rFonts w:ascii="Verdana" w:hAnsi="Verdana" w:cs="Arial"/>
          <w:sz w:val="22"/>
          <w:szCs w:val="22"/>
        </w:rPr>
        <w:t>0</w:t>
      </w:r>
      <w:r w:rsidRPr="00205C60">
        <w:rPr>
          <w:rFonts w:ascii="Verdana" w:hAnsi="Verdana" w:cs="Arial"/>
          <w:sz w:val="22"/>
          <w:szCs w:val="22"/>
        </w:rPr>
        <w:t>%</w:t>
      </w:r>
      <w:r w:rsidRPr="00205C60">
        <w:rPr>
          <w:rFonts w:ascii="Verdana" w:hAnsi="Verdana" w:cs="Arial"/>
          <w:color w:val="C00000"/>
          <w:sz w:val="22"/>
          <w:szCs w:val="22"/>
        </w:rPr>
        <w:t xml:space="preserve"> </w:t>
      </w:r>
      <w:r w:rsidRPr="00205C60">
        <w:rPr>
          <w:rFonts w:ascii="Verdana" w:hAnsi="Verdana" w:cs="Arial"/>
          <w:sz w:val="22"/>
          <w:szCs w:val="22"/>
        </w:rPr>
        <w:t>de la energía distribuida en el área de servicio de la Compañía</w:t>
      </w:r>
      <w:r w:rsidRPr="00205C60">
        <w:rPr>
          <w:rFonts w:ascii="Verdana" w:hAnsi="Verdana" w:cs="Arial"/>
          <w:color w:val="C00000"/>
          <w:sz w:val="22"/>
          <w:szCs w:val="22"/>
        </w:rPr>
        <w:t>.</w:t>
      </w:r>
    </w:p>
    <w:p w14:paraId="3CA7EE7B" w14:textId="77777777" w:rsidR="007F35BF" w:rsidRPr="00205C60" w:rsidRDefault="007F35BF" w:rsidP="0066747E">
      <w:pPr>
        <w:jc w:val="both"/>
        <w:rPr>
          <w:rFonts w:ascii="Verdana" w:hAnsi="Verdana" w:cs="Arial"/>
          <w:color w:val="C00000"/>
          <w:sz w:val="22"/>
          <w:szCs w:val="22"/>
        </w:rPr>
      </w:pPr>
    </w:p>
    <w:p w14:paraId="3CA7EE7C" w14:textId="589F6F8A" w:rsidR="0006356D" w:rsidRPr="00205C60" w:rsidRDefault="00291378" w:rsidP="00CD2E3D">
      <w:pPr>
        <w:jc w:val="both"/>
        <w:rPr>
          <w:rFonts w:ascii="Verdana" w:hAnsi="Verdana" w:cs="Arial"/>
          <w:sz w:val="22"/>
          <w:szCs w:val="22"/>
        </w:rPr>
      </w:pPr>
      <w:bookmarkStart w:id="121" w:name="_Hlk135316363"/>
      <w:r w:rsidRPr="00E844F5">
        <w:rPr>
          <w:rFonts w:ascii="Verdana" w:hAnsi="Verdana" w:cs="Arial"/>
          <w:sz w:val="22"/>
          <w:szCs w:val="22"/>
        </w:rPr>
        <w:t>Por otro c</w:t>
      </w:r>
      <w:r w:rsidR="00145A98" w:rsidRPr="00E844F5">
        <w:rPr>
          <w:rFonts w:ascii="Verdana" w:hAnsi="Verdana" w:cs="Arial"/>
          <w:sz w:val="22"/>
          <w:szCs w:val="22"/>
        </w:rPr>
        <w:t xml:space="preserve">abe mencionar, </w:t>
      </w:r>
      <w:r w:rsidR="00A7587E" w:rsidRPr="00E844F5">
        <w:rPr>
          <w:rFonts w:ascii="Verdana" w:hAnsi="Verdana" w:cs="Arial"/>
          <w:sz w:val="22"/>
          <w:szCs w:val="22"/>
        </w:rPr>
        <w:t>que,</w:t>
      </w:r>
      <w:r w:rsidR="00145A98" w:rsidRPr="00E844F5">
        <w:rPr>
          <w:rFonts w:ascii="Verdana" w:hAnsi="Verdana" w:cs="Arial"/>
          <w:sz w:val="22"/>
          <w:szCs w:val="22"/>
        </w:rPr>
        <w:t xml:space="preserve"> del</w:t>
      </w:r>
      <w:r w:rsidR="00E844F5" w:rsidRPr="00E844F5">
        <w:rPr>
          <w:rFonts w:ascii="Verdana" w:hAnsi="Verdana" w:cs="Arial"/>
          <w:sz w:val="22"/>
          <w:szCs w:val="22"/>
        </w:rPr>
        <w:t xml:space="preserve"> total de compras del periodo 2022, los proveedores locales representan un 59,40% de las órdenes de compra de activos, maquinaria, equipos y herramientas, un 40,54% por contratación de servicios como mantenimiento y reparación de activos y equipo, construcciones, remodelaciones, consultorías y capacitación. Y un 0,16% (1 orden de importación), por concepto de adquisición de interruptores.</w:t>
      </w:r>
    </w:p>
    <w:bookmarkEnd w:id="121"/>
    <w:p w14:paraId="3A16EB64" w14:textId="1C512343" w:rsidR="000C5440" w:rsidRPr="00205C60" w:rsidRDefault="000C5440" w:rsidP="00CD2E3D">
      <w:pPr>
        <w:jc w:val="both"/>
        <w:rPr>
          <w:rFonts w:ascii="Verdana" w:hAnsi="Verdana" w:cs="Arial"/>
          <w:sz w:val="22"/>
          <w:szCs w:val="22"/>
        </w:rPr>
      </w:pPr>
    </w:p>
    <w:p w14:paraId="6FC28333" w14:textId="14302EC5" w:rsidR="000C5440" w:rsidRPr="00205C60" w:rsidRDefault="000C5440" w:rsidP="00CD2E3D">
      <w:pPr>
        <w:jc w:val="both"/>
        <w:rPr>
          <w:rFonts w:ascii="Verdana" w:hAnsi="Verdana" w:cs="Arial"/>
          <w:sz w:val="22"/>
          <w:szCs w:val="22"/>
        </w:rPr>
      </w:pPr>
    </w:p>
    <w:p w14:paraId="177EFD22" w14:textId="77777777" w:rsidR="000C5440" w:rsidRPr="00205C60" w:rsidRDefault="000C5440" w:rsidP="00CD2E3D">
      <w:pPr>
        <w:jc w:val="both"/>
        <w:rPr>
          <w:rFonts w:ascii="Verdana" w:hAnsi="Verdana" w:cs="Arial"/>
          <w:sz w:val="22"/>
          <w:szCs w:val="22"/>
        </w:rPr>
      </w:pPr>
    </w:p>
    <w:p w14:paraId="75CD5D96" w14:textId="7036973A" w:rsidR="00A7240C" w:rsidRPr="00205C60" w:rsidRDefault="00A7240C" w:rsidP="00145A98">
      <w:pPr>
        <w:rPr>
          <w:rFonts w:ascii="Verdana" w:hAnsi="Verdana"/>
          <w:b/>
          <w:bCs/>
          <w:color w:val="FF0000"/>
          <w:sz w:val="22"/>
          <w:szCs w:val="22"/>
        </w:rPr>
      </w:pPr>
    </w:p>
    <w:p w14:paraId="3CA7EE7E" w14:textId="77777777" w:rsidR="00A25153" w:rsidRPr="00205C60" w:rsidRDefault="00A25153" w:rsidP="00145A98">
      <w:pPr>
        <w:rPr>
          <w:rFonts w:ascii="Verdana" w:hAnsi="Verdana"/>
          <w:sz w:val="22"/>
          <w:szCs w:val="22"/>
        </w:rPr>
      </w:pPr>
    </w:p>
    <w:p w14:paraId="3CA7EE7F" w14:textId="77777777" w:rsidR="00933C4E" w:rsidRPr="00205C60" w:rsidRDefault="00933C4E" w:rsidP="00307E2B">
      <w:pPr>
        <w:pStyle w:val="Ttulo2"/>
        <w:numPr>
          <w:ilvl w:val="1"/>
          <w:numId w:val="1"/>
        </w:numPr>
        <w:tabs>
          <w:tab w:val="clear" w:pos="720"/>
          <w:tab w:val="left" w:pos="708"/>
        </w:tabs>
        <w:rPr>
          <w:rFonts w:ascii="Verdana" w:hAnsi="Verdana" w:cs="Arial"/>
          <w:sz w:val="22"/>
          <w:szCs w:val="22"/>
        </w:rPr>
      </w:pPr>
      <w:bookmarkStart w:id="122" w:name="_Toc104529470"/>
      <w:r w:rsidRPr="00205C60">
        <w:rPr>
          <w:rFonts w:ascii="Verdana" w:hAnsi="Verdana" w:cs="Arial"/>
          <w:sz w:val="22"/>
          <w:szCs w:val="22"/>
        </w:rPr>
        <w:lastRenderedPageBreak/>
        <w:t>Plan de Expansión de la Generación</w:t>
      </w:r>
      <w:bookmarkEnd w:id="122"/>
      <w:r w:rsidR="00CC4C7A" w:rsidRPr="00205C60">
        <w:rPr>
          <w:rFonts w:ascii="Verdana" w:hAnsi="Verdana" w:cs="Arial"/>
          <w:sz w:val="22"/>
          <w:szCs w:val="22"/>
        </w:rPr>
        <w:t xml:space="preserve"> </w:t>
      </w:r>
    </w:p>
    <w:p w14:paraId="3CA7EE80" w14:textId="77777777" w:rsidR="00131077" w:rsidRPr="00205C60" w:rsidRDefault="00131077" w:rsidP="00131077">
      <w:pPr>
        <w:rPr>
          <w:rFonts w:ascii="Verdana" w:hAnsi="Verdana"/>
          <w:sz w:val="22"/>
          <w:szCs w:val="22"/>
        </w:rPr>
      </w:pPr>
    </w:p>
    <w:p w14:paraId="3CA7EE81" w14:textId="073CE323" w:rsidR="009F1D53" w:rsidRPr="00205C60" w:rsidRDefault="009F1D53" w:rsidP="009F1D53">
      <w:pPr>
        <w:jc w:val="both"/>
        <w:rPr>
          <w:rFonts w:ascii="Verdana" w:hAnsi="Verdana" w:cs="Arial"/>
          <w:sz w:val="22"/>
          <w:szCs w:val="22"/>
        </w:rPr>
      </w:pPr>
      <w:r w:rsidRPr="00205C60">
        <w:rPr>
          <w:rFonts w:ascii="Verdana" w:hAnsi="Verdana" w:cs="Arial"/>
          <w:sz w:val="22"/>
          <w:szCs w:val="22"/>
        </w:rPr>
        <w:t xml:space="preserve">Según el acuerdo del Consejo Directivo del ICE, tomado en </w:t>
      </w:r>
      <w:r w:rsidR="00FC43F9" w:rsidRPr="00205C60">
        <w:rPr>
          <w:rFonts w:ascii="Verdana" w:hAnsi="Verdana" w:cs="Arial"/>
          <w:sz w:val="22"/>
          <w:szCs w:val="22"/>
        </w:rPr>
        <w:t>la sesión</w:t>
      </w:r>
      <w:r w:rsidRPr="00205C60">
        <w:rPr>
          <w:rFonts w:ascii="Verdana" w:hAnsi="Verdana" w:cs="Arial"/>
          <w:sz w:val="22"/>
          <w:szCs w:val="22"/>
        </w:rPr>
        <w:t xml:space="preserve"> Nº 6219 del 24 de abril del 2017, la CNFL no debe desarrollar la actividad de generación, por lo </w:t>
      </w:r>
      <w:r w:rsidR="00DD0198" w:rsidRPr="00205C60">
        <w:rPr>
          <w:rFonts w:ascii="Verdana" w:hAnsi="Verdana" w:cs="Arial"/>
          <w:sz w:val="22"/>
          <w:szCs w:val="22"/>
        </w:rPr>
        <w:t>que proyectos</w:t>
      </w:r>
      <w:r w:rsidRPr="00205C60">
        <w:rPr>
          <w:rFonts w:ascii="Verdana" w:hAnsi="Verdana" w:cs="Arial"/>
          <w:sz w:val="22"/>
          <w:szCs w:val="22"/>
        </w:rPr>
        <w:t xml:space="preserve"> </w:t>
      </w:r>
      <w:r w:rsidR="00062861" w:rsidRPr="00205C60">
        <w:rPr>
          <w:rFonts w:ascii="Verdana" w:hAnsi="Verdana" w:cs="Arial"/>
          <w:sz w:val="22"/>
          <w:szCs w:val="22"/>
        </w:rPr>
        <w:t xml:space="preserve">de </w:t>
      </w:r>
      <w:r w:rsidR="00016B97" w:rsidRPr="00205C60">
        <w:rPr>
          <w:rFonts w:ascii="Verdana" w:hAnsi="Verdana" w:cs="Arial"/>
          <w:sz w:val="22"/>
          <w:szCs w:val="22"/>
        </w:rPr>
        <w:t>esta</w:t>
      </w:r>
      <w:r w:rsidR="00062861" w:rsidRPr="00205C60">
        <w:rPr>
          <w:rFonts w:ascii="Verdana" w:hAnsi="Verdana" w:cs="Arial"/>
          <w:sz w:val="22"/>
          <w:szCs w:val="22"/>
        </w:rPr>
        <w:t xml:space="preserve"> índole, dejaron de formar parte del portafolio empresarial de proyectos.</w:t>
      </w:r>
    </w:p>
    <w:p w14:paraId="3CA7EE82" w14:textId="11769317" w:rsidR="009F1D53" w:rsidRPr="00205C60" w:rsidRDefault="009F1D53" w:rsidP="009F1D53">
      <w:pPr>
        <w:rPr>
          <w:rFonts w:ascii="Verdana" w:hAnsi="Verdana" w:cs="Calibri"/>
          <w:color w:val="C00000"/>
          <w:sz w:val="22"/>
          <w:szCs w:val="22"/>
        </w:rPr>
      </w:pPr>
    </w:p>
    <w:p w14:paraId="3CA7EE83" w14:textId="77777777" w:rsidR="009F1D53" w:rsidRPr="00205C60" w:rsidRDefault="009F1D53" w:rsidP="00445645">
      <w:pPr>
        <w:jc w:val="both"/>
        <w:rPr>
          <w:rFonts w:ascii="Verdana" w:hAnsi="Verdana"/>
          <w:b/>
          <w:sz w:val="22"/>
          <w:szCs w:val="22"/>
        </w:rPr>
      </w:pPr>
    </w:p>
    <w:p w14:paraId="3CA7EE84" w14:textId="77777777" w:rsidR="00C31E72" w:rsidRPr="00205C60" w:rsidRDefault="00C31E72" w:rsidP="00307E2B">
      <w:pPr>
        <w:pStyle w:val="Ttulo2"/>
        <w:numPr>
          <w:ilvl w:val="1"/>
          <w:numId w:val="1"/>
        </w:numPr>
        <w:tabs>
          <w:tab w:val="clear" w:pos="720"/>
          <w:tab w:val="left" w:pos="708"/>
        </w:tabs>
        <w:rPr>
          <w:rFonts w:ascii="Verdana" w:hAnsi="Verdana" w:cs="Arial"/>
          <w:sz w:val="22"/>
          <w:szCs w:val="22"/>
        </w:rPr>
      </w:pPr>
      <w:bookmarkStart w:id="123" w:name="_Toc104529471"/>
      <w:r w:rsidRPr="00205C60">
        <w:rPr>
          <w:rFonts w:ascii="Verdana" w:hAnsi="Verdana" w:cs="Arial"/>
          <w:sz w:val="22"/>
          <w:szCs w:val="22"/>
        </w:rPr>
        <w:t>Datos Estadísticos de Generación</w:t>
      </w:r>
      <w:r w:rsidR="004C7BDB" w:rsidRPr="00205C60">
        <w:rPr>
          <w:rFonts w:ascii="Verdana" w:hAnsi="Verdana" w:cs="Arial"/>
          <w:sz w:val="22"/>
          <w:szCs w:val="22"/>
        </w:rPr>
        <w:t xml:space="preserve"> en MWh</w:t>
      </w:r>
      <w:bookmarkEnd w:id="123"/>
    </w:p>
    <w:p w14:paraId="3CA7EE85" w14:textId="77777777" w:rsidR="00E94CEC" w:rsidRPr="00205C60" w:rsidRDefault="00E94CEC" w:rsidP="00E94CEC">
      <w:pPr>
        <w:rPr>
          <w:rFonts w:ascii="Verdana" w:hAnsi="Verdana"/>
          <w:sz w:val="22"/>
          <w:szCs w:val="22"/>
        </w:rPr>
      </w:pPr>
    </w:p>
    <w:tbl>
      <w:tblPr>
        <w:tblW w:w="7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1619"/>
        <w:gridCol w:w="1619"/>
        <w:gridCol w:w="1619"/>
      </w:tblGrid>
      <w:tr w:rsidR="007748E0" w:rsidRPr="00205C60" w14:paraId="3CA7EE8A" w14:textId="63684F95" w:rsidTr="007748E0">
        <w:trPr>
          <w:jc w:val="center"/>
        </w:trPr>
        <w:tc>
          <w:tcPr>
            <w:tcW w:w="2378" w:type="dxa"/>
          </w:tcPr>
          <w:p w14:paraId="3CA7EE86" w14:textId="77777777" w:rsidR="007748E0" w:rsidRPr="00205C60" w:rsidRDefault="007748E0" w:rsidP="007748E0">
            <w:pPr>
              <w:jc w:val="center"/>
              <w:rPr>
                <w:rFonts w:ascii="Verdana" w:hAnsi="Verdana" w:cs="Arial"/>
                <w:b/>
                <w:sz w:val="22"/>
                <w:szCs w:val="22"/>
              </w:rPr>
            </w:pPr>
            <w:r w:rsidRPr="00205C60">
              <w:rPr>
                <w:rFonts w:ascii="Verdana" w:hAnsi="Verdana" w:cs="Arial"/>
                <w:b/>
                <w:sz w:val="22"/>
                <w:szCs w:val="22"/>
              </w:rPr>
              <w:t>Plantas</w:t>
            </w:r>
          </w:p>
        </w:tc>
        <w:tc>
          <w:tcPr>
            <w:tcW w:w="1619" w:type="dxa"/>
          </w:tcPr>
          <w:p w14:paraId="7A863194" w14:textId="3E04C46B" w:rsidR="007748E0" w:rsidRPr="00205C60" w:rsidRDefault="007748E0" w:rsidP="007748E0">
            <w:pPr>
              <w:jc w:val="center"/>
              <w:rPr>
                <w:rFonts w:ascii="Verdana" w:hAnsi="Verdana" w:cs="Arial"/>
                <w:b/>
                <w:sz w:val="22"/>
                <w:szCs w:val="22"/>
              </w:rPr>
            </w:pPr>
            <w:r w:rsidRPr="00205C60">
              <w:rPr>
                <w:rFonts w:ascii="Verdana" w:hAnsi="Verdana" w:cs="Arial"/>
                <w:b/>
                <w:sz w:val="22"/>
                <w:szCs w:val="22"/>
              </w:rPr>
              <w:t>2020</w:t>
            </w:r>
          </w:p>
        </w:tc>
        <w:tc>
          <w:tcPr>
            <w:tcW w:w="1619" w:type="dxa"/>
          </w:tcPr>
          <w:p w14:paraId="56CDA6CE" w14:textId="713B7480" w:rsidR="007748E0" w:rsidRPr="00205C60" w:rsidRDefault="007748E0" w:rsidP="007748E0">
            <w:pPr>
              <w:jc w:val="center"/>
              <w:rPr>
                <w:rFonts w:ascii="Verdana" w:hAnsi="Verdana" w:cs="Arial"/>
                <w:b/>
                <w:sz w:val="22"/>
                <w:szCs w:val="22"/>
              </w:rPr>
            </w:pPr>
            <w:r w:rsidRPr="00205C60">
              <w:rPr>
                <w:rFonts w:ascii="Verdana" w:hAnsi="Verdana" w:cs="Arial"/>
                <w:b/>
                <w:sz w:val="22"/>
                <w:szCs w:val="22"/>
              </w:rPr>
              <w:t>2021</w:t>
            </w:r>
          </w:p>
        </w:tc>
        <w:tc>
          <w:tcPr>
            <w:tcW w:w="1619" w:type="dxa"/>
          </w:tcPr>
          <w:p w14:paraId="33C2054F" w14:textId="7514C510" w:rsidR="007748E0" w:rsidRPr="00205C60" w:rsidRDefault="007748E0" w:rsidP="007748E0">
            <w:pPr>
              <w:jc w:val="center"/>
              <w:rPr>
                <w:rFonts w:ascii="Verdana" w:hAnsi="Verdana" w:cs="Arial"/>
                <w:b/>
                <w:sz w:val="22"/>
                <w:szCs w:val="22"/>
              </w:rPr>
            </w:pPr>
            <w:r w:rsidRPr="00205C60">
              <w:rPr>
                <w:rFonts w:ascii="Verdana" w:hAnsi="Verdana" w:cs="Arial"/>
                <w:b/>
                <w:sz w:val="22"/>
                <w:szCs w:val="22"/>
              </w:rPr>
              <w:t>2022</w:t>
            </w:r>
          </w:p>
        </w:tc>
      </w:tr>
      <w:tr w:rsidR="007748E0" w:rsidRPr="00205C60" w14:paraId="3CA7EE8F" w14:textId="1CB452CA" w:rsidTr="007748E0">
        <w:trPr>
          <w:jc w:val="center"/>
        </w:trPr>
        <w:tc>
          <w:tcPr>
            <w:tcW w:w="2378" w:type="dxa"/>
          </w:tcPr>
          <w:p w14:paraId="3CA7EE8B" w14:textId="77777777" w:rsidR="007748E0" w:rsidRPr="00205C60" w:rsidRDefault="007748E0" w:rsidP="007748E0">
            <w:pPr>
              <w:jc w:val="center"/>
              <w:rPr>
                <w:rFonts w:ascii="Verdana" w:hAnsi="Verdana" w:cs="Arial"/>
                <w:sz w:val="22"/>
                <w:szCs w:val="22"/>
              </w:rPr>
            </w:pPr>
            <w:r w:rsidRPr="00205C60">
              <w:rPr>
                <w:rFonts w:ascii="Verdana" w:hAnsi="Verdana" w:cs="Arial"/>
                <w:sz w:val="22"/>
                <w:szCs w:val="22"/>
              </w:rPr>
              <w:t>Balsa Inferior</w:t>
            </w:r>
          </w:p>
        </w:tc>
        <w:tc>
          <w:tcPr>
            <w:tcW w:w="1619" w:type="dxa"/>
          </w:tcPr>
          <w:p w14:paraId="60AD4FD8" w14:textId="57F01F53" w:rsidR="007748E0" w:rsidRPr="00205C60" w:rsidRDefault="007748E0" w:rsidP="007748E0">
            <w:pPr>
              <w:jc w:val="center"/>
              <w:rPr>
                <w:rFonts w:ascii="Verdana" w:hAnsi="Verdana" w:cs="Arial"/>
                <w:sz w:val="22"/>
                <w:szCs w:val="22"/>
              </w:rPr>
            </w:pPr>
            <w:r w:rsidRPr="00205C60">
              <w:rPr>
                <w:rFonts w:ascii="Verdana" w:hAnsi="Verdana" w:cs="Arial"/>
                <w:sz w:val="22"/>
                <w:szCs w:val="22"/>
              </w:rPr>
              <w:t>102.252</w:t>
            </w:r>
          </w:p>
        </w:tc>
        <w:tc>
          <w:tcPr>
            <w:tcW w:w="1619" w:type="dxa"/>
          </w:tcPr>
          <w:p w14:paraId="39214500" w14:textId="10F1563A" w:rsidR="007748E0" w:rsidRPr="00205C60" w:rsidRDefault="007748E0" w:rsidP="007748E0">
            <w:pPr>
              <w:jc w:val="center"/>
              <w:rPr>
                <w:rFonts w:ascii="Verdana" w:hAnsi="Verdana" w:cs="Arial"/>
                <w:sz w:val="22"/>
                <w:szCs w:val="22"/>
              </w:rPr>
            </w:pPr>
            <w:r w:rsidRPr="00205C60">
              <w:rPr>
                <w:rFonts w:ascii="Verdana" w:hAnsi="Verdana" w:cs="Arial"/>
                <w:sz w:val="22"/>
                <w:szCs w:val="22"/>
              </w:rPr>
              <w:t>93.505</w:t>
            </w:r>
          </w:p>
        </w:tc>
        <w:tc>
          <w:tcPr>
            <w:tcW w:w="1619" w:type="dxa"/>
          </w:tcPr>
          <w:p w14:paraId="4CD8C721" w14:textId="2D35E277" w:rsidR="007748E0" w:rsidRPr="00205C60" w:rsidRDefault="007748E0" w:rsidP="007748E0">
            <w:pPr>
              <w:jc w:val="center"/>
              <w:rPr>
                <w:rFonts w:ascii="Verdana" w:hAnsi="Verdana" w:cs="Arial"/>
                <w:sz w:val="22"/>
                <w:szCs w:val="22"/>
              </w:rPr>
            </w:pPr>
            <w:r w:rsidRPr="00205C60">
              <w:rPr>
                <w:rFonts w:ascii="Verdana" w:hAnsi="Verdana" w:cs="Arial"/>
                <w:sz w:val="22"/>
                <w:szCs w:val="22"/>
              </w:rPr>
              <w:t>87.518</w:t>
            </w:r>
          </w:p>
        </w:tc>
      </w:tr>
      <w:tr w:rsidR="007748E0" w:rsidRPr="00205C60" w14:paraId="3CA7EE94" w14:textId="55F6C574" w:rsidTr="007748E0">
        <w:trPr>
          <w:jc w:val="center"/>
        </w:trPr>
        <w:tc>
          <w:tcPr>
            <w:tcW w:w="2378" w:type="dxa"/>
          </w:tcPr>
          <w:p w14:paraId="3CA7EE90" w14:textId="77777777" w:rsidR="007748E0" w:rsidRPr="00205C60" w:rsidRDefault="007748E0" w:rsidP="007748E0">
            <w:pPr>
              <w:jc w:val="center"/>
              <w:rPr>
                <w:rFonts w:ascii="Verdana" w:hAnsi="Verdana" w:cs="Arial"/>
                <w:sz w:val="22"/>
                <w:szCs w:val="22"/>
              </w:rPr>
            </w:pPr>
            <w:r w:rsidRPr="00205C60">
              <w:rPr>
                <w:rFonts w:ascii="Verdana" w:hAnsi="Verdana" w:cs="Arial"/>
                <w:sz w:val="22"/>
                <w:szCs w:val="22"/>
              </w:rPr>
              <w:t xml:space="preserve">Belén </w:t>
            </w:r>
          </w:p>
        </w:tc>
        <w:tc>
          <w:tcPr>
            <w:tcW w:w="1619" w:type="dxa"/>
          </w:tcPr>
          <w:p w14:paraId="77A31D8B" w14:textId="31EEA6EB" w:rsidR="007748E0" w:rsidRPr="00205C60" w:rsidRDefault="007748E0" w:rsidP="007748E0">
            <w:pPr>
              <w:jc w:val="center"/>
              <w:rPr>
                <w:rFonts w:ascii="Verdana" w:hAnsi="Verdana" w:cs="Arial"/>
                <w:sz w:val="22"/>
                <w:szCs w:val="22"/>
              </w:rPr>
            </w:pPr>
            <w:r w:rsidRPr="00205C60">
              <w:rPr>
                <w:rFonts w:ascii="Verdana" w:hAnsi="Verdana" w:cs="Arial"/>
                <w:sz w:val="22"/>
                <w:szCs w:val="22"/>
              </w:rPr>
              <w:t>61.711</w:t>
            </w:r>
          </w:p>
        </w:tc>
        <w:tc>
          <w:tcPr>
            <w:tcW w:w="1619" w:type="dxa"/>
          </w:tcPr>
          <w:p w14:paraId="193F7986" w14:textId="1585AF23" w:rsidR="007748E0" w:rsidRPr="00205C60" w:rsidRDefault="007748E0" w:rsidP="007748E0">
            <w:pPr>
              <w:jc w:val="center"/>
              <w:rPr>
                <w:rFonts w:ascii="Verdana" w:hAnsi="Verdana" w:cs="Arial"/>
                <w:sz w:val="22"/>
                <w:szCs w:val="22"/>
              </w:rPr>
            </w:pPr>
            <w:r w:rsidRPr="00205C60">
              <w:rPr>
                <w:rFonts w:ascii="Verdana" w:hAnsi="Verdana" w:cs="Arial"/>
                <w:sz w:val="22"/>
                <w:szCs w:val="22"/>
              </w:rPr>
              <w:t>67.900</w:t>
            </w:r>
          </w:p>
        </w:tc>
        <w:tc>
          <w:tcPr>
            <w:tcW w:w="1619" w:type="dxa"/>
          </w:tcPr>
          <w:p w14:paraId="7701DC69" w14:textId="25F92803" w:rsidR="007748E0" w:rsidRPr="00205C60" w:rsidRDefault="00FD28D2" w:rsidP="007748E0">
            <w:pPr>
              <w:jc w:val="center"/>
              <w:rPr>
                <w:rFonts w:ascii="Verdana" w:hAnsi="Verdana" w:cs="Arial"/>
                <w:sz w:val="22"/>
                <w:szCs w:val="22"/>
              </w:rPr>
            </w:pPr>
            <w:r w:rsidRPr="00205C60">
              <w:rPr>
                <w:rFonts w:ascii="Verdana" w:hAnsi="Verdana" w:cs="Arial"/>
                <w:sz w:val="22"/>
                <w:szCs w:val="22"/>
              </w:rPr>
              <w:t>55.387</w:t>
            </w:r>
          </w:p>
        </w:tc>
      </w:tr>
      <w:tr w:rsidR="007748E0" w:rsidRPr="00205C60" w14:paraId="3CA7EE99" w14:textId="0814346B" w:rsidTr="007748E0">
        <w:trPr>
          <w:jc w:val="center"/>
        </w:trPr>
        <w:tc>
          <w:tcPr>
            <w:tcW w:w="2378" w:type="dxa"/>
          </w:tcPr>
          <w:p w14:paraId="3CA7EE95" w14:textId="77777777" w:rsidR="007748E0" w:rsidRPr="00205C60" w:rsidRDefault="007748E0" w:rsidP="007748E0">
            <w:pPr>
              <w:jc w:val="center"/>
              <w:rPr>
                <w:rFonts w:ascii="Verdana" w:hAnsi="Verdana" w:cs="Arial"/>
                <w:sz w:val="22"/>
                <w:szCs w:val="22"/>
              </w:rPr>
            </w:pPr>
            <w:r w:rsidRPr="00205C60">
              <w:rPr>
                <w:rFonts w:ascii="Verdana" w:hAnsi="Verdana" w:cs="Arial"/>
                <w:sz w:val="22"/>
                <w:szCs w:val="22"/>
              </w:rPr>
              <w:t>Brasil</w:t>
            </w:r>
          </w:p>
        </w:tc>
        <w:tc>
          <w:tcPr>
            <w:tcW w:w="1619" w:type="dxa"/>
          </w:tcPr>
          <w:p w14:paraId="62DB3E67" w14:textId="2B865133" w:rsidR="007748E0" w:rsidRPr="00205C60" w:rsidRDefault="007748E0" w:rsidP="007748E0">
            <w:pPr>
              <w:jc w:val="center"/>
              <w:rPr>
                <w:rFonts w:ascii="Verdana" w:hAnsi="Verdana" w:cs="Arial"/>
                <w:sz w:val="22"/>
                <w:szCs w:val="22"/>
              </w:rPr>
            </w:pPr>
            <w:r w:rsidRPr="00205C60">
              <w:rPr>
                <w:rFonts w:ascii="Verdana" w:hAnsi="Verdana" w:cs="Arial"/>
                <w:sz w:val="22"/>
                <w:szCs w:val="22"/>
              </w:rPr>
              <w:t>109.035</w:t>
            </w:r>
          </w:p>
        </w:tc>
        <w:tc>
          <w:tcPr>
            <w:tcW w:w="1619" w:type="dxa"/>
          </w:tcPr>
          <w:p w14:paraId="6E72A96B" w14:textId="449C90CE" w:rsidR="007748E0" w:rsidRPr="00205C60" w:rsidRDefault="007748E0" w:rsidP="007748E0">
            <w:pPr>
              <w:jc w:val="center"/>
              <w:rPr>
                <w:rFonts w:ascii="Verdana" w:hAnsi="Verdana" w:cs="Arial"/>
                <w:sz w:val="22"/>
                <w:szCs w:val="22"/>
              </w:rPr>
            </w:pPr>
            <w:r w:rsidRPr="00205C60">
              <w:rPr>
                <w:rFonts w:ascii="Verdana" w:hAnsi="Verdana" w:cs="Arial"/>
                <w:sz w:val="22"/>
                <w:szCs w:val="22"/>
              </w:rPr>
              <w:t>110.692</w:t>
            </w:r>
          </w:p>
        </w:tc>
        <w:tc>
          <w:tcPr>
            <w:tcW w:w="1619" w:type="dxa"/>
          </w:tcPr>
          <w:p w14:paraId="0A2BAA9E" w14:textId="38E26B32" w:rsidR="007748E0" w:rsidRPr="00205C60" w:rsidRDefault="00FD28D2" w:rsidP="007748E0">
            <w:pPr>
              <w:jc w:val="center"/>
              <w:rPr>
                <w:rFonts w:ascii="Verdana" w:hAnsi="Verdana" w:cs="Arial"/>
                <w:sz w:val="22"/>
                <w:szCs w:val="22"/>
              </w:rPr>
            </w:pPr>
            <w:r w:rsidRPr="00205C60">
              <w:rPr>
                <w:rFonts w:ascii="Verdana" w:hAnsi="Verdana" w:cs="Arial"/>
                <w:sz w:val="22"/>
                <w:szCs w:val="22"/>
              </w:rPr>
              <w:t>124.076</w:t>
            </w:r>
          </w:p>
        </w:tc>
      </w:tr>
      <w:tr w:rsidR="007748E0" w:rsidRPr="00205C60" w14:paraId="3CA7EE9E" w14:textId="377ED11E" w:rsidTr="007748E0">
        <w:trPr>
          <w:jc w:val="center"/>
        </w:trPr>
        <w:tc>
          <w:tcPr>
            <w:tcW w:w="2378" w:type="dxa"/>
          </w:tcPr>
          <w:p w14:paraId="3CA7EE9A" w14:textId="77777777" w:rsidR="007748E0" w:rsidRPr="00205C60" w:rsidRDefault="007748E0" w:rsidP="007748E0">
            <w:pPr>
              <w:jc w:val="center"/>
              <w:rPr>
                <w:rFonts w:ascii="Verdana" w:hAnsi="Verdana" w:cs="Arial"/>
                <w:sz w:val="22"/>
                <w:szCs w:val="22"/>
              </w:rPr>
            </w:pPr>
            <w:r w:rsidRPr="00205C60">
              <w:rPr>
                <w:rFonts w:ascii="Verdana" w:hAnsi="Verdana" w:cs="Arial"/>
                <w:sz w:val="22"/>
                <w:szCs w:val="22"/>
              </w:rPr>
              <w:t>Cote</w:t>
            </w:r>
          </w:p>
        </w:tc>
        <w:tc>
          <w:tcPr>
            <w:tcW w:w="1619" w:type="dxa"/>
          </w:tcPr>
          <w:p w14:paraId="068B4D71" w14:textId="5AE5E479" w:rsidR="007748E0" w:rsidRPr="00205C60" w:rsidRDefault="007748E0" w:rsidP="007748E0">
            <w:pPr>
              <w:jc w:val="center"/>
              <w:rPr>
                <w:rFonts w:ascii="Verdana" w:hAnsi="Verdana" w:cs="Arial"/>
                <w:sz w:val="22"/>
                <w:szCs w:val="22"/>
              </w:rPr>
            </w:pPr>
            <w:r w:rsidRPr="00205C60">
              <w:rPr>
                <w:rFonts w:ascii="Verdana" w:hAnsi="Verdana" w:cs="Arial"/>
                <w:sz w:val="22"/>
                <w:szCs w:val="22"/>
              </w:rPr>
              <w:t>10.714</w:t>
            </w:r>
          </w:p>
        </w:tc>
        <w:tc>
          <w:tcPr>
            <w:tcW w:w="1619" w:type="dxa"/>
          </w:tcPr>
          <w:p w14:paraId="7DEB2BA1" w14:textId="456C066D" w:rsidR="007748E0" w:rsidRPr="00205C60" w:rsidRDefault="007748E0" w:rsidP="007748E0">
            <w:pPr>
              <w:jc w:val="center"/>
              <w:rPr>
                <w:rFonts w:ascii="Verdana" w:hAnsi="Verdana" w:cs="Arial"/>
                <w:sz w:val="22"/>
                <w:szCs w:val="22"/>
              </w:rPr>
            </w:pPr>
            <w:r w:rsidRPr="00205C60">
              <w:rPr>
                <w:rFonts w:ascii="Verdana" w:hAnsi="Verdana" w:cs="Arial"/>
                <w:sz w:val="22"/>
                <w:szCs w:val="22"/>
              </w:rPr>
              <w:t>12.846</w:t>
            </w:r>
          </w:p>
        </w:tc>
        <w:tc>
          <w:tcPr>
            <w:tcW w:w="1619" w:type="dxa"/>
          </w:tcPr>
          <w:p w14:paraId="172947EA" w14:textId="4BFEA8CA" w:rsidR="007748E0" w:rsidRPr="00205C60" w:rsidRDefault="007748E0" w:rsidP="007748E0">
            <w:pPr>
              <w:jc w:val="center"/>
              <w:rPr>
                <w:rFonts w:ascii="Verdana" w:hAnsi="Verdana" w:cs="Arial"/>
                <w:sz w:val="22"/>
                <w:szCs w:val="22"/>
              </w:rPr>
            </w:pPr>
            <w:r w:rsidRPr="00205C60">
              <w:rPr>
                <w:rFonts w:ascii="Verdana" w:hAnsi="Verdana" w:cs="Arial"/>
                <w:sz w:val="22"/>
                <w:szCs w:val="22"/>
              </w:rPr>
              <w:t>12.</w:t>
            </w:r>
            <w:r w:rsidR="00FD28D2" w:rsidRPr="00205C60">
              <w:rPr>
                <w:rFonts w:ascii="Verdana" w:hAnsi="Verdana" w:cs="Arial"/>
                <w:sz w:val="22"/>
                <w:szCs w:val="22"/>
              </w:rPr>
              <w:t>501</w:t>
            </w:r>
          </w:p>
        </w:tc>
      </w:tr>
      <w:tr w:rsidR="007748E0" w:rsidRPr="00205C60" w14:paraId="3CA7EEA3" w14:textId="3EE3562C" w:rsidTr="007748E0">
        <w:trPr>
          <w:jc w:val="center"/>
        </w:trPr>
        <w:tc>
          <w:tcPr>
            <w:tcW w:w="2378" w:type="dxa"/>
          </w:tcPr>
          <w:p w14:paraId="3CA7EE9F" w14:textId="77777777" w:rsidR="007748E0" w:rsidRPr="00205C60" w:rsidRDefault="007748E0" w:rsidP="007748E0">
            <w:pPr>
              <w:jc w:val="center"/>
              <w:rPr>
                <w:rFonts w:ascii="Verdana" w:hAnsi="Verdana" w:cs="Arial"/>
                <w:sz w:val="22"/>
                <w:szCs w:val="22"/>
              </w:rPr>
            </w:pPr>
            <w:r w:rsidRPr="00205C60">
              <w:rPr>
                <w:rFonts w:ascii="Verdana" w:hAnsi="Verdana" w:cs="Arial"/>
                <w:sz w:val="22"/>
                <w:szCs w:val="22"/>
              </w:rPr>
              <w:t>Daniel Gutiérrez</w:t>
            </w:r>
          </w:p>
        </w:tc>
        <w:tc>
          <w:tcPr>
            <w:tcW w:w="1619" w:type="dxa"/>
          </w:tcPr>
          <w:p w14:paraId="49103C72" w14:textId="407AD2B8" w:rsidR="007748E0" w:rsidRPr="00205C60" w:rsidRDefault="007748E0" w:rsidP="007748E0">
            <w:pPr>
              <w:jc w:val="center"/>
              <w:rPr>
                <w:rFonts w:ascii="Verdana" w:hAnsi="Verdana" w:cs="Arial"/>
                <w:sz w:val="22"/>
                <w:szCs w:val="22"/>
              </w:rPr>
            </w:pPr>
            <w:r w:rsidRPr="00205C60">
              <w:rPr>
                <w:rFonts w:ascii="Verdana" w:hAnsi="Verdana" w:cs="Arial"/>
                <w:sz w:val="22"/>
                <w:szCs w:val="22"/>
              </w:rPr>
              <w:t>82.359</w:t>
            </w:r>
          </w:p>
        </w:tc>
        <w:tc>
          <w:tcPr>
            <w:tcW w:w="1619" w:type="dxa"/>
          </w:tcPr>
          <w:p w14:paraId="49B0006B" w14:textId="5C3F6A66" w:rsidR="007748E0" w:rsidRPr="00205C60" w:rsidRDefault="007748E0" w:rsidP="007748E0">
            <w:pPr>
              <w:jc w:val="center"/>
              <w:rPr>
                <w:rFonts w:ascii="Verdana" w:hAnsi="Verdana" w:cs="Arial"/>
                <w:sz w:val="22"/>
                <w:szCs w:val="22"/>
              </w:rPr>
            </w:pPr>
            <w:r w:rsidRPr="00205C60">
              <w:rPr>
                <w:rFonts w:ascii="Verdana" w:hAnsi="Verdana" w:cs="Arial"/>
                <w:sz w:val="22"/>
                <w:szCs w:val="22"/>
              </w:rPr>
              <w:t>75.384</w:t>
            </w:r>
          </w:p>
        </w:tc>
        <w:tc>
          <w:tcPr>
            <w:tcW w:w="1619" w:type="dxa"/>
          </w:tcPr>
          <w:p w14:paraId="326DAEB3" w14:textId="057832DC" w:rsidR="007748E0" w:rsidRPr="00205C60" w:rsidRDefault="00FD28D2" w:rsidP="007748E0">
            <w:pPr>
              <w:jc w:val="center"/>
              <w:rPr>
                <w:rFonts w:ascii="Verdana" w:hAnsi="Verdana" w:cs="Arial"/>
                <w:sz w:val="22"/>
                <w:szCs w:val="22"/>
              </w:rPr>
            </w:pPr>
            <w:r w:rsidRPr="00205C60">
              <w:rPr>
                <w:rFonts w:ascii="Verdana" w:hAnsi="Verdana" w:cs="Arial"/>
                <w:sz w:val="22"/>
                <w:szCs w:val="22"/>
              </w:rPr>
              <w:t>88.439</w:t>
            </w:r>
          </w:p>
        </w:tc>
      </w:tr>
      <w:tr w:rsidR="007748E0" w:rsidRPr="00205C60" w14:paraId="3CA7EEA8" w14:textId="211ECFAF" w:rsidTr="007748E0">
        <w:trPr>
          <w:jc w:val="center"/>
        </w:trPr>
        <w:tc>
          <w:tcPr>
            <w:tcW w:w="2378" w:type="dxa"/>
          </w:tcPr>
          <w:p w14:paraId="3CA7EEA4" w14:textId="77777777" w:rsidR="007748E0" w:rsidRPr="00205C60" w:rsidRDefault="007748E0" w:rsidP="007748E0">
            <w:pPr>
              <w:jc w:val="center"/>
              <w:rPr>
                <w:rFonts w:ascii="Verdana" w:hAnsi="Verdana" w:cs="Arial"/>
                <w:sz w:val="22"/>
                <w:szCs w:val="22"/>
              </w:rPr>
            </w:pPr>
            <w:r w:rsidRPr="00205C60">
              <w:rPr>
                <w:rFonts w:ascii="Verdana" w:hAnsi="Verdana" w:cs="Arial"/>
                <w:sz w:val="22"/>
                <w:szCs w:val="22"/>
              </w:rPr>
              <w:t>El Encanto</w:t>
            </w:r>
          </w:p>
        </w:tc>
        <w:tc>
          <w:tcPr>
            <w:tcW w:w="1619" w:type="dxa"/>
          </w:tcPr>
          <w:p w14:paraId="043141B8" w14:textId="42F2B1BD" w:rsidR="007748E0" w:rsidRPr="00205C60" w:rsidRDefault="007748E0" w:rsidP="007748E0">
            <w:pPr>
              <w:jc w:val="center"/>
              <w:rPr>
                <w:rFonts w:ascii="Verdana" w:hAnsi="Verdana" w:cs="Arial"/>
                <w:sz w:val="22"/>
                <w:szCs w:val="22"/>
              </w:rPr>
            </w:pPr>
            <w:r w:rsidRPr="00205C60">
              <w:rPr>
                <w:rFonts w:ascii="Verdana" w:hAnsi="Verdana" w:cs="Arial"/>
                <w:sz w:val="22"/>
                <w:szCs w:val="22"/>
              </w:rPr>
              <w:t>47.744</w:t>
            </w:r>
          </w:p>
        </w:tc>
        <w:tc>
          <w:tcPr>
            <w:tcW w:w="1619" w:type="dxa"/>
          </w:tcPr>
          <w:p w14:paraId="486CCF45" w14:textId="07E1ACFD" w:rsidR="007748E0" w:rsidRPr="00205C60" w:rsidRDefault="007748E0" w:rsidP="007748E0">
            <w:pPr>
              <w:jc w:val="center"/>
              <w:rPr>
                <w:rFonts w:ascii="Verdana" w:hAnsi="Verdana" w:cs="Arial"/>
                <w:sz w:val="22"/>
                <w:szCs w:val="22"/>
              </w:rPr>
            </w:pPr>
            <w:r w:rsidRPr="00205C60">
              <w:rPr>
                <w:rFonts w:ascii="Verdana" w:hAnsi="Verdana" w:cs="Arial"/>
                <w:sz w:val="22"/>
                <w:szCs w:val="22"/>
              </w:rPr>
              <w:t>49.629</w:t>
            </w:r>
          </w:p>
        </w:tc>
        <w:tc>
          <w:tcPr>
            <w:tcW w:w="1619" w:type="dxa"/>
          </w:tcPr>
          <w:p w14:paraId="3612206D" w14:textId="2A9C28D2" w:rsidR="007748E0" w:rsidRPr="00205C60" w:rsidRDefault="007748E0" w:rsidP="007748E0">
            <w:pPr>
              <w:jc w:val="center"/>
              <w:rPr>
                <w:rFonts w:ascii="Verdana" w:hAnsi="Verdana" w:cs="Arial"/>
                <w:sz w:val="22"/>
                <w:szCs w:val="22"/>
              </w:rPr>
            </w:pPr>
            <w:r w:rsidRPr="00205C60">
              <w:rPr>
                <w:rFonts w:ascii="Verdana" w:hAnsi="Verdana" w:cs="Arial"/>
                <w:sz w:val="22"/>
                <w:szCs w:val="22"/>
              </w:rPr>
              <w:t>49.</w:t>
            </w:r>
            <w:r w:rsidR="00FD28D2" w:rsidRPr="00205C60">
              <w:rPr>
                <w:rFonts w:ascii="Verdana" w:hAnsi="Verdana" w:cs="Arial"/>
                <w:sz w:val="22"/>
                <w:szCs w:val="22"/>
              </w:rPr>
              <w:t>423</w:t>
            </w:r>
          </w:p>
        </w:tc>
      </w:tr>
      <w:tr w:rsidR="007748E0" w:rsidRPr="00205C60" w14:paraId="3CA7EEAD" w14:textId="24C69505" w:rsidTr="007748E0">
        <w:trPr>
          <w:jc w:val="center"/>
        </w:trPr>
        <w:tc>
          <w:tcPr>
            <w:tcW w:w="2378" w:type="dxa"/>
          </w:tcPr>
          <w:p w14:paraId="3CA7EEA9" w14:textId="77777777" w:rsidR="007748E0" w:rsidRPr="00205C60" w:rsidRDefault="007748E0" w:rsidP="007748E0">
            <w:pPr>
              <w:jc w:val="center"/>
              <w:rPr>
                <w:rFonts w:ascii="Verdana" w:hAnsi="Verdana" w:cs="Arial"/>
                <w:sz w:val="22"/>
                <w:szCs w:val="22"/>
              </w:rPr>
            </w:pPr>
            <w:r w:rsidRPr="00205C60">
              <w:rPr>
                <w:rFonts w:ascii="Verdana" w:hAnsi="Verdana" w:cs="Arial"/>
                <w:sz w:val="22"/>
                <w:szCs w:val="22"/>
              </w:rPr>
              <w:t>Electriona</w:t>
            </w:r>
          </w:p>
        </w:tc>
        <w:tc>
          <w:tcPr>
            <w:tcW w:w="1619" w:type="dxa"/>
          </w:tcPr>
          <w:p w14:paraId="7D2DA3E7" w14:textId="739971C7" w:rsidR="007748E0" w:rsidRPr="00205C60" w:rsidRDefault="007748E0" w:rsidP="007748E0">
            <w:pPr>
              <w:jc w:val="center"/>
              <w:rPr>
                <w:rFonts w:ascii="Verdana" w:hAnsi="Verdana" w:cs="Arial"/>
                <w:sz w:val="22"/>
                <w:szCs w:val="22"/>
              </w:rPr>
            </w:pPr>
            <w:r w:rsidRPr="00205C60">
              <w:rPr>
                <w:rFonts w:ascii="Verdana" w:hAnsi="Verdana" w:cs="Arial"/>
                <w:sz w:val="22"/>
                <w:szCs w:val="22"/>
              </w:rPr>
              <w:t>23.762</w:t>
            </w:r>
          </w:p>
        </w:tc>
        <w:tc>
          <w:tcPr>
            <w:tcW w:w="1619" w:type="dxa"/>
          </w:tcPr>
          <w:p w14:paraId="0573F0DC" w14:textId="77B628E5" w:rsidR="007748E0" w:rsidRPr="00205C60" w:rsidRDefault="007748E0" w:rsidP="007748E0">
            <w:pPr>
              <w:jc w:val="center"/>
              <w:rPr>
                <w:rFonts w:ascii="Verdana" w:hAnsi="Verdana" w:cs="Arial"/>
                <w:sz w:val="22"/>
                <w:szCs w:val="22"/>
              </w:rPr>
            </w:pPr>
            <w:r w:rsidRPr="00205C60">
              <w:rPr>
                <w:rFonts w:ascii="Verdana" w:hAnsi="Verdana" w:cs="Arial"/>
                <w:sz w:val="22"/>
                <w:szCs w:val="22"/>
              </w:rPr>
              <w:t>25.955</w:t>
            </w:r>
          </w:p>
        </w:tc>
        <w:tc>
          <w:tcPr>
            <w:tcW w:w="1619" w:type="dxa"/>
          </w:tcPr>
          <w:p w14:paraId="714FA8F8" w14:textId="7A633715" w:rsidR="007748E0" w:rsidRPr="00205C60" w:rsidRDefault="007748E0" w:rsidP="007748E0">
            <w:pPr>
              <w:jc w:val="center"/>
              <w:rPr>
                <w:rFonts w:ascii="Verdana" w:hAnsi="Verdana" w:cs="Arial"/>
                <w:sz w:val="22"/>
                <w:szCs w:val="22"/>
              </w:rPr>
            </w:pPr>
            <w:r w:rsidRPr="00205C60">
              <w:rPr>
                <w:rFonts w:ascii="Verdana" w:hAnsi="Verdana" w:cs="Arial"/>
                <w:sz w:val="22"/>
                <w:szCs w:val="22"/>
              </w:rPr>
              <w:t>2</w:t>
            </w:r>
            <w:r w:rsidR="00143F41" w:rsidRPr="00205C60">
              <w:rPr>
                <w:rFonts w:ascii="Verdana" w:hAnsi="Verdana" w:cs="Arial"/>
                <w:sz w:val="22"/>
                <w:szCs w:val="22"/>
              </w:rPr>
              <w:t>9.015</w:t>
            </w:r>
          </w:p>
        </w:tc>
      </w:tr>
      <w:tr w:rsidR="007748E0" w:rsidRPr="00205C60" w14:paraId="3CA7EEB2" w14:textId="04B2F0C6" w:rsidTr="007748E0">
        <w:trPr>
          <w:jc w:val="center"/>
        </w:trPr>
        <w:tc>
          <w:tcPr>
            <w:tcW w:w="2378" w:type="dxa"/>
          </w:tcPr>
          <w:p w14:paraId="3CA7EEAE" w14:textId="77777777" w:rsidR="007748E0" w:rsidRPr="00205C60" w:rsidRDefault="007748E0" w:rsidP="007748E0">
            <w:pPr>
              <w:jc w:val="center"/>
              <w:rPr>
                <w:rFonts w:ascii="Verdana" w:hAnsi="Verdana" w:cs="Arial"/>
                <w:sz w:val="22"/>
                <w:szCs w:val="22"/>
              </w:rPr>
            </w:pPr>
            <w:r w:rsidRPr="00205C60">
              <w:rPr>
                <w:rFonts w:ascii="Verdana" w:hAnsi="Verdana" w:cs="Arial"/>
                <w:sz w:val="22"/>
                <w:szCs w:val="22"/>
              </w:rPr>
              <w:t>Río Segundo</w:t>
            </w:r>
          </w:p>
        </w:tc>
        <w:tc>
          <w:tcPr>
            <w:tcW w:w="1619" w:type="dxa"/>
          </w:tcPr>
          <w:p w14:paraId="30F5D682" w14:textId="60AEE27E" w:rsidR="007748E0" w:rsidRPr="00205C60" w:rsidRDefault="007748E0" w:rsidP="007748E0">
            <w:pPr>
              <w:jc w:val="center"/>
              <w:rPr>
                <w:rFonts w:ascii="Verdana" w:hAnsi="Verdana" w:cs="Arial"/>
                <w:sz w:val="22"/>
                <w:szCs w:val="22"/>
              </w:rPr>
            </w:pPr>
            <w:r w:rsidRPr="00205C60">
              <w:rPr>
                <w:rFonts w:ascii="Verdana" w:hAnsi="Verdana" w:cs="Arial"/>
                <w:sz w:val="22"/>
                <w:szCs w:val="22"/>
              </w:rPr>
              <w:t>3.937</w:t>
            </w:r>
          </w:p>
        </w:tc>
        <w:tc>
          <w:tcPr>
            <w:tcW w:w="1619" w:type="dxa"/>
          </w:tcPr>
          <w:p w14:paraId="0B237168" w14:textId="224BC1DE" w:rsidR="007748E0" w:rsidRPr="00205C60" w:rsidRDefault="007748E0" w:rsidP="007748E0">
            <w:pPr>
              <w:jc w:val="center"/>
              <w:rPr>
                <w:rFonts w:ascii="Verdana" w:hAnsi="Verdana" w:cs="Arial"/>
                <w:sz w:val="22"/>
                <w:szCs w:val="22"/>
              </w:rPr>
            </w:pPr>
            <w:r w:rsidRPr="00205C60">
              <w:rPr>
                <w:rFonts w:ascii="Verdana" w:hAnsi="Verdana" w:cs="Arial"/>
                <w:sz w:val="22"/>
                <w:szCs w:val="22"/>
              </w:rPr>
              <w:t>4.747</w:t>
            </w:r>
          </w:p>
        </w:tc>
        <w:tc>
          <w:tcPr>
            <w:tcW w:w="1619" w:type="dxa"/>
          </w:tcPr>
          <w:p w14:paraId="5FCB928D" w14:textId="6200CF7D" w:rsidR="007748E0" w:rsidRPr="00205C60" w:rsidRDefault="00143F41" w:rsidP="007748E0">
            <w:pPr>
              <w:jc w:val="center"/>
              <w:rPr>
                <w:rFonts w:ascii="Verdana" w:hAnsi="Verdana" w:cs="Arial"/>
                <w:sz w:val="22"/>
                <w:szCs w:val="22"/>
              </w:rPr>
            </w:pPr>
            <w:r w:rsidRPr="00205C60">
              <w:rPr>
                <w:rFonts w:ascii="Verdana" w:hAnsi="Verdana" w:cs="Arial"/>
                <w:sz w:val="22"/>
                <w:szCs w:val="22"/>
              </w:rPr>
              <w:t>5.395</w:t>
            </w:r>
          </w:p>
        </w:tc>
      </w:tr>
      <w:tr w:rsidR="007748E0" w:rsidRPr="00205C60" w14:paraId="3CA7EEB7" w14:textId="5A6D7125" w:rsidTr="007748E0">
        <w:trPr>
          <w:jc w:val="center"/>
        </w:trPr>
        <w:tc>
          <w:tcPr>
            <w:tcW w:w="2378" w:type="dxa"/>
          </w:tcPr>
          <w:p w14:paraId="3CA7EEB3" w14:textId="77777777" w:rsidR="007748E0" w:rsidRPr="00205C60" w:rsidRDefault="007748E0" w:rsidP="007748E0">
            <w:pPr>
              <w:jc w:val="center"/>
              <w:rPr>
                <w:rFonts w:ascii="Verdana" w:hAnsi="Verdana" w:cs="Arial"/>
                <w:sz w:val="22"/>
                <w:szCs w:val="22"/>
              </w:rPr>
            </w:pPr>
            <w:r w:rsidRPr="00205C60">
              <w:rPr>
                <w:rFonts w:ascii="Verdana" w:hAnsi="Verdana" w:cs="Arial"/>
                <w:sz w:val="22"/>
                <w:szCs w:val="22"/>
              </w:rPr>
              <w:t>Eólico Valle Central</w:t>
            </w:r>
          </w:p>
        </w:tc>
        <w:tc>
          <w:tcPr>
            <w:tcW w:w="1619" w:type="dxa"/>
          </w:tcPr>
          <w:p w14:paraId="771B5042" w14:textId="3033D7B6" w:rsidR="007748E0" w:rsidRPr="00205C60" w:rsidRDefault="007748E0" w:rsidP="007748E0">
            <w:pPr>
              <w:jc w:val="center"/>
              <w:rPr>
                <w:rFonts w:ascii="Verdana" w:hAnsi="Verdana" w:cs="Arial"/>
                <w:sz w:val="22"/>
                <w:szCs w:val="22"/>
              </w:rPr>
            </w:pPr>
            <w:r w:rsidRPr="00205C60">
              <w:rPr>
                <w:rFonts w:ascii="Verdana" w:hAnsi="Verdana" w:cs="Arial"/>
                <w:sz w:val="22"/>
                <w:szCs w:val="22"/>
              </w:rPr>
              <w:t>28.716</w:t>
            </w:r>
          </w:p>
        </w:tc>
        <w:tc>
          <w:tcPr>
            <w:tcW w:w="1619" w:type="dxa"/>
          </w:tcPr>
          <w:p w14:paraId="35D23EFC" w14:textId="4F59320C" w:rsidR="007748E0" w:rsidRPr="00205C60" w:rsidRDefault="007748E0" w:rsidP="007748E0">
            <w:pPr>
              <w:jc w:val="center"/>
              <w:rPr>
                <w:rFonts w:ascii="Verdana" w:hAnsi="Verdana" w:cs="Arial"/>
                <w:sz w:val="22"/>
                <w:szCs w:val="22"/>
              </w:rPr>
            </w:pPr>
            <w:r w:rsidRPr="00205C60">
              <w:rPr>
                <w:rFonts w:ascii="Verdana" w:hAnsi="Verdana" w:cs="Arial"/>
                <w:sz w:val="22"/>
                <w:szCs w:val="22"/>
              </w:rPr>
              <w:t>28.484</w:t>
            </w:r>
          </w:p>
        </w:tc>
        <w:tc>
          <w:tcPr>
            <w:tcW w:w="1619" w:type="dxa"/>
          </w:tcPr>
          <w:p w14:paraId="339A9041" w14:textId="65D22E2D" w:rsidR="007748E0" w:rsidRPr="00205C60" w:rsidRDefault="007748E0" w:rsidP="007748E0">
            <w:pPr>
              <w:jc w:val="center"/>
              <w:rPr>
                <w:rFonts w:ascii="Verdana" w:hAnsi="Verdana" w:cs="Arial"/>
                <w:sz w:val="22"/>
                <w:szCs w:val="22"/>
              </w:rPr>
            </w:pPr>
            <w:r w:rsidRPr="00205C60">
              <w:rPr>
                <w:rFonts w:ascii="Verdana" w:hAnsi="Verdana" w:cs="Arial"/>
                <w:sz w:val="22"/>
                <w:szCs w:val="22"/>
              </w:rPr>
              <w:t>2</w:t>
            </w:r>
            <w:r w:rsidR="00143F41" w:rsidRPr="00205C60">
              <w:rPr>
                <w:rFonts w:ascii="Verdana" w:hAnsi="Verdana" w:cs="Arial"/>
                <w:sz w:val="22"/>
                <w:szCs w:val="22"/>
              </w:rPr>
              <w:t>3.891</w:t>
            </w:r>
          </w:p>
        </w:tc>
      </w:tr>
      <w:tr w:rsidR="007748E0" w:rsidRPr="00205C60" w14:paraId="3CA7EEBC" w14:textId="3A0F081D" w:rsidTr="007748E0">
        <w:trPr>
          <w:jc w:val="center"/>
        </w:trPr>
        <w:tc>
          <w:tcPr>
            <w:tcW w:w="2378" w:type="dxa"/>
          </w:tcPr>
          <w:p w14:paraId="3CA7EEB8" w14:textId="77777777" w:rsidR="007748E0" w:rsidRPr="00205C60" w:rsidRDefault="007748E0" w:rsidP="007748E0">
            <w:pPr>
              <w:jc w:val="center"/>
              <w:rPr>
                <w:rFonts w:ascii="Verdana" w:hAnsi="Verdana" w:cs="Arial"/>
                <w:sz w:val="22"/>
                <w:szCs w:val="22"/>
              </w:rPr>
            </w:pPr>
            <w:r w:rsidRPr="00205C60">
              <w:rPr>
                <w:rFonts w:ascii="Verdana" w:hAnsi="Verdana" w:cs="Arial"/>
                <w:sz w:val="22"/>
                <w:szCs w:val="22"/>
              </w:rPr>
              <w:t>Ventanas</w:t>
            </w:r>
          </w:p>
        </w:tc>
        <w:tc>
          <w:tcPr>
            <w:tcW w:w="1619" w:type="dxa"/>
          </w:tcPr>
          <w:p w14:paraId="490D5AD2" w14:textId="4FE73616" w:rsidR="007748E0" w:rsidRPr="00205C60" w:rsidRDefault="007748E0" w:rsidP="007748E0">
            <w:pPr>
              <w:jc w:val="center"/>
              <w:rPr>
                <w:rFonts w:ascii="Verdana" w:hAnsi="Verdana" w:cs="Arial"/>
                <w:sz w:val="22"/>
                <w:szCs w:val="22"/>
              </w:rPr>
            </w:pPr>
            <w:r w:rsidRPr="00205C60">
              <w:rPr>
                <w:rFonts w:ascii="Verdana" w:hAnsi="Verdana" w:cs="Arial"/>
                <w:sz w:val="22"/>
                <w:szCs w:val="22"/>
              </w:rPr>
              <w:t>21.637</w:t>
            </w:r>
          </w:p>
        </w:tc>
        <w:tc>
          <w:tcPr>
            <w:tcW w:w="1619" w:type="dxa"/>
          </w:tcPr>
          <w:p w14:paraId="6365DB21" w14:textId="2BE1CC61" w:rsidR="007748E0" w:rsidRPr="00205C60" w:rsidRDefault="007748E0" w:rsidP="007748E0">
            <w:pPr>
              <w:jc w:val="center"/>
              <w:rPr>
                <w:rFonts w:ascii="Verdana" w:hAnsi="Verdana" w:cs="Arial"/>
                <w:sz w:val="22"/>
                <w:szCs w:val="22"/>
              </w:rPr>
            </w:pPr>
            <w:r w:rsidRPr="00205C60">
              <w:rPr>
                <w:rFonts w:ascii="Verdana" w:hAnsi="Verdana" w:cs="Arial"/>
                <w:sz w:val="22"/>
                <w:szCs w:val="22"/>
              </w:rPr>
              <w:t>23.327</w:t>
            </w:r>
          </w:p>
        </w:tc>
        <w:tc>
          <w:tcPr>
            <w:tcW w:w="1619" w:type="dxa"/>
          </w:tcPr>
          <w:p w14:paraId="6DB71713" w14:textId="0DD86EF5" w:rsidR="007748E0" w:rsidRPr="00205C60" w:rsidRDefault="00143F41" w:rsidP="007748E0">
            <w:pPr>
              <w:jc w:val="center"/>
              <w:rPr>
                <w:rFonts w:ascii="Verdana" w:hAnsi="Verdana" w:cs="Arial"/>
                <w:sz w:val="22"/>
                <w:szCs w:val="22"/>
              </w:rPr>
            </w:pPr>
            <w:r w:rsidRPr="00205C60">
              <w:rPr>
                <w:rFonts w:ascii="Verdana" w:hAnsi="Verdana" w:cs="Arial"/>
                <w:sz w:val="22"/>
                <w:szCs w:val="22"/>
              </w:rPr>
              <w:t>31.458</w:t>
            </w:r>
          </w:p>
        </w:tc>
      </w:tr>
      <w:tr w:rsidR="007748E0" w:rsidRPr="00205C60" w14:paraId="3CA7EEC1" w14:textId="3363B64C" w:rsidTr="007748E0">
        <w:trPr>
          <w:jc w:val="center"/>
        </w:trPr>
        <w:tc>
          <w:tcPr>
            <w:tcW w:w="2378" w:type="dxa"/>
          </w:tcPr>
          <w:p w14:paraId="3CA7EEBD" w14:textId="77777777" w:rsidR="007748E0" w:rsidRPr="00205C60" w:rsidRDefault="007748E0" w:rsidP="007748E0">
            <w:pPr>
              <w:jc w:val="center"/>
              <w:rPr>
                <w:rFonts w:ascii="Verdana" w:hAnsi="Verdana" w:cs="Arial"/>
                <w:b/>
                <w:sz w:val="22"/>
                <w:szCs w:val="22"/>
              </w:rPr>
            </w:pPr>
            <w:r w:rsidRPr="00205C60">
              <w:rPr>
                <w:rFonts w:ascii="Verdana" w:hAnsi="Verdana" w:cs="Arial"/>
                <w:b/>
                <w:sz w:val="22"/>
                <w:szCs w:val="22"/>
              </w:rPr>
              <w:t>Total</w:t>
            </w:r>
          </w:p>
        </w:tc>
        <w:tc>
          <w:tcPr>
            <w:tcW w:w="1619" w:type="dxa"/>
          </w:tcPr>
          <w:p w14:paraId="18E699F2" w14:textId="7412C314" w:rsidR="007748E0" w:rsidRPr="00205C60" w:rsidRDefault="007748E0" w:rsidP="007748E0">
            <w:pPr>
              <w:jc w:val="center"/>
              <w:rPr>
                <w:rFonts w:ascii="Verdana" w:hAnsi="Verdana" w:cs="Arial"/>
                <w:b/>
                <w:sz w:val="22"/>
                <w:szCs w:val="22"/>
              </w:rPr>
            </w:pPr>
            <w:r w:rsidRPr="00205C60">
              <w:rPr>
                <w:rFonts w:ascii="Verdana" w:hAnsi="Verdana" w:cs="Arial"/>
                <w:b/>
                <w:sz w:val="22"/>
                <w:szCs w:val="22"/>
              </w:rPr>
              <w:t>491.867</w:t>
            </w:r>
          </w:p>
        </w:tc>
        <w:tc>
          <w:tcPr>
            <w:tcW w:w="1619" w:type="dxa"/>
          </w:tcPr>
          <w:p w14:paraId="67871B5D" w14:textId="106A6CCC" w:rsidR="007748E0" w:rsidRPr="00205C60" w:rsidRDefault="007748E0" w:rsidP="007748E0">
            <w:pPr>
              <w:jc w:val="center"/>
              <w:rPr>
                <w:rFonts w:ascii="Verdana" w:hAnsi="Verdana" w:cs="Arial"/>
                <w:b/>
                <w:sz w:val="22"/>
                <w:szCs w:val="22"/>
              </w:rPr>
            </w:pPr>
            <w:r w:rsidRPr="00205C60">
              <w:rPr>
                <w:rFonts w:ascii="Verdana" w:hAnsi="Verdana" w:cs="Arial"/>
                <w:b/>
                <w:sz w:val="22"/>
                <w:szCs w:val="22"/>
              </w:rPr>
              <w:t>492.468</w:t>
            </w:r>
          </w:p>
        </w:tc>
        <w:tc>
          <w:tcPr>
            <w:tcW w:w="1619" w:type="dxa"/>
          </w:tcPr>
          <w:p w14:paraId="1355469F" w14:textId="61A73600" w:rsidR="007748E0" w:rsidRPr="00205C60" w:rsidRDefault="00143F41" w:rsidP="007748E0">
            <w:pPr>
              <w:jc w:val="center"/>
              <w:rPr>
                <w:rFonts w:ascii="Verdana" w:hAnsi="Verdana" w:cs="Arial"/>
                <w:b/>
                <w:sz w:val="22"/>
                <w:szCs w:val="22"/>
              </w:rPr>
            </w:pPr>
            <w:r w:rsidRPr="00205C60">
              <w:rPr>
                <w:rFonts w:ascii="Verdana" w:hAnsi="Verdana" w:cs="Arial"/>
                <w:b/>
                <w:sz w:val="22"/>
                <w:szCs w:val="22"/>
              </w:rPr>
              <w:t>507.104</w:t>
            </w:r>
          </w:p>
        </w:tc>
      </w:tr>
    </w:tbl>
    <w:p w14:paraId="3CA7EEC2" w14:textId="77777777" w:rsidR="00FE7A68" w:rsidRPr="00205C60" w:rsidRDefault="00FE7A68" w:rsidP="009910F7">
      <w:pPr>
        <w:jc w:val="both"/>
        <w:rPr>
          <w:rFonts w:ascii="Verdana" w:hAnsi="Verdana" w:cs="Arial"/>
          <w:sz w:val="22"/>
          <w:szCs w:val="22"/>
        </w:rPr>
      </w:pPr>
    </w:p>
    <w:p w14:paraId="3CA7EEC3" w14:textId="77777777" w:rsidR="009910F7" w:rsidRPr="00205C60" w:rsidRDefault="009910F7" w:rsidP="009910F7">
      <w:pPr>
        <w:jc w:val="both"/>
        <w:rPr>
          <w:rFonts w:ascii="Verdana" w:hAnsi="Verdana" w:cs="Arial"/>
          <w:sz w:val="22"/>
          <w:szCs w:val="22"/>
        </w:rPr>
      </w:pPr>
      <w:r w:rsidRPr="00205C60">
        <w:rPr>
          <w:rFonts w:ascii="Verdana" w:hAnsi="Verdana" w:cs="Arial"/>
          <w:sz w:val="22"/>
          <w:szCs w:val="22"/>
        </w:rPr>
        <w:t>1</w:t>
      </w:r>
      <w:proofErr w:type="gramStart"/>
      <w:r w:rsidRPr="00205C60">
        <w:rPr>
          <w:rFonts w:ascii="Verdana" w:hAnsi="Verdana" w:cs="Arial"/>
          <w:sz w:val="22"/>
          <w:szCs w:val="22"/>
        </w:rPr>
        <w:t>/  Mega</w:t>
      </w:r>
      <w:proofErr w:type="gramEnd"/>
      <w:r w:rsidRPr="00205C60">
        <w:rPr>
          <w:rFonts w:ascii="Verdana" w:hAnsi="Verdana" w:cs="Arial"/>
          <w:sz w:val="22"/>
          <w:szCs w:val="22"/>
        </w:rPr>
        <w:t xml:space="preserve"> Watts-horas, medida de la energía (potencia por un determinado número de horas ya sea producida o consumida). Equivale a 1.000.000 watts-hora o vatio-hora.</w:t>
      </w:r>
    </w:p>
    <w:p w14:paraId="3CA7EEC4" w14:textId="77777777" w:rsidR="001037E4" w:rsidRPr="00205C60" w:rsidRDefault="008D724C" w:rsidP="004F4025">
      <w:pPr>
        <w:jc w:val="both"/>
        <w:rPr>
          <w:rFonts w:ascii="Verdana" w:hAnsi="Verdana" w:cs="Arial"/>
          <w:sz w:val="22"/>
          <w:szCs w:val="22"/>
        </w:rPr>
      </w:pPr>
      <w:r w:rsidRPr="00205C60">
        <w:rPr>
          <w:rFonts w:ascii="Verdana" w:hAnsi="Verdana" w:cs="Arial"/>
          <w:sz w:val="22"/>
          <w:szCs w:val="22"/>
        </w:rPr>
        <w:t>Fuente</w:t>
      </w:r>
      <w:r w:rsidR="002C6BC3" w:rsidRPr="00205C60">
        <w:rPr>
          <w:rFonts w:ascii="Verdana" w:hAnsi="Verdana" w:cs="Arial"/>
          <w:sz w:val="22"/>
          <w:szCs w:val="22"/>
        </w:rPr>
        <w:t>: Sistema de Información Gerencia</w:t>
      </w:r>
      <w:r w:rsidR="00547DBC" w:rsidRPr="00205C60">
        <w:rPr>
          <w:rFonts w:ascii="Verdana" w:hAnsi="Verdana" w:cs="Arial"/>
          <w:sz w:val="22"/>
          <w:szCs w:val="22"/>
        </w:rPr>
        <w:t>l</w:t>
      </w:r>
      <w:r w:rsidR="002C6BC3" w:rsidRPr="00205C60">
        <w:rPr>
          <w:rFonts w:ascii="Verdana" w:hAnsi="Verdana" w:cs="Arial"/>
          <w:sz w:val="22"/>
          <w:szCs w:val="22"/>
        </w:rPr>
        <w:t xml:space="preserve"> (SIGE).</w:t>
      </w:r>
    </w:p>
    <w:p w14:paraId="3CA7EEC5" w14:textId="77777777" w:rsidR="007F35BF" w:rsidRPr="00205C60" w:rsidRDefault="007F35BF" w:rsidP="004F4025">
      <w:pPr>
        <w:jc w:val="both"/>
        <w:rPr>
          <w:rFonts w:ascii="Verdana" w:hAnsi="Verdana" w:cs="Arial"/>
          <w:sz w:val="22"/>
          <w:szCs w:val="22"/>
        </w:rPr>
      </w:pPr>
    </w:p>
    <w:p w14:paraId="3CA7EEC6" w14:textId="77777777" w:rsidR="00C82723" w:rsidRPr="00205C60" w:rsidRDefault="00145220" w:rsidP="002C6BC3">
      <w:pPr>
        <w:jc w:val="both"/>
        <w:rPr>
          <w:rFonts w:ascii="Verdana" w:hAnsi="Verdana" w:cs="Arial"/>
          <w:sz w:val="22"/>
          <w:szCs w:val="22"/>
        </w:rPr>
      </w:pPr>
      <w:r w:rsidRPr="00205C60">
        <w:rPr>
          <w:rFonts w:ascii="Verdana" w:hAnsi="Verdana" w:cs="Arial"/>
          <w:sz w:val="22"/>
          <w:szCs w:val="22"/>
        </w:rPr>
        <w:t xml:space="preserve">La </w:t>
      </w:r>
      <w:r w:rsidR="00DD56D2" w:rsidRPr="00205C60">
        <w:rPr>
          <w:rFonts w:ascii="Verdana" w:hAnsi="Verdana" w:cs="Arial"/>
          <w:sz w:val="22"/>
          <w:szCs w:val="22"/>
        </w:rPr>
        <w:t>P</w:t>
      </w:r>
      <w:r w:rsidRPr="00205C60">
        <w:rPr>
          <w:rFonts w:ascii="Verdana" w:hAnsi="Verdana" w:cs="Arial"/>
          <w:sz w:val="22"/>
          <w:szCs w:val="22"/>
        </w:rPr>
        <w:t xml:space="preserve">lanta </w:t>
      </w:r>
      <w:r w:rsidR="00DD56D2" w:rsidRPr="00205C60">
        <w:rPr>
          <w:rFonts w:ascii="Verdana" w:hAnsi="Verdana" w:cs="Arial"/>
          <w:sz w:val="22"/>
          <w:szCs w:val="22"/>
        </w:rPr>
        <w:t>H</w:t>
      </w:r>
      <w:r w:rsidRPr="00205C60">
        <w:rPr>
          <w:rFonts w:ascii="Verdana" w:hAnsi="Verdana" w:cs="Arial"/>
          <w:sz w:val="22"/>
          <w:szCs w:val="22"/>
        </w:rPr>
        <w:t xml:space="preserve">idroeléctrica Nuestro Amo </w:t>
      </w:r>
      <w:r w:rsidR="007E5CA0" w:rsidRPr="00205C60">
        <w:rPr>
          <w:rFonts w:ascii="Verdana" w:hAnsi="Verdana" w:cs="Arial"/>
          <w:sz w:val="22"/>
          <w:szCs w:val="22"/>
        </w:rPr>
        <w:t xml:space="preserve">se encuentra </w:t>
      </w:r>
      <w:r w:rsidRPr="00205C60">
        <w:rPr>
          <w:rFonts w:ascii="Verdana" w:hAnsi="Verdana" w:cs="Arial"/>
          <w:sz w:val="22"/>
          <w:szCs w:val="22"/>
        </w:rPr>
        <w:t xml:space="preserve">inhabilitada a consecuencia de las inundaciones provocadas por la Tormenta Tomas en el </w:t>
      </w:r>
      <w:r w:rsidR="00391935" w:rsidRPr="00205C60">
        <w:rPr>
          <w:rFonts w:ascii="Verdana" w:hAnsi="Verdana" w:cs="Arial"/>
          <w:sz w:val="22"/>
          <w:szCs w:val="22"/>
        </w:rPr>
        <w:t xml:space="preserve">mes de noviembre del año 2010. </w:t>
      </w:r>
    </w:p>
    <w:p w14:paraId="3CA7EEC7" w14:textId="783235CC" w:rsidR="00C552E3" w:rsidRPr="00205C60" w:rsidRDefault="00C552E3" w:rsidP="002C6BC3">
      <w:pPr>
        <w:jc w:val="both"/>
        <w:rPr>
          <w:rFonts w:ascii="Verdana" w:hAnsi="Verdana" w:cs="Arial"/>
          <w:color w:val="00B0F0"/>
          <w:sz w:val="22"/>
          <w:szCs w:val="22"/>
        </w:rPr>
      </w:pPr>
    </w:p>
    <w:p w14:paraId="18C23BCC" w14:textId="6E7CB69B" w:rsidR="00016B97" w:rsidRPr="00205C60" w:rsidRDefault="00016B97" w:rsidP="002C6BC3">
      <w:pPr>
        <w:jc w:val="both"/>
        <w:rPr>
          <w:rFonts w:ascii="Verdana" w:hAnsi="Verdana" w:cs="Arial"/>
          <w:color w:val="00B0F0"/>
          <w:sz w:val="22"/>
          <w:szCs w:val="22"/>
        </w:rPr>
      </w:pPr>
    </w:p>
    <w:p w14:paraId="3CA7EEC9" w14:textId="0F72EB78" w:rsidR="004F4025" w:rsidRPr="00205C60" w:rsidRDefault="004F4025" w:rsidP="00307E2B">
      <w:pPr>
        <w:pStyle w:val="Ttulo2"/>
        <w:numPr>
          <w:ilvl w:val="1"/>
          <w:numId w:val="1"/>
        </w:numPr>
        <w:tabs>
          <w:tab w:val="clear" w:pos="720"/>
          <w:tab w:val="left" w:pos="708"/>
        </w:tabs>
        <w:rPr>
          <w:rFonts w:ascii="Verdana" w:hAnsi="Verdana" w:cs="Arial"/>
          <w:sz w:val="22"/>
          <w:szCs w:val="22"/>
        </w:rPr>
      </w:pPr>
      <w:bookmarkStart w:id="124" w:name="_Toc104529472"/>
      <w:r w:rsidRPr="00205C60">
        <w:rPr>
          <w:rFonts w:ascii="Verdana" w:hAnsi="Verdana" w:cs="Arial"/>
          <w:sz w:val="22"/>
          <w:szCs w:val="22"/>
        </w:rPr>
        <w:t>Datos Estadísticos de Distribución</w:t>
      </w:r>
      <w:r w:rsidR="00432882" w:rsidRPr="00205C60">
        <w:rPr>
          <w:rFonts w:ascii="Verdana" w:hAnsi="Verdana" w:cs="Arial"/>
          <w:sz w:val="22"/>
          <w:szCs w:val="22"/>
        </w:rPr>
        <w:t xml:space="preserve"> Energía</w:t>
      </w:r>
      <w:bookmarkEnd w:id="124"/>
    </w:p>
    <w:p w14:paraId="3CA7EECA" w14:textId="77777777" w:rsidR="00131077" w:rsidRPr="00205C60" w:rsidRDefault="00131077" w:rsidP="00131077">
      <w:pPr>
        <w:rPr>
          <w:rFonts w:ascii="Verdana" w:hAnsi="Verdana"/>
          <w:sz w:val="22"/>
          <w:szCs w:val="22"/>
        </w:rPr>
      </w:pPr>
    </w:p>
    <w:tbl>
      <w:tblPr>
        <w:tblW w:w="7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1401"/>
        <w:gridCol w:w="1470"/>
        <w:gridCol w:w="982"/>
        <w:gridCol w:w="1344"/>
        <w:gridCol w:w="1676"/>
      </w:tblGrid>
      <w:tr w:rsidR="005A342F" w:rsidRPr="00205C60" w14:paraId="3CA7EECD" w14:textId="77777777" w:rsidTr="00805313">
        <w:trPr>
          <w:trHeight w:val="830"/>
          <w:jc w:val="center"/>
        </w:trPr>
        <w:tc>
          <w:tcPr>
            <w:tcW w:w="7649" w:type="dxa"/>
            <w:gridSpan w:val="6"/>
          </w:tcPr>
          <w:p w14:paraId="3CA7EECB" w14:textId="77777777" w:rsidR="005A342F" w:rsidRPr="00205C60" w:rsidRDefault="00F660A5" w:rsidP="009F78E8">
            <w:pPr>
              <w:jc w:val="center"/>
              <w:rPr>
                <w:rFonts w:ascii="Verdana" w:hAnsi="Verdana" w:cs="Arial"/>
                <w:b/>
                <w:sz w:val="22"/>
                <w:szCs w:val="22"/>
              </w:rPr>
            </w:pPr>
            <w:r w:rsidRPr="00205C60">
              <w:rPr>
                <w:rFonts w:ascii="Verdana" w:hAnsi="Verdana" w:cs="Arial"/>
                <w:b/>
                <w:sz w:val="22"/>
                <w:szCs w:val="22"/>
              </w:rPr>
              <w:t>Composición de la energía</w:t>
            </w:r>
          </w:p>
          <w:p w14:paraId="3CA7EECC" w14:textId="77777777" w:rsidR="005A342F" w:rsidRPr="00205C60" w:rsidRDefault="00131077" w:rsidP="009F78E8">
            <w:pPr>
              <w:jc w:val="center"/>
              <w:rPr>
                <w:rFonts w:ascii="Verdana" w:hAnsi="Verdana" w:cs="Arial"/>
                <w:b/>
                <w:sz w:val="22"/>
                <w:szCs w:val="22"/>
              </w:rPr>
            </w:pPr>
            <w:r w:rsidRPr="00205C60">
              <w:rPr>
                <w:rFonts w:ascii="Verdana" w:hAnsi="Verdana" w:cs="Arial"/>
                <w:b/>
                <w:sz w:val="22"/>
                <w:szCs w:val="22"/>
              </w:rPr>
              <w:t>GWh</w:t>
            </w:r>
            <w:r w:rsidR="006F162B" w:rsidRPr="00205C60">
              <w:rPr>
                <w:rFonts w:ascii="Verdana" w:hAnsi="Verdana" w:cs="Arial"/>
                <w:b/>
                <w:sz w:val="22"/>
                <w:szCs w:val="22"/>
              </w:rPr>
              <w:t xml:space="preserve">  1/</w:t>
            </w:r>
          </w:p>
        </w:tc>
      </w:tr>
      <w:tr w:rsidR="005A342F" w:rsidRPr="00205C60" w14:paraId="3CA7EED4" w14:textId="77777777" w:rsidTr="00AC1E7A">
        <w:trPr>
          <w:jc w:val="center"/>
        </w:trPr>
        <w:tc>
          <w:tcPr>
            <w:tcW w:w="776" w:type="dxa"/>
            <w:vAlign w:val="center"/>
          </w:tcPr>
          <w:p w14:paraId="3CA7EECE" w14:textId="77777777" w:rsidR="005A342F" w:rsidRPr="00205C60" w:rsidRDefault="00F660A5" w:rsidP="00805313">
            <w:pPr>
              <w:jc w:val="center"/>
              <w:rPr>
                <w:rFonts w:ascii="Verdana" w:hAnsi="Verdana" w:cs="Arial"/>
                <w:b/>
                <w:sz w:val="22"/>
                <w:szCs w:val="22"/>
              </w:rPr>
            </w:pPr>
            <w:r w:rsidRPr="00205C60">
              <w:rPr>
                <w:rFonts w:ascii="Verdana" w:hAnsi="Verdana" w:cs="Arial"/>
                <w:b/>
                <w:sz w:val="22"/>
                <w:szCs w:val="22"/>
              </w:rPr>
              <w:t>Año</w:t>
            </w:r>
          </w:p>
        </w:tc>
        <w:tc>
          <w:tcPr>
            <w:tcW w:w="1401" w:type="dxa"/>
            <w:vAlign w:val="center"/>
          </w:tcPr>
          <w:p w14:paraId="3CA7EECF" w14:textId="77777777" w:rsidR="005A342F" w:rsidRPr="00205C60" w:rsidRDefault="00F660A5" w:rsidP="00F660A5">
            <w:pPr>
              <w:jc w:val="center"/>
              <w:rPr>
                <w:rFonts w:ascii="Verdana" w:hAnsi="Verdana" w:cs="Arial"/>
                <w:b/>
                <w:sz w:val="22"/>
                <w:szCs w:val="22"/>
              </w:rPr>
            </w:pPr>
            <w:r w:rsidRPr="00205C60">
              <w:rPr>
                <w:rFonts w:ascii="Verdana" w:hAnsi="Verdana" w:cs="Arial"/>
                <w:b/>
                <w:sz w:val="22"/>
                <w:szCs w:val="22"/>
              </w:rPr>
              <w:t>Generada</w:t>
            </w:r>
          </w:p>
        </w:tc>
        <w:tc>
          <w:tcPr>
            <w:tcW w:w="1470" w:type="dxa"/>
            <w:vAlign w:val="center"/>
          </w:tcPr>
          <w:p w14:paraId="3CA7EED0" w14:textId="77777777" w:rsidR="005A342F" w:rsidRPr="00205C60" w:rsidRDefault="00F660A5" w:rsidP="00F660A5">
            <w:pPr>
              <w:jc w:val="center"/>
              <w:rPr>
                <w:rFonts w:ascii="Verdana" w:hAnsi="Verdana" w:cs="Arial"/>
                <w:b/>
                <w:sz w:val="22"/>
                <w:szCs w:val="22"/>
              </w:rPr>
            </w:pPr>
            <w:r w:rsidRPr="00205C60">
              <w:rPr>
                <w:rFonts w:ascii="Verdana" w:hAnsi="Verdana" w:cs="Arial"/>
                <w:b/>
                <w:sz w:val="22"/>
                <w:szCs w:val="22"/>
              </w:rPr>
              <w:t>Comprada</w:t>
            </w:r>
          </w:p>
        </w:tc>
        <w:tc>
          <w:tcPr>
            <w:tcW w:w="982" w:type="dxa"/>
            <w:vAlign w:val="center"/>
          </w:tcPr>
          <w:p w14:paraId="3CA7EED1" w14:textId="77777777" w:rsidR="005A342F" w:rsidRPr="00205C60" w:rsidRDefault="00F660A5" w:rsidP="00F660A5">
            <w:pPr>
              <w:jc w:val="center"/>
              <w:rPr>
                <w:rFonts w:ascii="Verdana" w:hAnsi="Verdana" w:cs="Arial"/>
                <w:b/>
                <w:sz w:val="22"/>
                <w:szCs w:val="22"/>
              </w:rPr>
            </w:pPr>
            <w:r w:rsidRPr="00205C60">
              <w:rPr>
                <w:rFonts w:ascii="Verdana" w:hAnsi="Verdana" w:cs="Arial"/>
                <w:b/>
                <w:sz w:val="22"/>
                <w:szCs w:val="22"/>
              </w:rPr>
              <w:t>Total</w:t>
            </w:r>
          </w:p>
        </w:tc>
        <w:tc>
          <w:tcPr>
            <w:tcW w:w="1344" w:type="dxa"/>
            <w:vAlign w:val="center"/>
          </w:tcPr>
          <w:p w14:paraId="3CA7EED2" w14:textId="77777777" w:rsidR="005A342F" w:rsidRPr="00205C60" w:rsidRDefault="00F660A5" w:rsidP="00F660A5">
            <w:pPr>
              <w:jc w:val="center"/>
              <w:rPr>
                <w:rFonts w:ascii="Verdana" w:hAnsi="Verdana" w:cs="Arial"/>
                <w:b/>
                <w:sz w:val="22"/>
                <w:szCs w:val="22"/>
              </w:rPr>
            </w:pPr>
            <w:r w:rsidRPr="00205C60">
              <w:rPr>
                <w:rFonts w:ascii="Verdana" w:hAnsi="Verdana" w:cs="Arial"/>
                <w:b/>
                <w:sz w:val="22"/>
                <w:szCs w:val="22"/>
              </w:rPr>
              <w:t>Vendido</w:t>
            </w:r>
          </w:p>
        </w:tc>
        <w:tc>
          <w:tcPr>
            <w:tcW w:w="1676" w:type="dxa"/>
            <w:vAlign w:val="center"/>
          </w:tcPr>
          <w:p w14:paraId="3CA7EED3" w14:textId="77777777" w:rsidR="005A342F" w:rsidRPr="00205C60" w:rsidRDefault="00F660A5" w:rsidP="00950426">
            <w:pPr>
              <w:jc w:val="center"/>
              <w:rPr>
                <w:rFonts w:ascii="Verdana" w:hAnsi="Verdana" w:cs="Arial"/>
                <w:b/>
                <w:sz w:val="22"/>
                <w:szCs w:val="22"/>
              </w:rPr>
            </w:pPr>
            <w:r w:rsidRPr="00205C60">
              <w:rPr>
                <w:rFonts w:ascii="Verdana" w:hAnsi="Verdana" w:cs="Arial"/>
                <w:b/>
                <w:sz w:val="22"/>
                <w:szCs w:val="22"/>
              </w:rPr>
              <w:t xml:space="preserve">% </w:t>
            </w:r>
            <w:r w:rsidR="00805313" w:rsidRPr="00205C60">
              <w:rPr>
                <w:rFonts w:ascii="Verdana" w:hAnsi="Verdana" w:cs="Arial"/>
                <w:b/>
                <w:sz w:val="22"/>
                <w:szCs w:val="22"/>
              </w:rPr>
              <w:t>pérdidas</w:t>
            </w:r>
            <w:r w:rsidRPr="00205C60">
              <w:rPr>
                <w:rFonts w:ascii="Verdana" w:hAnsi="Verdana" w:cs="Arial"/>
                <w:b/>
                <w:sz w:val="22"/>
                <w:szCs w:val="22"/>
              </w:rPr>
              <w:t xml:space="preserve"> </w:t>
            </w:r>
          </w:p>
        </w:tc>
      </w:tr>
      <w:tr w:rsidR="00DF768C" w:rsidRPr="00205C60" w14:paraId="3CA7EEE9" w14:textId="77777777" w:rsidTr="00AC1E7A">
        <w:trPr>
          <w:jc w:val="center"/>
        </w:trPr>
        <w:tc>
          <w:tcPr>
            <w:tcW w:w="776" w:type="dxa"/>
          </w:tcPr>
          <w:p w14:paraId="3CA7EEE3" w14:textId="77777777" w:rsidR="00DF768C" w:rsidRPr="00205C60" w:rsidRDefault="00DF768C" w:rsidP="009F78E8">
            <w:pPr>
              <w:jc w:val="center"/>
              <w:rPr>
                <w:rFonts w:ascii="Verdana" w:hAnsi="Verdana" w:cs="Arial"/>
                <w:sz w:val="22"/>
                <w:szCs w:val="22"/>
              </w:rPr>
            </w:pPr>
            <w:r w:rsidRPr="00205C60">
              <w:rPr>
                <w:rFonts w:ascii="Verdana" w:hAnsi="Verdana" w:cs="Arial"/>
                <w:sz w:val="22"/>
                <w:szCs w:val="22"/>
              </w:rPr>
              <w:t>2020</w:t>
            </w:r>
          </w:p>
        </w:tc>
        <w:tc>
          <w:tcPr>
            <w:tcW w:w="1401" w:type="dxa"/>
          </w:tcPr>
          <w:p w14:paraId="3CA7EEE4" w14:textId="77777777" w:rsidR="00DF768C" w:rsidRPr="00205C60" w:rsidRDefault="0091705F" w:rsidP="00BE47F0">
            <w:pPr>
              <w:jc w:val="center"/>
              <w:rPr>
                <w:rFonts w:ascii="Verdana" w:hAnsi="Verdana" w:cs="Arial"/>
                <w:sz w:val="22"/>
                <w:szCs w:val="22"/>
              </w:rPr>
            </w:pPr>
            <w:r w:rsidRPr="00205C60">
              <w:rPr>
                <w:rFonts w:ascii="Verdana" w:hAnsi="Verdana" w:cs="Arial"/>
                <w:sz w:val="22"/>
                <w:szCs w:val="22"/>
              </w:rPr>
              <w:t>486</w:t>
            </w:r>
          </w:p>
        </w:tc>
        <w:tc>
          <w:tcPr>
            <w:tcW w:w="1470" w:type="dxa"/>
          </w:tcPr>
          <w:p w14:paraId="3CA7EEE5" w14:textId="77777777" w:rsidR="00DF768C" w:rsidRPr="00205C60" w:rsidRDefault="0091705F" w:rsidP="009F78E8">
            <w:pPr>
              <w:jc w:val="center"/>
              <w:rPr>
                <w:rFonts w:ascii="Verdana" w:hAnsi="Verdana" w:cs="Arial"/>
                <w:sz w:val="22"/>
                <w:szCs w:val="22"/>
              </w:rPr>
            </w:pPr>
            <w:r w:rsidRPr="00205C60">
              <w:rPr>
                <w:rFonts w:ascii="Verdana" w:hAnsi="Verdana" w:cs="Arial"/>
                <w:sz w:val="22"/>
                <w:szCs w:val="22"/>
              </w:rPr>
              <w:t>3.192</w:t>
            </w:r>
          </w:p>
        </w:tc>
        <w:tc>
          <w:tcPr>
            <w:tcW w:w="982" w:type="dxa"/>
          </w:tcPr>
          <w:p w14:paraId="3CA7EEE6" w14:textId="5732FB0D" w:rsidR="00DF768C" w:rsidRPr="00205C60" w:rsidRDefault="0091705F" w:rsidP="00F33597">
            <w:pPr>
              <w:jc w:val="center"/>
              <w:rPr>
                <w:rFonts w:ascii="Verdana" w:hAnsi="Verdana" w:cs="Arial"/>
                <w:sz w:val="22"/>
                <w:szCs w:val="22"/>
              </w:rPr>
            </w:pPr>
            <w:r w:rsidRPr="00205C60">
              <w:rPr>
                <w:rFonts w:ascii="Verdana" w:hAnsi="Verdana" w:cs="Arial"/>
                <w:sz w:val="22"/>
                <w:szCs w:val="22"/>
              </w:rPr>
              <w:t>3</w:t>
            </w:r>
            <w:r w:rsidR="00432882" w:rsidRPr="00205C60">
              <w:rPr>
                <w:rFonts w:ascii="Verdana" w:hAnsi="Verdana" w:cs="Arial"/>
                <w:sz w:val="22"/>
                <w:szCs w:val="22"/>
              </w:rPr>
              <w:t>.</w:t>
            </w:r>
            <w:r w:rsidRPr="00205C60">
              <w:rPr>
                <w:rFonts w:ascii="Verdana" w:hAnsi="Verdana" w:cs="Arial"/>
                <w:sz w:val="22"/>
                <w:szCs w:val="22"/>
              </w:rPr>
              <w:t>678</w:t>
            </w:r>
          </w:p>
        </w:tc>
        <w:tc>
          <w:tcPr>
            <w:tcW w:w="1344" w:type="dxa"/>
          </w:tcPr>
          <w:p w14:paraId="3CA7EEE7" w14:textId="77777777" w:rsidR="00DF768C" w:rsidRPr="00205C60" w:rsidRDefault="0091705F" w:rsidP="009F78E8">
            <w:pPr>
              <w:jc w:val="center"/>
              <w:rPr>
                <w:rFonts w:ascii="Verdana" w:hAnsi="Verdana" w:cs="Arial"/>
                <w:sz w:val="22"/>
                <w:szCs w:val="22"/>
              </w:rPr>
            </w:pPr>
            <w:r w:rsidRPr="00205C60">
              <w:rPr>
                <w:rFonts w:ascii="Verdana" w:hAnsi="Verdana" w:cs="Arial"/>
                <w:sz w:val="22"/>
                <w:szCs w:val="22"/>
              </w:rPr>
              <w:t>3.327</w:t>
            </w:r>
          </w:p>
        </w:tc>
        <w:tc>
          <w:tcPr>
            <w:tcW w:w="1676" w:type="dxa"/>
          </w:tcPr>
          <w:p w14:paraId="3CA7EEE8" w14:textId="09221EF7" w:rsidR="00DF768C" w:rsidRPr="00205C60" w:rsidRDefault="0091705F" w:rsidP="005C67BA">
            <w:pPr>
              <w:jc w:val="center"/>
              <w:rPr>
                <w:rFonts w:ascii="Verdana" w:hAnsi="Verdana" w:cs="Arial"/>
                <w:sz w:val="22"/>
                <w:szCs w:val="22"/>
              </w:rPr>
            </w:pPr>
            <w:r w:rsidRPr="00205C60">
              <w:rPr>
                <w:rFonts w:ascii="Verdana" w:hAnsi="Verdana" w:cs="Arial"/>
                <w:sz w:val="22"/>
                <w:szCs w:val="22"/>
              </w:rPr>
              <w:t>9,</w:t>
            </w:r>
            <w:r w:rsidR="003E3688" w:rsidRPr="00205C60">
              <w:rPr>
                <w:rFonts w:ascii="Verdana" w:hAnsi="Verdana" w:cs="Arial"/>
                <w:sz w:val="22"/>
                <w:szCs w:val="22"/>
              </w:rPr>
              <w:t>53</w:t>
            </w:r>
          </w:p>
        </w:tc>
      </w:tr>
      <w:tr w:rsidR="008D7C2A" w:rsidRPr="00205C60" w14:paraId="7D183728" w14:textId="77777777" w:rsidTr="00AC1E7A">
        <w:trPr>
          <w:jc w:val="center"/>
        </w:trPr>
        <w:tc>
          <w:tcPr>
            <w:tcW w:w="776" w:type="dxa"/>
          </w:tcPr>
          <w:p w14:paraId="29852A99" w14:textId="2FF88996" w:rsidR="008D7C2A" w:rsidRPr="00205C60" w:rsidRDefault="008D7C2A" w:rsidP="009F78E8">
            <w:pPr>
              <w:jc w:val="center"/>
              <w:rPr>
                <w:rFonts w:ascii="Verdana" w:hAnsi="Verdana" w:cs="Arial"/>
                <w:sz w:val="22"/>
                <w:szCs w:val="22"/>
              </w:rPr>
            </w:pPr>
            <w:r w:rsidRPr="00205C60">
              <w:rPr>
                <w:rFonts w:ascii="Verdana" w:hAnsi="Verdana" w:cs="Arial"/>
                <w:sz w:val="22"/>
                <w:szCs w:val="22"/>
              </w:rPr>
              <w:t>2021</w:t>
            </w:r>
          </w:p>
        </w:tc>
        <w:tc>
          <w:tcPr>
            <w:tcW w:w="1401" w:type="dxa"/>
          </w:tcPr>
          <w:p w14:paraId="74BFF0B1" w14:textId="4CE3F8C0" w:rsidR="008D7C2A" w:rsidRPr="00205C60" w:rsidRDefault="008D7C2A" w:rsidP="00BE47F0">
            <w:pPr>
              <w:jc w:val="center"/>
              <w:rPr>
                <w:rFonts w:ascii="Verdana" w:hAnsi="Verdana" w:cs="Arial"/>
                <w:sz w:val="22"/>
                <w:szCs w:val="22"/>
              </w:rPr>
            </w:pPr>
            <w:r w:rsidRPr="00205C60">
              <w:rPr>
                <w:rFonts w:ascii="Verdana" w:hAnsi="Verdana" w:cs="Arial"/>
                <w:sz w:val="22"/>
                <w:szCs w:val="22"/>
              </w:rPr>
              <w:t>492</w:t>
            </w:r>
          </w:p>
        </w:tc>
        <w:tc>
          <w:tcPr>
            <w:tcW w:w="1470" w:type="dxa"/>
          </w:tcPr>
          <w:p w14:paraId="0281B096" w14:textId="057D4E1C" w:rsidR="008D7C2A" w:rsidRPr="00205C60" w:rsidRDefault="00432882" w:rsidP="009F78E8">
            <w:pPr>
              <w:jc w:val="center"/>
              <w:rPr>
                <w:rFonts w:ascii="Verdana" w:hAnsi="Verdana" w:cs="Arial"/>
                <w:sz w:val="22"/>
                <w:szCs w:val="22"/>
              </w:rPr>
            </w:pPr>
            <w:r w:rsidRPr="00205C60">
              <w:rPr>
                <w:rFonts w:ascii="Verdana" w:hAnsi="Verdana" w:cs="Arial"/>
                <w:sz w:val="22"/>
                <w:szCs w:val="22"/>
              </w:rPr>
              <w:t>3.206</w:t>
            </w:r>
          </w:p>
        </w:tc>
        <w:tc>
          <w:tcPr>
            <w:tcW w:w="982" w:type="dxa"/>
          </w:tcPr>
          <w:p w14:paraId="44602EC0" w14:textId="6FB6CF3D" w:rsidR="008D7C2A" w:rsidRPr="00205C60" w:rsidRDefault="00432882" w:rsidP="00F33597">
            <w:pPr>
              <w:jc w:val="center"/>
              <w:rPr>
                <w:rFonts w:ascii="Verdana" w:hAnsi="Verdana" w:cs="Arial"/>
                <w:sz w:val="22"/>
                <w:szCs w:val="22"/>
              </w:rPr>
            </w:pPr>
            <w:r w:rsidRPr="00205C60">
              <w:rPr>
                <w:rFonts w:ascii="Verdana" w:hAnsi="Verdana" w:cs="Arial"/>
                <w:sz w:val="22"/>
                <w:szCs w:val="22"/>
              </w:rPr>
              <w:t>3.698</w:t>
            </w:r>
          </w:p>
        </w:tc>
        <w:tc>
          <w:tcPr>
            <w:tcW w:w="1344" w:type="dxa"/>
          </w:tcPr>
          <w:p w14:paraId="38EE67CD" w14:textId="33FE3EC9" w:rsidR="008D7C2A" w:rsidRPr="00205C60" w:rsidRDefault="00432882" w:rsidP="009F78E8">
            <w:pPr>
              <w:jc w:val="center"/>
              <w:rPr>
                <w:rFonts w:ascii="Verdana" w:hAnsi="Verdana" w:cs="Arial"/>
                <w:sz w:val="22"/>
                <w:szCs w:val="22"/>
              </w:rPr>
            </w:pPr>
            <w:r w:rsidRPr="00205C60">
              <w:rPr>
                <w:rFonts w:ascii="Verdana" w:hAnsi="Verdana" w:cs="Arial"/>
                <w:sz w:val="22"/>
                <w:szCs w:val="22"/>
              </w:rPr>
              <w:t>3.330</w:t>
            </w:r>
          </w:p>
        </w:tc>
        <w:tc>
          <w:tcPr>
            <w:tcW w:w="1676" w:type="dxa"/>
          </w:tcPr>
          <w:p w14:paraId="2D10EB1B" w14:textId="3F377F1C" w:rsidR="008D7C2A" w:rsidRPr="00205C60" w:rsidRDefault="00432882" w:rsidP="005C67BA">
            <w:pPr>
              <w:jc w:val="center"/>
              <w:rPr>
                <w:rFonts w:ascii="Verdana" w:hAnsi="Verdana" w:cs="Arial"/>
                <w:sz w:val="22"/>
                <w:szCs w:val="22"/>
              </w:rPr>
            </w:pPr>
            <w:r w:rsidRPr="00205C60">
              <w:rPr>
                <w:rFonts w:ascii="Verdana" w:hAnsi="Verdana" w:cs="Arial"/>
                <w:sz w:val="22"/>
                <w:szCs w:val="22"/>
              </w:rPr>
              <w:t>9,</w:t>
            </w:r>
            <w:r w:rsidR="003E3688" w:rsidRPr="00205C60">
              <w:rPr>
                <w:rFonts w:ascii="Verdana" w:hAnsi="Verdana" w:cs="Arial"/>
                <w:sz w:val="22"/>
                <w:szCs w:val="22"/>
              </w:rPr>
              <w:t>95</w:t>
            </w:r>
          </w:p>
        </w:tc>
      </w:tr>
      <w:tr w:rsidR="00547764" w:rsidRPr="00205C60" w14:paraId="46BF3B63" w14:textId="77777777" w:rsidTr="00AC1E7A">
        <w:trPr>
          <w:jc w:val="center"/>
        </w:trPr>
        <w:tc>
          <w:tcPr>
            <w:tcW w:w="776" w:type="dxa"/>
          </w:tcPr>
          <w:p w14:paraId="1E7F93FD" w14:textId="4E86EF1B" w:rsidR="00547764" w:rsidRPr="00205C60" w:rsidRDefault="00547764" w:rsidP="009F78E8">
            <w:pPr>
              <w:jc w:val="center"/>
              <w:rPr>
                <w:rFonts w:ascii="Verdana" w:hAnsi="Verdana" w:cs="Arial"/>
                <w:sz w:val="22"/>
                <w:szCs w:val="22"/>
              </w:rPr>
            </w:pPr>
            <w:r w:rsidRPr="00205C60">
              <w:rPr>
                <w:rFonts w:ascii="Verdana" w:hAnsi="Verdana" w:cs="Arial"/>
                <w:sz w:val="22"/>
                <w:szCs w:val="22"/>
              </w:rPr>
              <w:t>202</w:t>
            </w:r>
            <w:r w:rsidR="00623DF8" w:rsidRPr="00205C60">
              <w:rPr>
                <w:rFonts w:ascii="Verdana" w:hAnsi="Verdana" w:cs="Arial"/>
                <w:sz w:val="22"/>
                <w:szCs w:val="22"/>
              </w:rPr>
              <w:t>2</w:t>
            </w:r>
          </w:p>
        </w:tc>
        <w:tc>
          <w:tcPr>
            <w:tcW w:w="1401" w:type="dxa"/>
          </w:tcPr>
          <w:p w14:paraId="1F5D0969" w14:textId="0EE36104" w:rsidR="00547764" w:rsidRPr="00205C60" w:rsidRDefault="002E4D93" w:rsidP="00BE47F0">
            <w:pPr>
              <w:jc w:val="center"/>
              <w:rPr>
                <w:rFonts w:ascii="Verdana" w:hAnsi="Verdana" w:cs="Arial"/>
                <w:sz w:val="22"/>
                <w:szCs w:val="22"/>
              </w:rPr>
            </w:pPr>
            <w:r w:rsidRPr="00205C60">
              <w:rPr>
                <w:rFonts w:ascii="Verdana" w:hAnsi="Verdana" w:cs="Arial"/>
                <w:sz w:val="22"/>
                <w:szCs w:val="22"/>
              </w:rPr>
              <w:t>507</w:t>
            </w:r>
          </w:p>
        </w:tc>
        <w:tc>
          <w:tcPr>
            <w:tcW w:w="1470" w:type="dxa"/>
          </w:tcPr>
          <w:p w14:paraId="4F3EB2F9" w14:textId="3DC1A349" w:rsidR="00547764" w:rsidRPr="00205C60" w:rsidRDefault="002E4D93" w:rsidP="009F78E8">
            <w:pPr>
              <w:jc w:val="center"/>
              <w:rPr>
                <w:rFonts w:ascii="Verdana" w:hAnsi="Verdana" w:cs="Arial"/>
                <w:sz w:val="22"/>
                <w:szCs w:val="22"/>
              </w:rPr>
            </w:pPr>
            <w:r w:rsidRPr="00205C60">
              <w:rPr>
                <w:rFonts w:ascii="Verdana" w:hAnsi="Verdana" w:cs="Arial"/>
                <w:sz w:val="22"/>
                <w:szCs w:val="22"/>
              </w:rPr>
              <w:t>3.202</w:t>
            </w:r>
          </w:p>
        </w:tc>
        <w:tc>
          <w:tcPr>
            <w:tcW w:w="982" w:type="dxa"/>
          </w:tcPr>
          <w:p w14:paraId="3364CC48" w14:textId="2A2BE108" w:rsidR="00547764" w:rsidRPr="00205C60" w:rsidRDefault="004F1376" w:rsidP="00F33597">
            <w:pPr>
              <w:jc w:val="center"/>
              <w:rPr>
                <w:rFonts w:ascii="Verdana" w:hAnsi="Verdana" w:cs="Arial"/>
                <w:sz w:val="22"/>
                <w:szCs w:val="22"/>
              </w:rPr>
            </w:pPr>
            <w:r w:rsidRPr="00205C60">
              <w:rPr>
                <w:rFonts w:ascii="Verdana" w:hAnsi="Verdana" w:cs="Arial"/>
                <w:sz w:val="22"/>
                <w:szCs w:val="22"/>
              </w:rPr>
              <w:t>3.709</w:t>
            </w:r>
          </w:p>
        </w:tc>
        <w:tc>
          <w:tcPr>
            <w:tcW w:w="1344" w:type="dxa"/>
          </w:tcPr>
          <w:p w14:paraId="3CFDA71F" w14:textId="4E1D93CB" w:rsidR="00547764" w:rsidRPr="00205C60" w:rsidRDefault="004F1376" w:rsidP="009F78E8">
            <w:pPr>
              <w:jc w:val="center"/>
              <w:rPr>
                <w:rFonts w:ascii="Verdana" w:hAnsi="Verdana" w:cs="Arial"/>
                <w:sz w:val="22"/>
                <w:szCs w:val="22"/>
              </w:rPr>
            </w:pPr>
            <w:r w:rsidRPr="00205C60">
              <w:rPr>
                <w:rFonts w:ascii="Verdana" w:hAnsi="Verdana" w:cs="Arial"/>
                <w:sz w:val="22"/>
                <w:szCs w:val="22"/>
              </w:rPr>
              <w:t>3.341</w:t>
            </w:r>
          </w:p>
        </w:tc>
        <w:tc>
          <w:tcPr>
            <w:tcW w:w="1676" w:type="dxa"/>
          </w:tcPr>
          <w:p w14:paraId="6A01163E" w14:textId="054DD044" w:rsidR="00547764" w:rsidRPr="00205C60" w:rsidRDefault="004F1376" w:rsidP="005C67BA">
            <w:pPr>
              <w:jc w:val="center"/>
              <w:rPr>
                <w:rFonts w:ascii="Verdana" w:hAnsi="Verdana" w:cs="Arial"/>
                <w:sz w:val="22"/>
                <w:szCs w:val="22"/>
              </w:rPr>
            </w:pPr>
            <w:r w:rsidRPr="00205C60">
              <w:rPr>
                <w:rFonts w:ascii="Verdana" w:hAnsi="Verdana" w:cs="Arial"/>
                <w:sz w:val="22"/>
                <w:szCs w:val="22"/>
              </w:rPr>
              <w:t>9,70</w:t>
            </w:r>
          </w:p>
        </w:tc>
      </w:tr>
    </w:tbl>
    <w:p w14:paraId="6EE80A38" w14:textId="4DBA67F3" w:rsidR="00016B97" w:rsidRPr="00205C60" w:rsidRDefault="00016B97" w:rsidP="00016B97">
      <w:pPr>
        <w:jc w:val="both"/>
        <w:rPr>
          <w:rFonts w:ascii="Verdana" w:hAnsi="Verdana" w:cs="Arial"/>
          <w:i/>
          <w:iCs/>
          <w:sz w:val="22"/>
          <w:szCs w:val="22"/>
        </w:rPr>
      </w:pPr>
      <w:r w:rsidRPr="00205C60">
        <w:rPr>
          <w:rFonts w:ascii="Verdana" w:hAnsi="Verdana" w:cs="Arial"/>
          <w:sz w:val="22"/>
          <w:szCs w:val="22"/>
        </w:rPr>
        <w:t xml:space="preserve">         </w:t>
      </w:r>
      <w:r w:rsidRPr="00205C60">
        <w:rPr>
          <w:rFonts w:ascii="Verdana" w:hAnsi="Verdana" w:cs="Arial"/>
          <w:i/>
          <w:iCs/>
          <w:sz w:val="20"/>
        </w:rPr>
        <w:t xml:space="preserve">Fuente: </w:t>
      </w:r>
      <w:r w:rsidR="00F13643" w:rsidRPr="00205C60">
        <w:rPr>
          <w:rFonts w:ascii="Verdana" w:hAnsi="Verdana" w:cs="Arial"/>
          <w:i/>
          <w:iCs/>
          <w:sz w:val="20"/>
        </w:rPr>
        <w:t>Unidad de Aseguramiento de Ingresos y Gestión de Pérdidas de Energía</w:t>
      </w:r>
      <w:r w:rsidR="00BA3B5F" w:rsidRPr="00205C60">
        <w:rPr>
          <w:rFonts w:ascii="Verdana" w:hAnsi="Verdana" w:cs="Arial"/>
          <w:i/>
          <w:iCs/>
          <w:sz w:val="20"/>
        </w:rPr>
        <w:t>, sistema SIGE.</w:t>
      </w:r>
    </w:p>
    <w:p w14:paraId="56DD026D" w14:textId="21FFB479" w:rsidR="00016B97" w:rsidRPr="00205C60" w:rsidRDefault="00016B97" w:rsidP="00016B97">
      <w:pPr>
        <w:jc w:val="both"/>
        <w:rPr>
          <w:rFonts w:ascii="Verdana" w:hAnsi="Verdana" w:cs="Arial"/>
          <w:sz w:val="22"/>
          <w:szCs w:val="22"/>
        </w:rPr>
      </w:pPr>
    </w:p>
    <w:p w14:paraId="3CA7EEEB" w14:textId="743BADBA" w:rsidR="006F162B" w:rsidRPr="00205C60" w:rsidRDefault="006F162B" w:rsidP="00DB125A">
      <w:pPr>
        <w:jc w:val="both"/>
        <w:rPr>
          <w:rFonts w:ascii="Verdana" w:hAnsi="Verdana" w:cs="Arial"/>
          <w:sz w:val="22"/>
          <w:szCs w:val="22"/>
        </w:rPr>
      </w:pPr>
      <w:r w:rsidRPr="00205C60">
        <w:rPr>
          <w:rFonts w:ascii="Verdana" w:hAnsi="Verdana" w:cs="Arial"/>
          <w:sz w:val="22"/>
          <w:szCs w:val="22"/>
        </w:rPr>
        <w:t>1</w:t>
      </w:r>
      <w:r w:rsidR="0003679B" w:rsidRPr="00205C60">
        <w:rPr>
          <w:rFonts w:ascii="Verdana" w:hAnsi="Verdana" w:cs="Arial"/>
          <w:sz w:val="22"/>
          <w:szCs w:val="22"/>
        </w:rPr>
        <w:t>/ Giga</w:t>
      </w:r>
      <w:r w:rsidRPr="00205C60">
        <w:rPr>
          <w:rFonts w:ascii="Verdana" w:hAnsi="Verdana" w:cs="Arial"/>
          <w:sz w:val="22"/>
          <w:szCs w:val="22"/>
        </w:rPr>
        <w:t xml:space="preserve"> Watts-horas, medida de la energía (potencia por un determinado número de horas ya sea producida o consumida). Equivale a 1.000.000.000 watts-hora o vatio-hora.</w:t>
      </w:r>
    </w:p>
    <w:p w14:paraId="3CA7EEEC" w14:textId="539D2755" w:rsidR="00F209D3" w:rsidRPr="00205C60" w:rsidRDefault="006F162B" w:rsidP="00DB125A">
      <w:pPr>
        <w:jc w:val="both"/>
        <w:rPr>
          <w:rFonts w:ascii="Verdana" w:hAnsi="Verdana" w:cs="Arial"/>
          <w:sz w:val="22"/>
          <w:szCs w:val="22"/>
        </w:rPr>
      </w:pPr>
      <w:r w:rsidRPr="00205C60">
        <w:rPr>
          <w:rFonts w:ascii="Verdana" w:hAnsi="Verdana" w:cs="Arial"/>
          <w:sz w:val="22"/>
          <w:szCs w:val="22"/>
        </w:rPr>
        <w:lastRenderedPageBreak/>
        <w:t>2</w:t>
      </w:r>
      <w:r w:rsidR="0003679B" w:rsidRPr="00205C60">
        <w:rPr>
          <w:rFonts w:ascii="Verdana" w:hAnsi="Verdana" w:cs="Arial"/>
          <w:sz w:val="22"/>
          <w:szCs w:val="22"/>
        </w:rPr>
        <w:t>/ Se</w:t>
      </w:r>
      <w:r w:rsidR="00DB125A" w:rsidRPr="00205C60">
        <w:rPr>
          <w:rFonts w:ascii="Verdana" w:hAnsi="Verdana" w:cs="Arial"/>
          <w:sz w:val="22"/>
          <w:szCs w:val="22"/>
        </w:rPr>
        <w:t xml:space="preserve"> consideran </w:t>
      </w:r>
      <w:r w:rsidR="00950426" w:rsidRPr="00205C60">
        <w:rPr>
          <w:rFonts w:ascii="Verdana" w:hAnsi="Verdana" w:cs="Arial"/>
          <w:sz w:val="22"/>
          <w:szCs w:val="22"/>
        </w:rPr>
        <w:t xml:space="preserve">las </w:t>
      </w:r>
      <w:r w:rsidR="00DB125A" w:rsidRPr="00205C60">
        <w:rPr>
          <w:rFonts w:ascii="Verdana" w:hAnsi="Verdana" w:cs="Arial"/>
          <w:sz w:val="22"/>
          <w:szCs w:val="22"/>
        </w:rPr>
        <w:t xml:space="preserve">pérdidas técnicas </w:t>
      </w:r>
      <w:r w:rsidR="00950426" w:rsidRPr="00205C60">
        <w:rPr>
          <w:rFonts w:ascii="Verdana" w:hAnsi="Verdana" w:cs="Arial"/>
          <w:sz w:val="22"/>
          <w:szCs w:val="22"/>
        </w:rPr>
        <w:t xml:space="preserve">como </w:t>
      </w:r>
      <w:r w:rsidR="00DB125A" w:rsidRPr="00205C60">
        <w:rPr>
          <w:rFonts w:ascii="Verdana" w:hAnsi="Verdana" w:cs="Arial"/>
          <w:sz w:val="22"/>
          <w:szCs w:val="22"/>
        </w:rPr>
        <w:t>aquella potencia y energía que se pierde en las redes por la naturaleza del funcionamiento de los elementos que las componen, principalmente líneas y transformadores</w:t>
      </w:r>
      <w:r w:rsidR="00950426" w:rsidRPr="00205C60">
        <w:rPr>
          <w:rFonts w:ascii="Verdana" w:hAnsi="Verdana" w:cs="Arial"/>
          <w:sz w:val="22"/>
          <w:szCs w:val="22"/>
        </w:rPr>
        <w:t xml:space="preserve"> y las no técnicas por hurto</w:t>
      </w:r>
      <w:r w:rsidR="00DB125A" w:rsidRPr="00205C60">
        <w:rPr>
          <w:rFonts w:ascii="Verdana" w:hAnsi="Verdana" w:cs="Arial"/>
          <w:sz w:val="22"/>
          <w:szCs w:val="22"/>
        </w:rPr>
        <w:t>.</w:t>
      </w:r>
    </w:p>
    <w:p w14:paraId="3CA7EEF0" w14:textId="77777777" w:rsidR="00CD470F" w:rsidRPr="00205C60" w:rsidRDefault="00CD470F" w:rsidP="00DB125A">
      <w:pPr>
        <w:jc w:val="both"/>
        <w:rPr>
          <w:rFonts w:ascii="Verdana" w:hAnsi="Verdana"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6"/>
        <w:gridCol w:w="1559"/>
        <w:gridCol w:w="1559"/>
        <w:gridCol w:w="1607"/>
      </w:tblGrid>
      <w:tr w:rsidR="000A05D7" w:rsidRPr="00205C60" w14:paraId="3CA7EEF2" w14:textId="77777777" w:rsidTr="00D37B6E">
        <w:trPr>
          <w:trHeight w:val="347"/>
          <w:jc w:val="center"/>
        </w:trPr>
        <w:tc>
          <w:tcPr>
            <w:tcW w:w="5851" w:type="dxa"/>
            <w:gridSpan w:val="4"/>
            <w:vAlign w:val="center"/>
          </w:tcPr>
          <w:p w14:paraId="3CA7EEF1" w14:textId="77777777" w:rsidR="000A05D7" w:rsidRPr="00205C60" w:rsidRDefault="00F660A5" w:rsidP="00D37B6E">
            <w:pPr>
              <w:jc w:val="center"/>
              <w:rPr>
                <w:rFonts w:ascii="Verdana" w:hAnsi="Verdana" w:cs="Arial"/>
                <w:b/>
                <w:sz w:val="22"/>
                <w:szCs w:val="22"/>
              </w:rPr>
            </w:pPr>
            <w:r w:rsidRPr="00205C60">
              <w:rPr>
                <w:rFonts w:ascii="Verdana" w:hAnsi="Verdana" w:cs="Arial"/>
                <w:b/>
                <w:sz w:val="22"/>
                <w:szCs w:val="22"/>
              </w:rPr>
              <w:t>Índices de calidad</w:t>
            </w:r>
          </w:p>
        </w:tc>
      </w:tr>
      <w:tr w:rsidR="003070B0" w:rsidRPr="00205C60" w14:paraId="3CA7EEF7" w14:textId="77777777" w:rsidTr="00D37B6E">
        <w:trPr>
          <w:jc w:val="center"/>
        </w:trPr>
        <w:tc>
          <w:tcPr>
            <w:tcW w:w="1126" w:type="dxa"/>
            <w:vAlign w:val="center"/>
          </w:tcPr>
          <w:p w14:paraId="3CA7EEF3" w14:textId="77777777" w:rsidR="003070B0" w:rsidRPr="00205C60" w:rsidRDefault="00F660A5" w:rsidP="00D37B6E">
            <w:pPr>
              <w:jc w:val="center"/>
              <w:rPr>
                <w:rFonts w:ascii="Verdana" w:hAnsi="Verdana" w:cs="Arial"/>
                <w:b/>
                <w:sz w:val="22"/>
                <w:szCs w:val="22"/>
              </w:rPr>
            </w:pPr>
            <w:r w:rsidRPr="00205C60">
              <w:rPr>
                <w:rFonts w:ascii="Verdana" w:hAnsi="Verdana" w:cs="Arial"/>
                <w:b/>
                <w:sz w:val="22"/>
                <w:szCs w:val="22"/>
              </w:rPr>
              <w:t>Año</w:t>
            </w:r>
          </w:p>
        </w:tc>
        <w:tc>
          <w:tcPr>
            <w:tcW w:w="1559" w:type="dxa"/>
            <w:vAlign w:val="center"/>
          </w:tcPr>
          <w:p w14:paraId="3CA7EEF4" w14:textId="77777777" w:rsidR="003070B0" w:rsidRPr="00205C60" w:rsidRDefault="003070B0" w:rsidP="00D37B6E">
            <w:pPr>
              <w:jc w:val="center"/>
              <w:rPr>
                <w:rFonts w:ascii="Verdana" w:hAnsi="Verdana" w:cs="Arial"/>
                <w:b/>
                <w:sz w:val="22"/>
                <w:szCs w:val="22"/>
              </w:rPr>
            </w:pPr>
            <w:r w:rsidRPr="00205C60">
              <w:rPr>
                <w:rFonts w:ascii="Verdana" w:hAnsi="Verdana" w:cs="Arial"/>
                <w:b/>
                <w:sz w:val="22"/>
                <w:szCs w:val="22"/>
              </w:rPr>
              <w:t>DPS 1/</w:t>
            </w:r>
          </w:p>
        </w:tc>
        <w:tc>
          <w:tcPr>
            <w:tcW w:w="1559" w:type="dxa"/>
            <w:vAlign w:val="center"/>
          </w:tcPr>
          <w:p w14:paraId="3CA7EEF5" w14:textId="77777777" w:rsidR="003070B0" w:rsidRPr="00205C60" w:rsidRDefault="003070B0" w:rsidP="00D37B6E">
            <w:pPr>
              <w:jc w:val="center"/>
              <w:rPr>
                <w:rFonts w:ascii="Verdana" w:hAnsi="Verdana" w:cs="Arial"/>
                <w:b/>
                <w:sz w:val="22"/>
                <w:szCs w:val="22"/>
              </w:rPr>
            </w:pPr>
            <w:r w:rsidRPr="00205C60">
              <w:rPr>
                <w:rFonts w:ascii="Verdana" w:hAnsi="Verdana" w:cs="Arial"/>
                <w:b/>
                <w:sz w:val="22"/>
                <w:szCs w:val="22"/>
              </w:rPr>
              <w:t>FPI 2/</w:t>
            </w:r>
          </w:p>
        </w:tc>
        <w:tc>
          <w:tcPr>
            <w:tcW w:w="1607" w:type="dxa"/>
            <w:vAlign w:val="center"/>
          </w:tcPr>
          <w:p w14:paraId="3CA7EEF6" w14:textId="77777777" w:rsidR="003070B0" w:rsidRPr="00205C60" w:rsidRDefault="003070B0" w:rsidP="00D37B6E">
            <w:pPr>
              <w:jc w:val="center"/>
              <w:rPr>
                <w:rFonts w:ascii="Verdana" w:hAnsi="Verdana" w:cs="Arial"/>
                <w:b/>
                <w:sz w:val="22"/>
                <w:szCs w:val="22"/>
              </w:rPr>
            </w:pPr>
            <w:r w:rsidRPr="00205C60">
              <w:rPr>
                <w:rFonts w:ascii="Verdana" w:hAnsi="Verdana" w:cs="Arial"/>
                <w:b/>
                <w:sz w:val="22"/>
                <w:szCs w:val="22"/>
              </w:rPr>
              <w:t>DPIR 3/</w:t>
            </w:r>
          </w:p>
        </w:tc>
      </w:tr>
      <w:tr w:rsidR="00434C55" w:rsidRPr="00205C60" w14:paraId="3CA7EF06" w14:textId="77777777" w:rsidTr="00D37B6E">
        <w:trPr>
          <w:jc w:val="center"/>
        </w:trPr>
        <w:tc>
          <w:tcPr>
            <w:tcW w:w="1126" w:type="dxa"/>
            <w:vAlign w:val="center"/>
          </w:tcPr>
          <w:p w14:paraId="3CA7EF02" w14:textId="77777777" w:rsidR="00434C55" w:rsidRPr="00205C60" w:rsidRDefault="00434C55" w:rsidP="00D37B6E">
            <w:pPr>
              <w:jc w:val="center"/>
              <w:rPr>
                <w:rFonts w:ascii="Verdana" w:hAnsi="Verdana" w:cs="Arial"/>
                <w:sz w:val="22"/>
                <w:szCs w:val="22"/>
              </w:rPr>
            </w:pPr>
            <w:r w:rsidRPr="00205C60">
              <w:rPr>
                <w:rFonts w:ascii="Verdana" w:hAnsi="Verdana" w:cs="Arial"/>
                <w:sz w:val="22"/>
                <w:szCs w:val="22"/>
              </w:rPr>
              <w:t>2020</w:t>
            </w:r>
          </w:p>
        </w:tc>
        <w:tc>
          <w:tcPr>
            <w:tcW w:w="1559" w:type="dxa"/>
            <w:vAlign w:val="center"/>
          </w:tcPr>
          <w:p w14:paraId="3CA7EF03" w14:textId="77777777" w:rsidR="00434C55" w:rsidRPr="00205C60" w:rsidRDefault="00434C55" w:rsidP="00D37B6E">
            <w:pPr>
              <w:jc w:val="center"/>
              <w:rPr>
                <w:rFonts w:ascii="Verdana" w:hAnsi="Verdana" w:cs="Arial"/>
                <w:sz w:val="22"/>
                <w:szCs w:val="22"/>
              </w:rPr>
            </w:pPr>
            <w:r w:rsidRPr="00205C60">
              <w:rPr>
                <w:rFonts w:ascii="Verdana" w:hAnsi="Verdana" w:cs="Arial"/>
                <w:sz w:val="22"/>
                <w:szCs w:val="22"/>
              </w:rPr>
              <w:t>N.D.</w:t>
            </w:r>
          </w:p>
        </w:tc>
        <w:tc>
          <w:tcPr>
            <w:tcW w:w="1559" w:type="dxa"/>
            <w:vAlign w:val="center"/>
          </w:tcPr>
          <w:p w14:paraId="3CA7EF04" w14:textId="77777777" w:rsidR="00434C55" w:rsidRPr="00205C60" w:rsidRDefault="00434C55" w:rsidP="00D37B6E">
            <w:pPr>
              <w:jc w:val="center"/>
              <w:rPr>
                <w:rFonts w:ascii="Verdana" w:hAnsi="Verdana" w:cs="Arial"/>
                <w:sz w:val="22"/>
                <w:szCs w:val="22"/>
              </w:rPr>
            </w:pPr>
            <w:r w:rsidRPr="00205C60">
              <w:rPr>
                <w:rFonts w:ascii="Verdana" w:hAnsi="Verdana" w:cs="Arial"/>
                <w:sz w:val="22"/>
                <w:szCs w:val="22"/>
              </w:rPr>
              <w:t>5,67</w:t>
            </w:r>
          </w:p>
        </w:tc>
        <w:tc>
          <w:tcPr>
            <w:tcW w:w="1607" w:type="dxa"/>
            <w:vAlign w:val="center"/>
          </w:tcPr>
          <w:p w14:paraId="3CA7EF05" w14:textId="77777777" w:rsidR="00434C55" w:rsidRPr="00205C60" w:rsidRDefault="00434C55" w:rsidP="00D37B6E">
            <w:pPr>
              <w:jc w:val="center"/>
              <w:rPr>
                <w:rFonts w:ascii="Verdana" w:hAnsi="Verdana" w:cs="Arial"/>
                <w:sz w:val="22"/>
                <w:szCs w:val="22"/>
              </w:rPr>
            </w:pPr>
            <w:r w:rsidRPr="00205C60">
              <w:rPr>
                <w:rFonts w:ascii="Verdana" w:hAnsi="Verdana" w:cs="Arial"/>
                <w:sz w:val="22"/>
                <w:szCs w:val="22"/>
              </w:rPr>
              <w:t>3,51</w:t>
            </w:r>
          </w:p>
        </w:tc>
      </w:tr>
      <w:tr w:rsidR="00F34496" w:rsidRPr="00205C60" w14:paraId="2831C26B" w14:textId="77777777" w:rsidTr="00D37B6E">
        <w:trPr>
          <w:jc w:val="center"/>
        </w:trPr>
        <w:tc>
          <w:tcPr>
            <w:tcW w:w="1126" w:type="dxa"/>
            <w:vAlign w:val="center"/>
          </w:tcPr>
          <w:p w14:paraId="69234DA1" w14:textId="656A239D" w:rsidR="00F34496" w:rsidRPr="00205C60" w:rsidRDefault="00F34496" w:rsidP="00D37B6E">
            <w:pPr>
              <w:jc w:val="center"/>
              <w:rPr>
                <w:rFonts w:ascii="Verdana" w:hAnsi="Verdana" w:cs="Arial"/>
                <w:sz w:val="22"/>
                <w:szCs w:val="22"/>
              </w:rPr>
            </w:pPr>
            <w:r w:rsidRPr="00205C60">
              <w:rPr>
                <w:rFonts w:ascii="Verdana" w:hAnsi="Verdana" w:cs="Arial"/>
                <w:sz w:val="22"/>
                <w:szCs w:val="22"/>
              </w:rPr>
              <w:t>2021</w:t>
            </w:r>
          </w:p>
        </w:tc>
        <w:tc>
          <w:tcPr>
            <w:tcW w:w="1559" w:type="dxa"/>
            <w:vAlign w:val="center"/>
          </w:tcPr>
          <w:p w14:paraId="0A66132D" w14:textId="18D7C2C7" w:rsidR="00F34496" w:rsidRPr="00205C60" w:rsidRDefault="00563511" w:rsidP="00D37B6E">
            <w:pPr>
              <w:jc w:val="center"/>
              <w:rPr>
                <w:rFonts w:ascii="Verdana" w:hAnsi="Verdana" w:cs="Arial"/>
                <w:sz w:val="22"/>
                <w:szCs w:val="22"/>
              </w:rPr>
            </w:pPr>
            <w:proofErr w:type="gramStart"/>
            <w:r w:rsidRPr="00205C60">
              <w:rPr>
                <w:rFonts w:ascii="Verdana" w:hAnsi="Verdana" w:cs="Arial"/>
                <w:sz w:val="22"/>
                <w:szCs w:val="22"/>
              </w:rPr>
              <w:t>N.D</w:t>
            </w:r>
            <w:proofErr w:type="gramEnd"/>
          </w:p>
        </w:tc>
        <w:tc>
          <w:tcPr>
            <w:tcW w:w="1559" w:type="dxa"/>
            <w:vAlign w:val="center"/>
          </w:tcPr>
          <w:p w14:paraId="08FA583A" w14:textId="3379CE3F" w:rsidR="00F34496" w:rsidRPr="00205C60" w:rsidRDefault="00563511" w:rsidP="00D37B6E">
            <w:pPr>
              <w:jc w:val="center"/>
              <w:rPr>
                <w:rFonts w:ascii="Verdana" w:hAnsi="Verdana" w:cs="Arial"/>
                <w:sz w:val="22"/>
                <w:szCs w:val="22"/>
              </w:rPr>
            </w:pPr>
            <w:r w:rsidRPr="00205C60">
              <w:rPr>
                <w:rFonts w:ascii="Verdana" w:hAnsi="Verdana" w:cs="Arial"/>
                <w:sz w:val="22"/>
                <w:szCs w:val="22"/>
              </w:rPr>
              <w:t>4,74</w:t>
            </w:r>
          </w:p>
        </w:tc>
        <w:tc>
          <w:tcPr>
            <w:tcW w:w="1607" w:type="dxa"/>
            <w:vAlign w:val="center"/>
          </w:tcPr>
          <w:p w14:paraId="0717695D" w14:textId="531633D9" w:rsidR="00F34496" w:rsidRPr="00205C60" w:rsidRDefault="00563511" w:rsidP="00D37B6E">
            <w:pPr>
              <w:jc w:val="center"/>
              <w:rPr>
                <w:rFonts w:ascii="Verdana" w:hAnsi="Verdana" w:cs="Arial"/>
                <w:sz w:val="22"/>
                <w:szCs w:val="22"/>
              </w:rPr>
            </w:pPr>
            <w:r w:rsidRPr="00205C60">
              <w:rPr>
                <w:rFonts w:ascii="Verdana" w:hAnsi="Verdana" w:cs="Arial"/>
                <w:sz w:val="22"/>
                <w:szCs w:val="22"/>
              </w:rPr>
              <w:t>3,3</w:t>
            </w:r>
          </w:p>
        </w:tc>
      </w:tr>
      <w:tr w:rsidR="002B421B" w:rsidRPr="00205C60" w14:paraId="66459ED5" w14:textId="77777777" w:rsidTr="00D37B6E">
        <w:trPr>
          <w:jc w:val="center"/>
        </w:trPr>
        <w:tc>
          <w:tcPr>
            <w:tcW w:w="1126" w:type="dxa"/>
            <w:vAlign w:val="center"/>
          </w:tcPr>
          <w:p w14:paraId="18475616" w14:textId="57A363F4" w:rsidR="002B421B" w:rsidRPr="00205C60" w:rsidRDefault="002B421B" w:rsidP="00D37B6E">
            <w:pPr>
              <w:jc w:val="center"/>
              <w:rPr>
                <w:rFonts w:ascii="Verdana" w:hAnsi="Verdana" w:cs="Arial"/>
                <w:sz w:val="22"/>
                <w:szCs w:val="22"/>
              </w:rPr>
            </w:pPr>
            <w:r w:rsidRPr="00205C60">
              <w:rPr>
                <w:rFonts w:ascii="Verdana" w:hAnsi="Verdana" w:cs="Arial"/>
                <w:sz w:val="22"/>
                <w:szCs w:val="22"/>
              </w:rPr>
              <w:t>2022</w:t>
            </w:r>
          </w:p>
        </w:tc>
        <w:tc>
          <w:tcPr>
            <w:tcW w:w="1559" w:type="dxa"/>
            <w:vAlign w:val="center"/>
          </w:tcPr>
          <w:p w14:paraId="03BE5AFE" w14:textId="5A3DD686" w:rsidR="002B421B" w:rsidRPr="00205C60" w:rsidRDefault="002B421B" w:rsidP="00D37B6E">
            <w:pPr>
              <w:jc w:val="center"/>
              <w:rPr>
                <w:rFonts w:ascii="Verdana" w:hAnsi="Verdana" w:cs="Arial"/>
                <w:sz w:val="22"/>
                <w:szCs w:val="22"/>
              </w:rPr>
            </w:pPr>
            <w:proofErr w:type="gramStart"/>
            <w:r w:rsidRPr="00205C60">
              <w:rPr>
                <w:rFonts w:ascii="Verdana" w:hAnsi="Verdana" w:cs="Arial"/>
                <w:sz w:val="22"/>
                <w:szCs w:val="22"/>
              </w:rPr>
              <w:t>N.D</w:t>
            </w:r>
            <w:proofErr w:type="gramEnd"/>
          </w:p>
        </w:tc>
        <w:tc>
          <w:tcPr>
            <w:tcW w:w="1559" w:type="dxa"/>
            <w:vAlign w:val="center"/>
          </w:tcPr>
          <w:p w14:paraId="38B58350" w14:textId="7A5E1D04" w:rsidR="002B421B" w:rsidRPr="00205C60" w:rsidRDefault="002B421B" w:rsidP="00D37B6E">
            <w:pPr>
              <w:jc w:val="center"/>
              <w:rPr>
                <w:rFonts w:ascii="Verdana" w:hAnsi="Verdana" w:cs="Arial"/>
                <w:sz w:val="22"/>
                <w:szCs w:val="22"/>
              </w:rPr>
            </w:pPr>
            <w:r w:rsidRPr="00205C60">
              <w:rPr>
                <w:rFonts w:ascii="Verdana" w:hAnsi="Verdana" w:cs="Arial"/>
                <w:sz w:val="22"/>
                <w:szCs w:val="22"/>
              </w:rPr>
              <w:t>6,71</w:t>
            </w:r>
          </w:p>
        </w:tc>
        <w:tc>
          <w:tcPr>
            <w:tcW w:w="1607" w:type="dxa"/>
            <w:vAlign w:val="center"/>
          </w:tcPr>
          <w:p w14:paraId="267B6104" w14:textId="51CA9FF1" w:rsidR="002B421B" w:rsidRPr="00205C60" w:rsidRDefault="002B421B" w:rsidP="00D37B6E">
            <w:pPr>
              <w:jc w:val="center"/>
              <w:rPr>
                <w:rFonts w:ascii="Verdana" w:hAnsi="Verdana" w:cs="Arial"/>
                <w:sz w:val="22"/>
                <w:szCs w:val="22"/>
              </w:rPr>
            </w:pPr>
            <w:r w:rsidRPr="00205C60">
              <w:rPr>
                <w:rFonts w:ascii="Verdana" w:hAnsi="Verdana" w:cs="Arial"/>
                <w:sz w:val="22"/>
                <w:szCs w:val="22"/>
              </w:rPr>
              <w:t>6,31</w:t>
            </w:r>
          </w:p>
        </w:tc>
      </w:tr>
    </w:tbl>
    <w:p w14:paraId="3CA7EF07" w14:textId="77777777" w:rsidR="00AD6995" w:rsidRPr="00205C60" w:rsidRDefault="001E17AF" w:rsidP="001E17AF">
      <w:pPr>
        <w:jc w:val="both"/>
        <w:rPr>
          <w:rFonts w:ascii="Verdana" w:hAnsi="Verdana" w:cs="Arial"/>
          <w:sz w:val="22"/>
          <w:szCs w:val="22"/>
        </w:rPr>
      </w:pPr>
      <w:r w:rsidRPr="00205C60">
        <w:rPr>
          <w:rFonts w:ascii="Verdana" w:hAnsi="Verdana" w:cs="Arial"/>
          <w:sz w:val="22"/>
          <w:szCs w:val="22"/>
        </w:rPr>
        <w:t xml:space="preserve">                                </w:t>
      </w:r>
    </w:p>
    <w:p w14:paraId="3CA7EF08" w14:textId="19D6CA16" w:rsidR="00900942" w:rsidRPr="00205C60" w:rsidRDefault="00AD6995" w:rsidP="001E17AF">
      <w:pPr>
        <w:jc w:val="both"/>
        <w:rPr>
          <w:rFonts w:ascii="Verdana" w:hAnsi="Verdana" w:cs="Arial"/>
          <w:sz w:val="22"/>
          <w:szCs w:val="22"/>
        </w:rPr>
      </w:pPr>
      <w:r w:rsidRPr="00205C60">
        <w:rPr>
          <w:rFonts w:ascii="Verdana" w:hAnsi="Verdana" w:cs="Arial"/>
          <w:sz w:val="22"/>
          <w:szCs w:val="22"/>
        </w:rPr>
        <w:tab/>
      </w:r>
      <w:r w:rsidRPr="00205C60">
        <w:rPr>
          <w:rFonts w:ascii="Verdana" w:hAnsi="Verdana" w:cs="Arial"/>
          <w:sz w:val="22"/>
          <w:szCs w:val="22"/>
        </w:rPr>
        <w:tab/>
        <w:t xml:space="preserve">   </w:t>
      </w:r>
      <w:r w:rsidR="00F209D3" w:rsidRPr="00205C60">
        <w:rPr>
          <w:rFonts w:ascii="Verdana" w:hAnsi="Verdana" w:cs="Arial"/>
          <w:sz w:val="22"/>
          <w:szCs w:val="22"/>
        </w:rPr>
        <w:t>1</w:t>
      </w:r>
      <w:r w:rsidR="00563511" w:rsidRPr="00205C60">
        <w:rPr>
          <w:rFonts w:ascii="Verdana" w:hAnsi="Verdana" w:cs="Arial"/>
          <w:sz w:val="22"/>
          <w:szCs w:val="22"/>
        </w:rPr>
        <w:t>/ Disponibilidad</w:t>
      </w:r>
      <w:r w:rsidR="00F209D3" w:rsidRPr="00205C60">
        <w:rPr>
          <w:rFonts w:ascii="Verdana" w:hAnsi="Verdana" w:cs="Arial"/>
          <w:sz w:val="22"/>
          <w:szCs w:val="22"/>
        </w:rPr>
        <w:t xml:space="preserve"> promedio del servicio (porcentaje)</w:t>
      </w:r>
      <w:r w:rsidR="00A64A81" w:rsidRPr="00205C60">
        <w:rPr>
          <w:rFonts w:ascii="Verdana" w:hAnsi="Verdana" w:cs="Arial"/>
          <w:sz w:val="22"/>
          <w:szCs w:val="22"/>
        </w:rPr>
        <w:t xml:space="preserve"> (DPS)</w:t>
      </w:r>
    </w:p>
    <w:p w14:paraId="3CA7EF09" w14:textId="6761CB7F" w:rsidR="00F209D3" w:rsidRPr="00205C60" w:rsidRDefault="001E17AF" w:rsidP="001E17AF">
      <w:pPr>
        <w:jc w:val="both"/>
        <w:rPr>
          <w:rFonts w:ascii="Verdana" w:hAnsi="Verdana" w:cs="Arial"/>
          <w:sz w:val="22"/>
          <w:szCs w:val="22"/>
        </w:rPr>
      </w:pPr>
      <w:r w:rsidRPr="00205C60">
        <w:rPr>
          <w:rFonts w:ascii="Verdana" w:hAnsi="Verdana" w:cs="Arial"/>
          <w:sz w:val="22"/>
          <w:szCs w:val="22"/>
        </w:rPr>
        <w:t xml:space="preserve">                     </w:t>
      </w:r>
      <w:r w:rsidR="00F209D3" w:rsidRPr="00205C60">
        <w:rPr>
          <w:rFonts w:ascii="Verdana" w:hAnsi="Verdana" w:cs="Arial"/>
          <w:sz w:val="22"/>
          <w:szCs w:val="22"/>
        </w:rPr>
        <w:t>2</w:t>
      </w:r>
      <w:r w:rsidR="00563511" w:rsidRPr="00205C60">
        <w:rPr>
          <w:rFonts w:ascii="Verdana" w:hAnsi="Verdana" w:cs="Arial"/>
          <w:sz w:val="22"/>
          <w:szCs w:val="22"/>
        </w:rPr>
        <w:t>/ Frecuencia</w:t>
      </w:r>
      <w:r w:rsidR="00F209D3" w:rsidRPr="00205C60">
        <w:rPr>
          <w:rFonts w:ascii="Verdana" w:hAnsi="Verdana" w:cs="Arial"/>
          <w:sz w:val="22"/>
          <w:szCs w:val="22"/>
        </w:rPr>
        <w:t xml:space="preserve"> promedio de interrupción (número de veces</w:t>
      </w:r>
      <w:r w:rsidR="00B54820" w:rsidRPr="00205C60">
        <w:rPr>
          <w:rFonts w:ascii="Verdana" w:hAnsi="Verdana" w:cs="Arial"/>
          <w:sz w:val="22"/>
          <w:szCs w:val="22"/>
        </w:rPr>
        <w:t xml:space="preserve"> al mes</w:t>
      </w:r>
      <w:r w:rsidR="00F209D3" w:rsidRPr="00205C60">
        <w:rPr>
          <w:rFonts w:ascii="Verdana" w:hAnsi="Verdana" w:cs="Arial"/>
          <w:sz w:val="22"/>
          <w:szCs w:val="22"/>
        </w:rPr>
        <w:t>)</w:t>
      </w:r>
    </w:p>
    <w:p w14:paraId="3CA7EF0A" w14:textId="62AA068B" w:rsidR="00F209D3" w:rsidRPr="00205C60" w:rsidRDefault="001E17AF" w:rsidP="001E17AF">
      <w:pPr>
        <w:jc w:val="both"/>
        <w:rPr>
          <w:rFonts w:ascii="Verdana" w:hAnsi="Verdana" w:cs="Arial"/>
          <w:sz w:val="22"/>
          <w:szCs w:val="22"/>
        </w:rPr>
      </w:pPr>
      <w:r w:rsidRPr="00205C60">
        <w:rPr>
          <w:rFonts w:ascii="Verdana" w:hAnsi="Verdana" w:cs="Arial"/>
          <w:sz w:val="22"/>
          <w:szCs w:val="22"/>
        </w:rPr>
        <w:t xml:space="preserve">                     </w:t>
      </w:r>
      <w:r w:rsidR="00F209D3" w:rsidRPr="00205C60">
        <w:rPr>
          <w:rFonts w:ascii="Verdana" w:hAnsi="Verdana" w:cs="Arial"/>
          <w:sz w:val="22"/>
          <w:szCs w:val="22"/>
        </w:rPr>
        <w:t>3</w:t>
      </w:r>
      <w:r w:rsidR="00563511" w:rsidRPr="00205C60">
        <w:rPr>
          <w:rFonts w:ascii="Verdana" w:hAnsi="Verdana" w:cs="Arial"/>
          <w:sz w:val="22"/>
          <w:szCs w:val="22"/>
        </w:rPr>
        <w:t>/ Duración</w:t>
      </w:r>
      <w:r w:rsidR="00F209D3" w:rsidRPr="00205C60">
        <w:rPr>
          <w:rFonts w:ascii="Verdana" w:hAnsi="Verdana" w:cs="Arial"/>
          <w:sz w:val="22"/>
          <w:szCs w:val="22"/>
        </w:rPr>
        <w:t xml:space="preserve"> promedio de interrupciones registradas en la red (horas)</w:t>
      </w:r>
    </w:p>
    <w:p w14:paraId="709D63D0" w14:textId="77777777" w:rsidR="00A64A81" w:rsidRPr="00205C60" w:rsidRDefault="001E17AF" w:rsidP="001E17AF">
      <w:pPr>
        <w:rPr>
          <w:rFonts w:ascii="Verdana" w:hAnsi="Verdana" w:cs="Arial"/>
          <w:sz w:val="22"/>
          <w:szCs w:val="22"/>
        </w:rPr>
      </w:pPr>
      <w:r w:rsidRPr="00205C60">
        <w:rPr>
          <w:rFonts w:ascii="Verdana" w:hAnsi="Verdana" w:cs="Arial"/>
          <w:sz w:val="22"/>
          <w:szCs w:val="22"/>
        </w:rPr>
        <w:t xml:space="preserve">                     </w:t>
      </w:r>
    </w:p>
    <w:p w14:paraId="3CA7EF0B" w14:textId="2FC9ED32" w:rsidR="00B1510A" w:rsidRPr="00205C60" w:rsidRDefault="001E17AF" w:rsidP="001E17AF">
      <w:pPr>
        <w:rPr>
          <w:rFonts w:ascii="Verdana" w:hAnsi="Verdana" w:cs="Arial"/>
          <w:sz w:val="22"/>
          <w:szCs w:val="22"/>
        </w:rPr>
      </w:pPr>
      <w:r w:rsidRPr="00205C60">
        <w:rPr>
          <w:rFonts w:ascii="Verdana" w:hAnsi="Verdana" w:cs="Arial"/>
          <w:sz w:val="22"/>
          <w:szCs w:val="22"/>
        </w:rPr>
        <w:t xml:space="preserve">           </w:t>
      </w:r>
      <w:r w:rsidR="00B1510A" w:rsidRPr="00205C60">
        <w:rPr>
          <w:rFonts w:ascii="Verdana" w:hAnsi="Verdana" w:cs="Arial"/>
          <w:sz w:val="22"/>
          <w:szCs w:val="22"/>
        </w:rPr>
        <w:t>Fuente</w:t>
      </w:r>
      <w:r w:rsidR="002E113F" w:rsidRPr="00205C60">
        <w:rPr>
          <w:rFonts w:ascii="Verdana" w:hAnsi="Verdana" w:cs="Arial"/>
          <w:sz w:val="22"/>
          <w:szCs w:val="22"/>
        </w:rPr>
        <w:t>: Sistema de Información Gerencia</w:t>
      </w:r>
      <w:r w:rsidR="005C67BA" w:rsidRPr="00205C60">
        <w:rPr>
          <w:rFonts w:ascii="Verdana" w:hAnsi="Verdana" w:cs="Arial"/>
          <w:sz w:val="22"/>
          <w:szCs w:val="22"/>
        </w:rPr>
        <w:t>l</w:t>
      </w:r>
      <w:r w:rsidR="002E113F" w:rsidRPr="00205C60">
        <w:rPr>
          <w:rFonts w:ascii="Verdana" w:hAnsi="Verdana" w:cs="Arial"/>
          <w:sz w:val="22"/>
          <w:szCs w:val="22"/>
        </w:rPr>
        <w:t xml:space="preserve"> (SIGE).</w:t>
      </w:r>
    </w:p>
    <w:p w14:paraId="3CA7EF0C" w14:textId="77777777" w:rsidR="00EF5F90" w:rsidRPr="00205C60" w:rsidRDefault="00EF5F90" w:rsidP="001E17AF">
      <w:pPr>
        <w:rPr>
          <w:rFonts w:ascii="Verdana" w:hAnsi="Verdana" w:cs="Arial"/>
          <w:sz w:val="22"/>
          <w:szCs w:val="22"/>
        </w:rPr>
      </w:pPr>
    </w:p>
    <w:p w14:paraId="3CA7EF0D" w14:textId="4B7449BF" w:rsidR="00EF5F90" w:rsidRPr="00205C60" w:rsidRDefault="00EF5F90" w:rsidP="00EF5F90">
      <w:pPr>
        <w:jc w:val="both"/>
        <w:rPr>
          <w:rFonts w:ascii="Verdana" w:eastAsia="Calibri" w:hAnsi="Verdana" w:cs="Arial"/>
          <w:sz w:val="22"/>
          <w:szCs w:val="22"/>
          <w:lang w:val="es-CR" w:eastAsia="en-US"/>
        </w:rPr>
      </w:pPr>
      <w:r w:rsidRPr="00205C60">
        <w:rPr>
          <w:rFonts w:ascii="Verdana" w:eastAsia="Calibri" w:hAnsi="Verdana" w:cs="Arial"/>
          <w:sz w:val="22"/>
          <w:szCs w:val="22"/>
          <w:lang w:val="es-CR" w:eastAsia="en-US"/>
        </w:rPr>
        <w:t xml:space="preserve">El DPS ya no se calcula </w:t>
      </w:r>
      <w:r w:rsidR="00CD470F" w:rsidRPr="00205C60">
        <w:rPr>
          <w:rFonts w:ascii="Verdana" w:eastAsia="Calibri" w:hAnsi="Verdana" w:cs="Arial"/>
          <w:sz w:val="22"/>
          <w:szCs w:val="22"/>
          <w:lang w:val="es-CR" w:eastAsia="en-US"/>
        </w:rPr>
        <w:t xml:space="preserve">debido </w:t>
      </w:r>
      <w:r w:rsidRPr="00205C60">
        <w:rPr>
          <w:rFonts w:ascii="Verdana" w:eastAsia="Calibri" w:hAnsi="Verdana" w:cs="Arial"/>
          <w:sz w:val="22"/>
          <w:szCs w:val="22"/>
          <w:lang w:val="es-CR" w:eastAsia="en-US"/>
        </w:rPr>
        <w:t>a que como indicador no existe en ningún marco normativo, ni regulatorio. Tampoco es un indicador que sirva para medir la eficiencia o eficacia en la gestión del sistema.</w:t>
      </w:r>
    </w:p>
    <w:p w14:paraId="3CA7EF0E" w14:textId="77777777" w:rsidR="00EF5F90" w:rsidRPr="00205C60" w:rsidRDefault="00EF5F90" w:rsidP="001E17AF">
      <w:pPr>
        <w:rPr>
          <w:rFonts w:ascii="Verdana" w:hAnsi="Verdana" w:cs="Arial"/>
          <w:sz w:val="22"/>
          <w:szCs w:val="22"/>
        </w:rPr>
      </w:pPr>
    </w:p>
    <w:p w14:paraId="3CA7EF10" w14:textId="77777777" w:rsidR="00D60A58" w:rsidRPr="00205C60" w:rsidRDefault="00D60A58" w:rsidP="00F209D3">
      <w:pPr>
        <w:rPr>
          <w:rFonts w:ascii="Verdana" w:hAnsi="Verdana" w:cs="Arial"/>
          <w:sz w:val="22"/>
          <w:szCs w:val="22"/>
        </w:rPr>
      </w:pPr>
    </w:p>
    <w:p w14:paraId="3CA7EF11" w14:textId="77777777" w:rsidR="009D51F7" w:rsidRPr="00205C60" w:rsidRDefault="009D51F7" w:rsidP="00307E2B">
      <w:pPr>
        <w:pStyle w:val="Ttulo2"/>
        <w:numPr>
          <w:ilvl w:val="1"/>
          <w:numId w:val="1"/>
        </w:numPr>
        <w:tabs>
          <w:tab w:val="clear" w:pos="720"/>
          <w:tab w:val="left" w:pos="708"/>
        </w:tabs>
        <w:rPr>
          <w:rFonts w:ascii="Verdana" w:hAnsi="Verdana" w:cs="Arial"/>
          <w:sz w:val="22"/>
          <w:szCs w:val="22"/>
        </w:rPr>
      </w:pPr>
      <w:bookmarkStart w:id="125" w:name="_Toc104529473"/>
      <w:r w:rsidRPr="00205C60">
        <w:rPr>
          <w:rFonts w:ascii="Verdana" w:hAnsi="Verdana" w:cs="Arial"/>
          <w:sz w:val="22"/>
          <w:szCs w:val="22"/>
        </w:rPr>
        <w:t>Datos Estadísticos de Comercialización</w:t>
      </w:r>
      <w:bookmarkEnd w:id="125"/>
    </w:p>
    <w:p w14:paraId="3CA7EF12" w14:textId="77777777" w:rsidR="006679C8" w:rsidRPr="00205C60" w:rsidRDefault="006679C8" w:rsidP="006679C8">
      <w:pPr>
        <w:rPr>
          <w:rFonts w:ascii="Verdana" w:hAnsi="Verdan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
        <w:gridCol w:w="1624"/>
        <w:gridCol w:w="1686"/>
        <w:gridCol w:w="1806"/>
        <w:gridCol w:w="1395"/>
      </w:tblGrid>
      <w:tr w:rsidR="009D51F7" w:rsidRPr="00205C60" w14:paraId="3CA7EF15" w14:textId="77777777" w:rsidTr="00F767BB">
        <w:trPr>
          <w:trHeight w:val="474"/>
          <w:jc w:val="center"/>
        </w:trPr>
        <w:tc>
          <w:tcPr>
            <w:tcW w:w="7493" w:type="dxa"/>
            <w:gridSpan w:val="5"/>
            <w:vAlign w:val="center"/>
          </w:tcPr>
          <w:p w14:paraId="3CA7EF14" w14:textId="77777777" w:rsidR="009D51F7" w:rsidRPr="00205C60" w:rsidRDefault="00F660A5" w:rsidP="00D37B6E">
            <w:pPr>
              <w:jc w:val="center"/>
              <w:rPr>
                <w:rFonts w:ascii="Verdana" w:hAnsi="Verdana" w:cs="Arial"/>
                <w:b/>
                <w:sz w:val="22"/>
                <w:szCs w:val="22"/>
              </w:rPr>
            </w:pPr>
            <w:r w:rsidRPr="00205C60">
              <w:rPr>
                <w:rFonts w:ascii="Verdana" w:hAnsi="Verdana" w:cs="Arial"/>
                <w:b/>
                <w:sz w:val="22"/>
                <w:szCs w:val="22"/>
              </w:rPr>
              <w:t>Clientes totales y por sectores</w:t>
            </w:r>
          </w:p>
        </w:tc>
      </w:tr>
      <w:tr w:rsidR="009D51F7" w:rsidRPr="00205C60" w14:paraId="3CA7EF1B" w14:textId="77777777" w:rsidTr="00F767BB">
        <w:trPr>
          <w:jc w:val="center"/>
        </w:trPr>
        <w:tc>
          <w:tcPr>
            <w:tcW w:w="982" w:type="dxa"/>
            <w:vAlign w:val="center"/>
          </w:tcPr>
          <w:p w14:paraId="3CA7EF16" w14:textId="77777777" w:rsidR="009D51F7" w:rsidRPr="00205C60" w:rsidRDefault="00F660A5" w:rsidP="00D37B6E">
            <w:pPr>
              <w:jc w:val="center"/>
              <w:rPr>
                <w:rFonts w:ascii="Verdana" w:hAnsi="Verdana" w:cs="Arial"/>
                <w:b/>
                <w:sz w:val="22"/>
                <w:szCs w:val="22"/>
              </w:rPr>
            </w:pPr>
            <w:r w:rsidRPr="00205C60">
              <w:rPr>
                <w:rFonts w:ascii="Verdana" w:hAnsi="Verdana" w:cs="Arial"/>
                <w:b/>
                <w:sz w:val="22"/>
                <w:szCs w:val="22"/>
              </w:rPr>
              <w:t>Año</w:t>
            </w:r>
          </w:p>
        </w:tc>
        <w:tc>
          <w:tcPr>
            <w:tcW w:w="1624" w:type="dxa"/>
            <w:vAlign w:val="center"/>
          </w:tcPr>
          <w:p w14:paraId="3CA7EF17" w14:textId="77777777" w:rsidR="009D51F7" w:rsidRPr="00205C60" w:rsidRDefault="00F660A5" w:rsidP="00D37B6E">
            <w:pPr>
              <w:jc w:val="center"/>
              <w:rPr>
                <w:rFonts w:ascii="Verdana" w:hAnsi="Verdana" w:cs="Arial"/>
                <w:b/>
                <w:sz w:val="22"/>
                <w:szCs w:val="22"/>
              </w:rPr>
            </w:pPr>
            <w:r w:rsidRPr="00205C60">
              <w:rPr>
                <w:rFonts w:ascii="Verdana" w:hAnsi="Verdana" w:cs="Arial"/>
                <w:b/>
                <w:sz w:val="22"/>
                <w:szCs w:val="22"/>
              </w:rPr>
              <w:t>Residencial</w:t>
            </w:r>
          </w:p>
        </w:tc>
        <w:tc>
          <w:tcPr>
            <w:tcW w:w="1686" w:type="dxa"/>
            <w:vAlign w:val="center"/>
          </w:tcPr>
          <w:p w14:paraId="3CA7EF18" w14:textId="77777777" w:rsidR="009D51F7" w:rsidRPr="00205C60" w:rsidRDefault="00F660A5" w:rsidP="00D37B6E">
            <w:pPr>
              <w:jc w:val="center"/>
              <w:rPr>
                <w:rFonts w:ascii="Verdana" w:hAnsi="Verdana" w:cs="Arial"/>
                <w:b/>
                <w:sz w:val="22"/>
                <w:szCs w:val="22"/>
              </w:rPr>
            </w:pPr>
            <w:r w:rsidRPr="00205C60">
              <w:rPr>
                <w:rFonts w:ascii="Verdana" w:hAnsi="Verdana" w:cs="Arial"/>
                <w:b/>
                <w:sz w:val="22"/>
                <w:szCs w:val="22"/>
              </w:rPr>
              <w:t>Comercial</w:t>
            </w:r>
          </w:p>
        </w:tc>
        <w:tc>
          <w:tcPr>
            <w:tcW w:w="1806" w:type="dxa"/>
            <w:vAlign w:val="center"/>
          </w:tcPr>
          <w:p w14:paraId="3CA7EF19" w14:textId="77777777" w:rsidR="009D51F7" w:rsidRPr="00205C60" w:rsidRDefault="00F660A5" w:rsidP="00D37B6E">
            <w:pPr>
              <w:jc w:val="center"/>
              <w:rPr>
                <w:rFonts w:ascii="Verdana" w:hAnsi="Verdana" w:cs="Arial"/>
                <w:b/>
                <w:sz w:val="22"/>
                <w:szCs w:val="22"/>
              </w:rPr>
            </w:pPr>
            <w:r w:rsidRPr="00205C60">
              <w:rPr>
                <w:rFonts w:ascii="Verdana" w:hAnsi="Verdana" w:cs="Arial"/>
                <w:b/>
                <w:sz w:val="22"/>
                <w:szCs w:val="22"/>
              </w:rPr>
              <w:t>Industrial</w:t>
            </w:r>
          </w:p>
        </w:tc>
        <w:tc>
          <w:tcPr>
            <w:tcW w:w="1395" w:type="dxa"/>
            <w:vAlign w:val="center"/>
          </w:tcPr>
          <w:p w14:paraId="3CA7EF1A" w14:textId="77777777" w:rsidR="009D51F7" w:rsidRPr="00205C60" w:rsidRDefault="00F660A5" w:rsidP="00D37B6E">
            <w:pPr>
              <w:jc w:val="center"/>
              <w:rPr>
                <w:rFonts w:ascii="Verdana" w:hAnsi="Verdana" w:cs="Arial"/>
                <w:b/>
                <w:sz w:val="22"/>
                <w:szCs w:val="22"/>
              </w:rPr>
            </w:pPr>
            <w:r w:rsidRPr="00205C60">
              <w:rPr>
                <w:rFonts w:ascii="Verdana" w:hAnsi="Verdana" w:cs="Arial"/>
                <w:b/>
                <w:sz w:val="22"/>
                <w:szCs w:val="22"/>
              </w:rPr>
              <w:t>Total</w:t>
            </w:r>
          </w:p>
        </w:tc>
      </w:tr>
      <w:tr w:rsidR="00022AEA" w:rsidRPr="00205C60" w14:paraId="3CA7EF2D" w14:textId="77777777" w:rsidTr="00F767BB">
        <w:trPr>
          <w:jc w:val="center"/>
        </w:trPr>
        <w:tc>
          <w:tcPr>
            <w:tcW w:w="982" w:type="dxa"/>
            <w:vAlign w:val="center"/>
          </w:tcPr>
          <w:p w14:paraId="3CA7EF28" w14:textId="77777777" w:rsidR="00022AEA" w:rsidRPr="00205C60" w:rsidRDefault="00022AEA" w:rsidP="00D37B6E">
            <w:pPr>
              <w:jc w:val="center"/>
              <w:rPr>
                <w:rFonts w:ascii="Verdana" w:hAnsi="Verdana" w:cs="Arial"/>
                <w:sz w:val="22"/>
                <w:szCs w:val="22"/>
              </w:rPr>
            </w:pPr>
            <w:r w:rsidRPr="00205C60">
              <w:rPr>
                <w:rFonts w:ascii="Verdana" w:hAnsi="Verdana" w:cs="Arial"/>
                <w:sz w:val="22"/>
                <w:szCs w:val="22"/>
              </w:rPr>
              <w:t>2020</w:t>
            </w:r>
          </w:p>
        </w:tc>
        <w:tc>
          <w:tcPr>
            <w:tcW w:w="1624" w:type="dxa"/>
            <w:vAlign w:val="center"/>
          </w:tcPr>
          <w:p w14:paraId="3CA7EF29" w14:textId="77777777" w:rsidR="00022AEA" w:rsidRPr="00205C60" w:rsidRDefault="00DB3165" w:rsidP="00D37B6E">
            <w:pPr>
              <w:jc w:val="center"/>
              <w:rPr>
                <w:rFonts w:ascii="Verdana" w:hAnsi="Verdana" w:cs="Arial"/>
                <w:sz w:val="22"/>
                <w:szCs w:val="22"/>
              </w:rPr>
            </w:pPr>
            <w:r w:rsidRPr="00205C60">
              <w:rPr>
                <w:rFonts w:ascii="Verdana" w:hAnsi="Verdana" w:cs="Arial"/>
                <w:sz w:val="22"/>
                <w:szCs w:val="22"/>
              </w:rPr>
              <w:t>509.553</w:t>
            </w:r>
          </w:p>
        </w:tc>
        <w:tc>
          <w:tcPr>
            <w:tcW w:w="1686" w:type="dxa"/>
            <w:vAlign w:val="center"/>
          </w:tcPr>
          <w:p w14:paraId="3CA7EF2A" w14:textId="77777777" w:rsidR="00022AEA" w:rsidRPr="00205C60" w:rsidRDefault="00DB3165" w:rsidP="00D37B6E">
            <w:pPr>
              <w:jc w:val="center"/>
              <w:rPr>
                <w:rFonts w:ascii="Verdana" w:hAnsi="Verdana" w:cs="Arial"/>
                <w:sz w:val="22"/>
                <w:szCs w:val="22"/>
              </w:rPr>
            </w:pPr>
            <w:r w:rsidRPr="00205C60">
              <w:rPr>
                <w:rFonts w:ascii="Verdana" w:hAnsi="Verdana" w:cs="Arial"/>
                <w:sz w:val="22"/>
                <w:szCs w:val="22"/>
              </w:rPr>
              <w:t>73.588</w:t>
            </w:r>
          </w:p>
        </w:tc>
        <w:tc>
          <w:tcPr>
            <w:tcW w:w="1806" w:type="dxa"/>
            <w:vAlign w:val="center"/>
          </w:tcPr>
          <w:p w14:paraId="3CA7EF2B" w14:textId="77777777" w:rsidR="00022AEA" w:rsidRPr="00205C60" w:rsidRDefault="00DB3165" w:rsidP="00D37B6E">
            <w:pPr>
              <w:jc w:val="center"/>
              <w:rPr>
                <w:rFonts w:ascii="Verdana" w:hAnsi="Verdana" w:cs="Arial"/>
                <w:sz w:val="22"/>
                <w:szCs w:val="22"/>
              </w:rPr>
            </w:pPr>
            <w:r w:rsidRPr="00205C60">
              <w:rPr>
                <w:rFonts w:ascii="Verdana" w:hAnsi="Verdana" w:cs="Arial"/>
                <w:sz w:val="22"/>
                <w:szCs w:val="22"/>
              </w:rPr>
              <w:t>1.567</w:t>
            </w:r>
          </w:p>
        </w:tc>
        <w:tc>
          <w:tcPr>
            <w:tcW w:w="1395" w:type="dxa"/>
            <w:vAlign w:val="center"/>
          </w:tcPr>
          <w:p w14:paraId="3CA7EF2C" w14:textId="77777777" w:rsidR="00022AEA" w:rsidRPr="00205C60" w:rsidRDefault="00DB3165" w:rsidP="00D37B6E">
            <w:pPr>
              <w:jc w:val="center"/>
              <w:rPr>
                <w:rFonts w:ascii="Verdana" w:hAnsi="Verdana" w:cs="Arial"/>
                <w:sz w:val="22"/>
                <w:szCs w:val="22"/>
              </w:rPr>
            </w:pPr>
            <w:r w:rsidRPr="00205C60">
              <w:rPr>
                <w:rFonts w:ascii="Verdana" w:hAnsi="Verdana" w:cs="Arial"/>
                <w:sz w:val="22"/>
                <w:szCs w:val="22"/>
              </w:rPr>
              <w:t>584.708</w:t>
            </w:r>
          </w:p>
        </w:tc>
      </w:tr>
      <w:tr w:rsidR="00F767BB" w:rsidRPr="00205C60" w14:paraId="0BA0EFF7" w14:textId="77777777" w:rsidTr="00F767BB">
        <w:trPr>
          <w:jc w:val="center"/>
        </w:trPr>
        <w:tc>
          <w:tcPr>
            <w:tcW w:w="982" w:type="dxa"/>
            <w:vAlign w:val="center"/>
          </w:tcPr>
          <w:p w14:paraId="747CC175" w14:textId="6AF130AF" w:rsidR="00F767BB" w:rsidRPr="00205C60" w:rsidRDefault="00F767BB" w:rsidP="00D37B6E">
            <w:pPr>
              <w:jc w:val="center"/>
              <w:rPr>
                <w:rFonts w:ascii="Verdana" w:hAnsi="Verdana" w:cs="Arial"/>
                <w:sz w:val="22"/>
                <w:szCs w:val="22"/>
              </w:rPr>
            </w:pPr>
            <w:r w:rsidRPr="00205C60">
              <w:rPr>
                <w:rFonts w:ascii="Verdana" w:hAnsi="Verdana" w:cs="Arial"/>
                <w:sz w:val="22"/>
                <w:szCs w:val="22"/>
              </w:rPr>
              <w:t>2021</w:t>
            </w:r>
          </w:p>
        </w:tc>
        <w:tc>
          <w:tcPr>
            <w:tcW w:w="1624" w:type="dxa"/>
            <w:vAlign w:val="center"/>
          </w:tcPr>
          <w:p w14:paraId="7116AA0D" w14:textId="4385ECA6" w:rsidR="00F767BB" w:rsidRPr="00205C60" w:rsidRDefault="00F767BB" w:rsidP="00D37B6E">
            <w:pPr>
              <w:jc w:val="center"/>
              <w:rPr>
                <w:rFonts w:ascii="Verdana" w:hAnsi="Verdana" w:cs="Arial"/>
                <w:sz w:val="22"/>
                <w:szCs w:val="22"/>
              </w:rPr>
            </w:pPr>
            <w:r w:rsidRPr="00205C60">
              <w:rPr>
                <w:rFonts w:ascii="Verdana" w:hAnsi="Verdana" w:cs="Arial"/>
                <w:sz w:val="22"/>
                <w:szCs w:val="22"/>
              </w:rPr>
              <w:t>517.733</w:t>
            </w:r>
          </w:p>
        </w:tc>
        <w:tc>
          <w:tcPr>
            <w:tcW w:w="1686" w:type="dxa"/>
            <w:vAlign w:val="center"/>
          </w:tcPr>
          <w:p w14:paraId="0D869B01" w14:textId="05D9639D" w:rsidR="00F767BB" w:rsidRPr="00205C60" w:rsidRDefault="00F767BB" w:rsidP="00D37B6E">
            <w:pPr>
              <w:jc w:val="center"/>
              <w:rPr>
                <w:rFonts w:ascii="Verdana" w:hAnsi="Verdana" w:cs="Arial"/>
                <w:sz w:val="22"/>
                <w:szCs w:val="22"/>
              </w:rPr>
            </w:pPr>
            <w:r w:rsidRPr="00205C60">
              <w:rPr>
                <w:rFonts w:ascii="Verdana" w:hAnsi="Verdana" w:cs="Arial"/>
                <w:sz w:val="22"/>
                <w:szCs w:val="22"/>
              </w:rPr>
              <w:t>75.132</w:t>
            </w:r>
          </w:p>
        </w:tc>
        <w:tc>
          <w:tcPr>
            <w:tcW w:w="1806" w:type="dxa"/>
            <w:vAlign w:val="center"/>
          </w:tcPr>
          <w:p w14:paraId="7FF52696" w14:textId="3890B616" w:rsidR="00F767BB" w:rsidRPr="00205C60" w:rsidRDefault="00F767BB" w:rsidP="00D37B6E">
            <w:pPr>
              <w:jc w:val="center"/>
              <w:rPr>
                <w:rFonts w:ascii="Verdana" w:hAnsi="Verdana" w:cs="Arial"/>
                <w:sz w:val="22"/>
                <w:szCs w:val="22"/>
              </w:rPr>
            </w:pPr>
            <w:r w:rsidRPr="00205C60">
              <w:rPr>
                <w:rFonts w:ascii="Verdana" w:hAnsi="Verdana" w:cs="Arial"/>
                <w:sz w:val="22"/>
                <w:szCs w:val="22"/>
              </w:rPr>
              <w:t>1.556</w:t>
            </w:r>
          </w:p>
        </w:tc>
        <w:tc>
          <w:tcPr>
            <w:tcW w:w="1395" w:type="dxa"/>
            <w:vAlign w:val="center"/>
          </w:tcPr>
          <w:p w14:paraId="7AD655A7" w14:textId="0EAE444F" w:rsidR="00F767BB" w:rsidRPr="00205C60" w:rsidRDefault="00F767BB" w:rsidP="00D37B6E">
            <w:pPr>
              <w:jc w:val="center"/>
              <w:rPr>
                <w:rFonts w:ascii="Verdana" w:hAnsi="Verdana" w:cs="Arial"/>
                <w:sz w:val="22"/>
                <w:szCs w:val="22"/>
              </w:rPr>
            </w:pPr>
            <w:r w:rsidRPr="00205C60">
              <w:rPr>
                <w:rFonts w:ascii="Verdana" w:hAnsi="Verdana" w:cs="Arial"/>
                <w:sz w:val="22"/>
                <w:szCs w:val="22"/>
              </w:rPr>
              <w:t>594.421</w:t>
            </w:r>
          </w:p>
        </w:tc>
      </w:tr>
      <w:tr w:rsidR="006E4A46" w:rsidRPr="00205C60" w14:paraId="25053F64" w14:textId="77777777" w:rsidTr="00F767BB">
        <w:trPr>
          <w:jc w:val="center"/>
        </w:trPr>
        <w:tc>
          <w:tcPr>
            <w:tcW w:w="982" w:type="dxa"/>
            <w:vAlign w:val="center"/>
          </w:tcPr>
          <w:p w14:paraId="09247FB9" w14:textId="15996D5E" w:rsidR="006E4A46" w:rsidRPr="00205C60" w:rsidRDefault="006E4A46" w:rsidP="00D37B6E">
            <w:pPr>
              <w:jc w:val="center"/>
              <w:rPr>
                <w:rFonts w:ascii="Verdana" w:hAnsi="Verdana" w:cs="Arial"/>
                <w:sz w:val="22"/>
                <w:szCs w:val="22"/>
              </w:rPr>
            </w:pPr>
            <w:r w:rsidRPr="00205C60">
              <w:rPr>
                <w:rFonts w:ascii="Verdana" w:hAnsi="Verdana" w:cs="Arial"/>
                <w:sz w:val="22"/>
                <w:szCs w:val="22"/>
              </w:rPr>
              <w:t>2022</w:t>
            </w:r>
          </w:p>
        </w:tc>
        <w:tc>
          <w:tcPr>
            <w:tcW w:w="1624" w:type="dxa"/>
            <w:vAlign w:val="center"/>
          </w:tcPr>
          <w:p w14:paraId="5844A184" w14:textId="528B96DE" w:rsidR="006E4A46" w:rsidRPr="00205C60" w:rsidRDefault="006E4A46" w:rsidP="00D37B6E">
            <w:pPr>
              <w:jc w:val="center"/>
              <w:rPr>
                <w:rFonts w:ascii="Verdana" w:hAnsi="Verdana" w:cs="Arial"/>
                <w:sz w:val="22"/>
                <w:szCs w:val="22"/>
              </w:rPr>
            </w:pPr>
            <w:r w:rsidRPr="00205C60">
              <w:rPr>
                <w:rFonts w:ascii="Verdana" w:hAnsi="Verdana" w:cs="Arial"/>
                <w:sz w:val="22"/>
                <w:szCs w:val="22"/>
              </w:rPr>
              <w:t>526.112</w:t>
            </w:r>
          </w:p>
        </w:tc>
        <w:tc>
          <w:tcPr>
            <w:tcW w:w="1686" w:type="dxa"/>
            <w:vAlign w:val="center"/>
          </w:tcPr>
          <w:p w14:paraId="5BF51F77" w14:textId="3DFD3765" w:rsidR="006E4A46" w:rsidRPr="00205C60" w:rsidRDefault="006E4A46" w:rsidP="00D37B6E">
            <w:pPr>
              <w:jc w:val="center"/>
              <w:rPr>
                <w:rFonts w:ascii="Verdana" w:hAnsi="Verdana" w:cs="Arial"/>
                <w:sz w:val="22"/>
                <w:szCs w:val="22"/>
              </w:rPr>
            </w:pPr>
            <w:r w:rsidRPr="00205C60">
              <w:rPr>
                <w:rFonts w:ascii="Verdana" w:hAnsi="Verdana" w:cs="Arial"/>
                <w:sz w:val="22"/>
                <w:szCs w:val="22"/>
              </w:rPr>
              <w:t>76.308</w:t>
            </w:r>
          </w:p>
        </w:tc>
        <w:tc>
          <w:tcPr>
            <w:tcW w:w="1806" w:type="dxa"/>
            <w:vAlign w:val="center"/>
          </w:tcPr>
          <w:p w14:paraId="65C50241" w14:textId="12A2153F" w:rsidR="006E4A46" w:rsidRPr="00205C60" w:rsidRDefault="006E4A46" w:rsidP="00D37B6E">
            <w:pPr>
              <w:jc w:val="center"/>
              <w:rPr>
                <w:rFonts w:ascii="Verdana" w:hAnsi="Verdana" w:cs="Arial"/>
                <w:sz w:val="22"/>
                <w:szCs w:val="22"/>
              </w:rPr>
            </w:pPr>
            <w:r w:rsidRPr="00205C60">
              <w:rPr>
                <w:rFonts w:ascii="Verdana" w:hAnsi="Verdana" w:cs="Arial"/>
                <w:sz w:val="22"/>
                <w:szCs w:val="22"/>
              </w:rPr>
              <w:t>1.564</w:t>
            </w:r>
          </w:p>
        </w:tc>
        <w:tc>
          <w:tcPr>
            <w:tcW w:w="1395" w:type="dxa"/>
            <w:vAlign w:val="center"/>
          </w:tcPr>
          <w:p w14:paraId="51F45247" w14:textId="71312168" w:rsidR="006E4A46" w:rsidRPr="00205C60" w:rsidRDefault="006E4A46" w:rsidP="00D37B6E">
            <w:pPr>
              <w:jc w:val="center"/>
              <w:rPr>
                <w:rFonts w:ascii="Verdana" w:hAnsi="Verdana" w:cs="Arial"/>
                <w:sz w:val="22"/>
                <w:szCs w:val="22"/>
              </w:rPr>
            </w:pPr>
            <w:r w:rsidRPr="00205C60">
              <w:rPr>
                <w:rFonts w:ascii="Verdana" w:hAnsi="Verdana" w:cs="Arial"/>
                <w:sz w:val="22"/>
                <w:szCs w:val="22"/>
              </w:rPr>
              <w:t>603.984</w:t>
            </w:r>
          </w:p>
        </w:tc>
      </w:tr>
    </w:tbl>
    <w:p w14:paraId="3CA7EF2E" w14:textId="77777777" w:rsidR="00AD6995" w:rsidRPr="00205C60" w:rsidRDefault="00131077" w:rsidP="00131077">
      <w:pPr>
        <w:jc w:val="both"/>
        <w:rPr>
          <w:rFonts w:ascii="Verdana" w:hAnsi="Verdana" w:cs="Arial"/>
          <w:sz w:val="22"/>
          <w:szCs w:val="22"/>
        </w:rPr>
      </w:pPr>
      <w:r w:rsidRPr="00205C60">
        <w:rPr>
          <w:rFonts w:ascii="Verdana" w:hAnsi="Verdana" w:cs="Arial"/>
          <w:sz w:val="22"/>
          <w:szCs w:val="22"/>
        </w:rPr>
        <w:t xml:space="preserve">       </w:t>
      </w:r>
      <w:r w:rsidR="001E17AF" w:rsidRPr="00205C60">
        <w:rPr>
          <w:rFonts w:ascii="Verdana" w:hAnsi="Verdana" w:cs="Arial"/>
          <w:sz w:val="22"/>
          <w:szCs w:val="22"/>
        </w:rPr>
        <w:t xml:space="preserve">         </w:t>
      </w:r>
      <w:r w:rsidRPr="00205C60">
        <w:rPr>
          <w:rFonts w:ascii="Verdana" w:hAnsi="Verdana" w:cs="Arial"/>
          <w:sz w:val="22"/>
          <w:szCs w:val="22"/>
        </w:rPr>
        <w:t xml:space="preserve"> </w:t>
      </w:r>
    </w:p>
    <w:p w14:paraId="3CA7EF2F" w14:textId="77777777" w:rsidR="00113505" w:rsidRPr="00205C60" w:rsidRDefault="00AD6995" w:rsidP="00113505">
      <w:pPr>
        <w:rPr>
          <w:rFonts w:ascii="Verdana" w:hAnsi="Verdana" w:cs="Arial"/>
          <w:sz w:val="22"/>
          <w:szCs w:val="22"/>
        </w:rPr>
      </w:pPr>
      <w:r w:rsidRPr="00205C60">
        <w:rPr>
          <w:rFonts w:ascii="Verdana" w:hAnsi="Verdana" w:cs="Arial"/>
          <w:sz w:val="22"/>
          <w:szCs w:val="22"/>
        </w:rPr>
        <w:t xml:space="preserve">  </w:t>
      </w:r>
      <w:r w:rsidR="00B1510A" w:rsidRPr="00205C60">
        <w:rPr>
          <w:rFonts w:ascii="Verdana" w:hAnsi="Verdana" w:cs="Arial"/>
          <w:sz w:val="22"/>
          <w:szCs w:val="22"/>
        </w:rPr>
        <w:t>Fuente</w:t>
      </w:r>
      <w:r w:rsidR="00113505" w:rsidRPr="00205C60">
        <w:rPr>
          <w:rFonts w:ascii="Verdana" w:hAnsi="Verdana" w:cs="Arial"/>
          <w:sz w:val="22"/>
          <w:szCs w:val="22"/>
        </w:rPr>
        <w:t>: Sistema de Información Gerencial (SIGE).</w:t>
      </w:r>
    </w:p>
    <w:p w14:paraId="3CA7EF31" w14:textId="77777777" w:rsidR="00AD6995" w:rsidRPr="00205C60" w:rsidRDefault="00AD6995" w:rsidP="00131077">
      <w:pPr>
        <w:jc w:val="both"/>
        <w:rPr>
          <w:rFonts w:ascii="Verdana" w:hAnsi="Verdana"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4"/>
        <w:gridCol w:w="1624"/>
        <w:gridCol w:w="1559"/>
        <w:gridCol w:w="1559"/>
        <w:gridCol w:w="1311"/>
      </w:tblGrid>
      <w:tr w:rsidR="004408D8" w:rsidRPr="00205C60" w14:paraId="3CA7EF33" w14:textId="77777777" w:rsidTr="007E0EC4">
        <w:trPr>
          <w:trHeight w:val="388"/>
          <w:jc w:val="center"/>
        </w:trPr>
        <w:tc>
          <w:tcPr>
            <w:tcW w:w="7347" w:type="dxa"/>
            <w:gridSpan w:val="5"/>
            <w:vAlign w:val="center"/>
          </w:tcPr>
          <w:p w14:paraId="3CA7EF32" w14:textId="77777777" w:rsidR="00D37B6E" w:rsidRPr="00205C60" w:rsidRDefault="00F660A5" w:rsidP="00D37B6E">
            <w:pPr>
              <w:jc w:val="center"/>
              <w:rPr>
                <w:rFonts w:ascii="Verdana" w:hAnsi="Verdana" w:cs="Arial"/>
                <w:b/>
                <w:sz w:val="22"/>
                <w:szCs w:val="22"/>
              </w:rPr>
            </w:pPr>
            <w:r w:rsidRPr="00205C60">
              <w:rPr>
                <w:rFonts w:ascii="Verdana" w:hAnsi="Verdana" w:cs="Arial"/>
                <w:b/>
                <w:sz w:val="22"/>
                <w:szCs w:val="22"/>
              </w:rPr>
              <w:t xml:space="preserve">Consumo promedio de la </w:t>
            </w:r>
            <w:r w:rsidR="00CD2E3D" w:rsidRPr="00205C60">
              <w:rPr>
                <w:rFonts w:ascii="Verdana" w:hAnsi="Verdana" w:cs="Arial"/>
                <w:b/>
                <w:sz w:val="22"/>
                <w:szCs w:val="22"/>
              </w:rPr>
              <w:t>energía</w:t>
            </w:r>
          </w:p>
        </w:tc>
      </w:tr>
      <w:tr w:rsidR="004408D8" w:rsidRPr="00205C60" w14:paraId="3CA7EF35" w14:textId="77777777" w:rsidTr="007E0EC4">
        <w:trPr>
          <w:jc w:val="center"/>
        </w:trPr>
        <w:tc>
          <w:tcPr>
            <w:tcW w:w="7347" w:type="dxa"/>
            <w:gridSpan w:val="5"/>
            <w:vAlign w:val="center"/>
          </w:tcPr>
          <w:p w14:paraId="3CA7EF34" w14:textId="77777777" w:rsidR="004408D8" w:rsidRPr="00205C60" w:rsidRDefault="004408D8" w:rsidP="00D37B6E">
            <w:pPr>
              <w:jc w:val="center"/>
              <w:rPr>
                <w:rFonts w:ascii="Verdana" w:hAnsi="Verdana" w:cs="Arial"/>
                <w:b/>
                <w:sz w:val="22"/>
                <w:szCs w:val="22"/>
              </w:rPr>
            </w:pPr>
            <w:r w:rsidRPr="00205C60">
              <w:rPr>
                <w:rFonts w:ascii="Verdana" w:hAnsi="Verdana" w:cs="Arial"/>
                <w:b/>
                <w:sz w:val="22"/>
                <w:szCs w:val="22"/>
              </w:rPr>
              <w:t>kWh/CLIENTE/MENSUAL</w:t>
            </w:r>
            <w:r w:rsidR="006F162B" w:rsidRPr="00205C60">
              <w:rPr>
                <w:rFonts w:ascii="Verdana" w:hAnsi="Verdana" w:cs="Arial"/>
                <w:b/>
                <w:sz w:val="22"/>
                <w:szCs w:val="22"/>
              </w:rPr>
              <w:t xml:space="preserve">  1/</w:t>
            </w:r>
          </w:p>
        </w:tc>
      </w:tr>
      <w:tr w:rsidR="004408D8" w:rsidRPr="00205C60" w14:paraId="3CA7EF3B" w14:textId="77777777" w:rsidTr="007E0EC4">
        <w:trPr>
          <w:jc w:val="center"/>
        </w:trPr>
        <w:tc>
          <w:tcPr>
            <w:tcW w:w="1294" w:type="dxa"/>
            <w:vAlign w:val="center"/>
          </w:tcPr>
          <w:p w14:paraId="3CA7EF36" w14:textId="77777777" w:rsidR="004408D8" w:rsidRPr="00205C60" w:rsidRDefault="00F660A5" w:rsidP="00D37B6E">
            <w:pPr>
              <w:jc w:val="center"/>
              <w:rPr>
                <w:rFonts w:ascii="Verdana" w:hAnsi="Verdana" w:cs="Arial"/>
                <w:b/>
                <w:sz w:val="22"/>
                <w:szCs w:val="22"/>
              </w:rPr>
            </w:pPr>
            <w:r w:rsidRPr="00205C60">
              <w:rPr>
                <w:rFonts w:ascii="Verdana" w:hAnsi="Verdana" w:cs="Arial"/>
                <w:b/>
                <w:sz w:val="22"/>
                <w:szCs w:val="22"/>
              </w:rPr>
              <w:t>Año</w:t>
            </w:r>
          </w:p>
        </w:tc>
        <w:tc>
          <w:tcPr>
            <w:tcW w:w="1624" w:type="dxa"/>
            <w:vAlign w:val="center"/>
          </w:tcPr>
          <w:p w14:paraId="3CA7EF37" w14:textId="77777777" w:rsidR="004408D8" w:rsidRPr="00205C60" w:rsidRDefault="00F660A5" w:rsidP="00D37B6E">
            <w:pPr>
              <w:jc w:val="center"/>
              <w:rPr>
                <w:rFonts w:ascii="Verdana" w:hAnsi="Verdana" w:cs="Arial"/>
                <w:b/>
                <w:sz w:val="22"/>
                <w:szCs w:val="22"/>
              </w:rPr>
            </w:pPr>
            <w:r w:rsidRPr="00205C60">
              <w:rPr>
                <w:rFonts w:ascii="Verdana" w:hAnsi="Verdana" w:cs="Arial"/>
                <w:b/>
                <w:sz w:val="22"/>
                <w:szCs w:val="22"/>
              </w:rPr>
              <w:t>Residencial</w:t>
            </w:r>
          </w:p>
        </w:tc>
        <w:tc>
          <w:tcPr>
            <w:tcW w:w="1559" w:type="dxa"/>
            <w:vAlign w:val="center"/>
          </w:tcPr>
          <w:p w14:paraId="3CA7EF38" w14:textId="77777777" w:rsidR="004408D8" w:rsidRPr="00205C60" w:rsidRDefault="00F660A5" w:rsidP="00D37B6E">
            <w:pPr>
              <w:jc w:val="center"/>
              <w:rPr>
                <w:rFonts w:ascii="Verdana" w:hAnsi="Verdana" w:cs="Arial"/>
                <w:b/>
                <w:sz w:val="22"/>
                <w:szCs w:val="22"/>
              </w:rPr>
            </w:pPr>
            <w:r w:rsidRPr="00205C60">
              <w:rPr>
                <w:rFonts w:ascii="Verdana" w:hAnsi="Verdana" w:cs="Arial"/>
                <w:b/>
                <w:sz w:val="22"/>
                <w:szCs w:val="22"/>
              </w:rPr>
              <w:t>Comercial</w:t>
            </w:r>
          </w:p>
        </w:tc>
        <w:tc>
          <w:tcPr>
            <w:tcW w:w="1559" w:type="dxa"/>
            <w:vAlign w:val="center"/>
          </w:tcPr>
          <w:p w14:paraId="3CA7EF39" w14:textId="77777777" w:rsidR="004408D8" w:rsidRPr="00205C60" w:rsidRDefault="00F660A5" w:rsidP="00D37B6E">
            <w:pPr>
              <w:jc w:val="center"/>
              <w:rPr>
                <w:rFonts w:ascii="Verdana" w:hAnsi="Verdana" w:cs="Arial"/>
                <w:b/>
                <w:sz w:val="22"/>
                <w:szCs w:val="22"/>
              </w:rPr>
            </w:pPr>
            <w:r w:rsidRPr="00205C60">
              <w:rPr>
                <w:rFonts w:ascii="Verdana" w:hAnsi="Verdana" w:cs="Arial"/>
                <w:b/>
                <w:sz w:val="22"/>
                <w:szCs w:val="22"/>
              </w:rPr>
              <w:t>Industrial</w:t>
            </w:r>
          </w:p>
        </w:tc>
        <w:tc>
          <w:tcPr>
            <w:tcW w:w="1311" w:type="dxa"/>
            <w:vAlign w:val="center"/>
          </w:tcPr>
          <w:p w14:paraId="3CA7EF3A" w14:textId="77777777" w:rsidR="004408D8" w:rsidRPr="00205C60" w:rsidRDefault="00F660A5" w:rsidP="00D37B6E">
            <w:pPr>
              <w:jc w:val="center"/>
              <w:rPr>
                <w:rFonts w:ascii="Verdana" w:hAnsi="Verdana" w:cs="Arial"/>
                <w:b/>
                <w:sz w:val="22"/>
                <w:szCs w:val="22"/>
              </w:rPr>
            </w:pPr>
            <w:r w:rsidRPr="00205C60">
              <w:rPr>
                <w:rFonts w:ascii="Verdana" w:hAnsi="Verdana" w:cs="Arial"/>
                <w:b/>
                <w:sz w:val="22"/>
                <w:szCs w:val="22"/>
              </w:rPr>
              <w:t>Total</w:t>
            </w:r>
            <w:r w:rsidR="006F162B" w:rsidRPr="00205C60">
              <w:rPr>
                <w:rFonts w:ascii="Verdana" w:hAnsi="Verdana" w:cs="Arial"/>
                <w:b/>
                <w:sz w:val="22"/>
                <w:szCs w:val="22"/>
              </w:rPr>
              <w:t xml:space="preserve"> 2/</w:t>
            </w:r>
          </w:p>
        </w:tc>
      </w:tr>
      <w:tr w:rsidR="00A832FF" w:rsidRPr="00205C60" w14:paraId="3CA7EF4D" w14:textId="77777777" w:rsidTr="007E0EC4">
        <w:trPr>
          <w:jc w:val="center"/>
        </w:trPr>
        <w:tc>
          <w:tcPr>
            <w:tcW w:w="1294" w:type="dxa"/>
            <w:vAlign w:val="center"/>
          </w:tcPr>
          <w:p w14:paraId="3CA7EF48" w14:textId="77777777" w:rsidR="00A832FF" w:rsidRPr="00205C60" w:rsidRDefault="00A832FF" w:rsidP="00D37B6E">
            <w:pPr>
              <w:jc w:val="center"/>
              <w:rPr>
                <w:rFonts w:ascii="Verdana" w:hAnsi="Verdana" w:cs="Arial"/>
                <w:sz w:val="22"/>
                <w:szCs w:val="22"/>
              </w:rPr>
            </w:pPr>
            <w:r w:rsidRPr="00205C60">
              <w:rPr>
                <w:rFonts w:ascii="Verdana" w:hAnsi="Verdana" w:cs="Arial"/>
                <w:sz w:val="22"/>
                <w:szCs w:val="22"/>
              </w:rPr>
              <w:t>2020</w:t>
            </w:r>
          </w:p>
        </w:tc>
        <w:tc>
          <w:tcPr>
            <w:tcW w:w="1624" w:type="dxa"/>
            <w:vAlign w:val="center"/>
          </w:tcPr>
          <w:p w14:paraId="3CA7EF49" w14:textId="77777777" w:rsidR="00A832FF" w:rsidRPr="00205C60" w:rsidRDefault="004C014B" w:rsidP="00D37B6E">
            <w:pPr>
              <w:jc w:val="center"/>
              <w:rPr>
                <w:rFonts w:ascii="Verdana" w:hAnsi="Verdana" w:cs="Arial"/>
                <w:sz w:val="22"/>
                <w:szCs w:val="22"/>
              </w:rPr>
            </w:pPr>
            <w:r w:rsidRPr="00205C60">
              <w:rPr>
                <w:rFonts w:ascii="Verdana" w:hAnsi="Verdana" w:cs="Arial"/>
                <w:sz w:val="22"/>
                <w:szCs w:val="22"/>
              </w:rPr>
              <w:t>240</w:t>
            </w:r>
          </w:p>
        </w:tc>
        <w:tc>
          <w:tcPr>
            <w:tcW w:w="1559" w:type="dxa"/>
            <w:vAlign w:val="center"/>
          </w:tcPr>
          <w:p w14:paraId="3CA7EF4A" w14:textId="77777777" w:rsidR="00A832FF" w:rsidRPr="00205C60" w:rsidRDefault="004C014B" w:rsidP="00D37B6E">
            <w:pPr>
              <w:jc w:val="center"/>
              <w:rPr>
                <w:rFonts w:ascii="Verdana" w:hAnsi="Verdana" w:cs="Arial"/>
                <w:sz w:val="22"/>
                <w:szCs w:val="22"/>
              </w:rPr>
            </w:pPr>
            <w:r w:rsidRPr="00205C60">
              <w:rPr>
                <w:rFonts w:ascii="Verdana" w:hAnsi="Verdana" w:cs="Arial"/>
                <w:sz w:val="22"/>
                <w:szCs w:val="22"/>
              </w:rPr>
              <w:t>1.504</w:t>
            </w:r>
          </w:p>
        </w:tc>
        <w:tc>
          <w:tcPr>
            <w:tcW w:w="1559" w:type="dxa"/>
            <w:vAlign w:val="center"/>
          </w:tcPr>
          <w:p w14:paraId="3CA7EF4B" w14:textId="77777777" w:rsidR="00A832FF" w:rsidRPr="00205C60" w:rsidRDefault="004C014B" w:rsidP="00D37B6E">
            <w:pPr>
              <w:jc w:val="center"/>
              <w:rPr>
                <w:rFonts w:ascii="Verdana" w:hAnsi="Verdana" w:cs="Arial"/>
                <w:sz w:val="22"/>
                <w:szCs w:val="22"/>
              </w:rPr>
            </w:pPr>
            <w:r w:rsidRPr="00205C60">
              <w:rPr>
                <w:rFonts w:ascii="Verdana" w:hAnsi="Verdana" w:cs="Arial"/>
                <w:sz w:val="22"/>
                <w:szCs w:val="22"/>
              </w:rPr>
              <w:t>23.357</w:t>
            </w:r>
          </w:p>
        </w:tc>
        <w:tc>
          <w:tcPr>
            <w:tcW w:w="1311" w:type="dxa"/>
            <w:vAlign w:val="center"/>
          </w:tcPr>
          <w:p w14:paraId="3CA7EF4C" w14:textId="77777777" w:rsidR="00A832FF" w:rsidRPr="00205C60" w:rsidRDefault="004C014B" w:rsidP="004E400A">
            <w:pPr>
              <w:jc w:val="center"/>
              <w:rPr>
                <w:rFonts w:ascii="Verdana" w:hAnsi="Verdana" w:cs="Arial"/>
                <w:sz w:val="22"/>
                <w:szCs w:val="22"/>
              </w:rPr>
            </w:pPr>
            <w:r w:rsidRPr="00205C60">
              <w:rPr>
                <w:rFonts w:ascii="Verdana" w:hAnsi="Verdana" w:cs="Arial"/>
                <w:sz w:val="22"/>
                <w:szCs w:val="22"/>
              </w:rPr>
              <w:t>461</w:t>
            </w:r>
          </w:p>
        </w:tc>
      </w:tr>
      <w:tr w:rsidR="007E0EC4" w:rsidRPr="00205C60" w14:paraId="702907E6" w14:textId="77777777" w:rsidTr="007E0EC4">
        <w:trPr>
          <w:jc w:val="center"/>
        </w:trPr>
        <w:tc>
          <w:tcPr>
            <w:tcW w:w="1294" w:type="dxa"/>
            <w:vAlign w:val="center"/>
          </w:tcPr>
          <w:p w14:paraId="202740C1" w14:textId="4B242358" w:rsidR="007E0EC4" w:rsidRPr="00205C60" w:rsidRDefault="007E0EC4" w:rsidP="00D37B6E">
            <w:pPr>
              <w:jc w:val="center"/>
              <w:rPr>
                <w:rFonts w:ascii="Verdana" w:hAnsi="Verdana" w:cs="Arial"/>
                <w:sz w:val="22"/>
                <w:szCs w:val="22"/>
              </w:rPr>
            </w:pPr>
            <w:r w:rsidRPr="00205C60">
              <w:rPr>
                <w:rFonts w:ascii="Verdana" w:hAnsi="Verdana" w:cs="Arial"/>
                <w:sz w:val="22"/>
                <w:szCs w:val="22"/>
              </w:rPr>
              <w:t>2021</w:t>
            </w:r>
          </w:p>
        </w:tc>
        <w:tc>
          <w:tcPr>
            <w:tcW w:w="1624" w:type="dxa"/>
            <w:vAlign w:val="center"/>
          </w:tcPr>
          <w:p w14:paraId="1CEBE3A3" w14:textId="2F8C67AD" w:rsidR="007E0EC4" w:rsidRPr="00205C60" w:rsidRDefault="007E0EC4" w:rsidP="00D37B6E">
            <w:pPr>
              <w:jc w:val="center"/>
              <w:rPr>
                <w:rFonts w:ascii="Verdana" w:hAnsi="Verdana" w:cs="Arial"/>
                <w:sz w:val="22"/>
                <w:szCs w:val="22"/>
              </w:rPr>
            </w:pPr>
            <w:r w:rsidRPr="00205C60">
              <w:rPr>
                <w:rFonts w:ascii="Verdana" w:hAnsi="Verdana" w:cs="Arial"/>
                <w:sz w:val="22"/>
                <w:szCs w:val="22"/>
              </w:rPr>
              <w:t>237</w:t>
            </w:r>
          </w:p>
        </w:tc>
        <w:tc>
          <w:tcPr>
            <w:tcW w:w="1559" w:type="dxa"/>
            <w:vAlign w:val="center"/>
          </w:tcPr>
          <w:p w14:paraId="2088AE8C" w14:textId="412F258A" w:rsidR="007E0EC4" w:rsidRPr="00205C60" w:rsidRDefault="007E0EC4" w:rsidP="00D37B6E">
            <w:pPr>
              <w:jc w:val="center"/>
              <w:rPr>
                <w:rFonts w:ascii="Verdana" w:hAnsi="Verdana" w:cs="Arial"/>
                <w:sz w:val="22"/>
                <w:szCs w:val="22"/>
              </w:rPr>
            </w:pPr>
            <w:r w:rsidRPr="00205C60">
              <w:rPr>
                <w:rFonts w:ascii="Verdana" w:hAnsi="Verdana" w:cs="Arial"/>
                <w:sz w:val="22"/>
                <w:szCs w:val="22"/>
              </w:rPr>
              <w:t>1.518</w:t>
            </w:r>
          </w:p>
        </w:tc>
        <w:tc>
          <w:tcPr>
            <w:tcW w:w="1559" w:type="dxa"/>
            <w:vAlign w:val="center"/>
          </w:tcPr>
          <w:p w14:paraId="369CEB87" w14:textId="1EAE618C" w:rsidR="007E0EC4" w:rsidRPr="00205C60" w:rsidRDefault="007E0EC4" w:rsidP="00D37B6E">
            <w:pPr>
              <w:jc w:val="center"/>
              <w:rPr>
                <w:rFonts w:ascii="Verdana" w:hAnsi="Verdana" w:cs="Arial"/>
                <w:sz w:val="22"/>
                <w:szCs w:val="22"/>
              </w:rPr>
            </w:pPr>
            <w:r w:rsidRPr="00205C60">
              <w:rPr>
                <w:rFonts w:ascii="Verdana" w:hAnsi="Verdana" w:cs="Arial"/>
                <w:sz w:val="22"/>
                <w:szCs w:val="22"/>
              </w:rPr>
              <w:t>22.802</w:t>
            </w:r>
          </w:p>
        </w:tc>
        <w:tc>
          <w:tcPr>
            <w:tcW w:w="1311" w:type="dxa"/>
            <w:vAlign w:val="center"/>
          </w:tcPr>
          <w:p w14:paraId="3D047C80" w14:textId="00C1584A" w:rsidR="007E0EC4" w:rsidRPr="00205C60" w:rsidRDefault="007E0EC4" w:rsidP="004E400A">
            <w:pPr>
              <w:jc w:val="center"/>
              <w:rPr>
                <w:rFonts w:ascii="Verdana" w:hAnsi="Verdana" w:cs="Arial"/>
                <w:sz w:val="22"/>
                <w:szCs w:val="22"/>
              </w:rPr>
            </w:pPr>
            <w:r w:rsidRPr="00205C60">
              <w:rPr>
                <w:rFonts w:ascii="Verdana" w:hAnsi="Verdana" w:cs="Arial"/>
                <w:sz w:val="22"/>
                <w:szCs w:val="22"/>
              </w:rPr>
              <w:t>459</w:t>
            </w:r>
          </w:p>
        </w:tc>
      </w:tr>
      <w:tr w:rsidR="00C60AE8" w:rsidRPr="00205C60" w14:paraId="58EEEAE6" w14:textId="77777777" w:rsidTr="007E0EC4">
        <w:trPr>
          <w:jc w:val="center"/>
        </w:trPr>
        <w:tc>
          <w:tcPr>
            <w:tcW w:w="1294" w:type="dxa"/>
            <w:vAlign w:val="center"/>
          </w:tcPr>
          <w:p w14:paraId="3FFEA393" w14:textId="4BF6F6D2" w:rsidR="00C60AE8" w:rsidRPr="00205C60" w:rsidRDefault="00C60AE8" w:rsidP="00D37B6E">
            <w:pPr>
              <w:jc w:val="center"/>
              <w:rPr>
                <w:rFonts w:ascii="Verdana" w:hAnsi="Verdana" w:cs="Arial"/>
                <w:sz w:val="22"/>
                <w:szCs w:val="22"/>
              </w:rPr>
            </w:pPr>
            <w:r w:rsidRPr="00205C60">
              <w:rPr>
                <w:rFonts w:ascii="Verdana" w:hAnsi="Verdana" w:cs="Arial"/>
                <w:sz w:val="22"/>
                <w:szCs w:val="22"/>
              </w:rPr>
              <w:t>2022</w:t>
            </w:r>
          </w:p>
        </w:tc>
        <w:tc>
          <w:tcPr>
            <w:tcW w:w="1624" w:type="dxa"/>
            <w:vAlign w:val="center"/>
          </w:tcPr>
          <w:p w14:paraId="26D627E7" w14:textId="14893DBB" w:rsidR="00C60AE8" w:rsidRPr="00205C60" w:rsidRDefault="00B66229" w:rsidP="00D37B6E">
            <w:pPr>
              <w:jc w:val="center"/>
              <w:rPr>
                <w:rFonts w:ascii="Verdana" w:hAnsi="Verdana" w:cs="Arial"/>
                <w:sz w:val="22"/>
                <w:szCs w:val="22"/>
              </w:rPr>
            </w:pPr>
            <w:r w:rsidRPr="00205C60">
              <w:rPr>
                <w:rFonts w:ascii="Verdana" w:hAnsi="Verdana" w:cs="Arial"/>
                <w:sz w:val="22"/>
                <w:szCs w:val="22"/>
              </w:rPr>
              <w:t>233</w:t>
            </w:r>
          </w:p>
        </w:tc>
        <w:tc>
          <w:tcPr>
            <w:tcW w:w="1559" w:type="dxa"/>
            <w:vAlign w:val="center"/>
          </w:tcPr>
          <w:p w14:paraId="00C5992C" w14:textId="00E5609A" w:rsidR="00C60AE8" w:rsidRPr="00205C60" w:rsidRDefault="00B66229" w:rsidP="00D37B6E">
            <w:pPr>
              <w:jc w:val="center"/>
              <w:rPr>
                <w:rFonts w:ascii="Verdana" w:hAnsi="Verdana" w:cs="Arial"/>
                <w:sz w:val="22"/>
                <w:szCs w:val="22"/>
              </w:rPr>
            </w:pPr>
            <w:r w:rsidRPr="00205C60">
              <w:rPr>
                <w:rFonts w:ascii="Verdana" w:hAnsi="Verdana" w:cs="Arial"/>
                <w:sz w:val="22"/>
                <w:szCs w:val="22"/>
              </w:rPr>
              <w:t>1.5</w:t>
            </w:r>
            <w:r w:rsidR="00162013" w:rsidRPr="00205C60">
              <w:rPr>
                <w:rFonts w:ascii="Verdana" w:hAnsi="Verdana" w:cs="Arial"/>
                <w:sz w:val="22"/>
                <w:szCs w:val="22"/>
              </w:rPr>
              <w:t>49</w:t>
            </w:r>
          </w:p>
        </w:tc>
        <w:tc>
          <w:tcPr>
            <w:tcW w:w="1559" w:type="dxa"/>
            <w:vAlign w:val="center"/>
          </w:tcPr>
          <w:p w14:paraId="3791CEB4" w14:textId="0D90A2DD" w:rsidR="00C60AE8" w:rsidRPr="00205C60" w:rsidRDefault="00162013" w:rsidP="00D37B6E">
            <w:pPr>
              <w:jc w:val="center"/>
              <w:rPr>
                <w:rFonts w:ascii="Verdana" w:hAnsi="Verdana" w:cs="Arial"/>
                <w:sz w:val="22"/>
                <w:szCs w:val="22"/>
              </w:rPr>
            </w:pPr>
            <w:r w:rsidRPr="00205C60">
              <w:rPr>
                <w:rFonts w:ascii="Verdana" w:hAnsi="Verdana" w:cs="Arial"/>
                <w:sz w:val="22"/>
                <w:szCs w:val="22"/>
              </w:rPr>
              <w:t>20.284</w:t>
            </w:r>
          </w:p>
        </w:tc>
        <w:tc>
          <w:tcPr>
            <w:tcW w:w="1311" w:type="dxa"/>
            <w:vAlign w:val="center"/>
          </w:tcPr>
          <w:p w14:paraId="6FB39F30" w14:textId="43F773C7" w:rsidR="00C60AE8" w:rsidRPr="00205C60" w:rsidRDefault="00162013" w:rsidP="004E400A">
            <w:pPr>
              <w:jc w:val="center"/>
              <w:rPr>
                <w:rFonts w:ascii="Verdana" w:hAnsi="Verdana" w:cs="Arial"/>
                <w:sz w:val="22"/>
                <w:szCs w:val="22"/>
              </w:rPr>
            </w:pPr>
            <w:r w:rsidRPr="00205C60">
              <w:rPr>
                <w:rFonts w:ascii="Verdana" w:hAnsi="Verdana" w:cs="Arial"/>
                <w:sz w:val="22"/>
                <w:szCs w:val="22"/>
              </w:rPr>
              <w:t>452</w:t>
            </w:r>
          </w:p>
        </w:tc>
      </w:tr>
    </w:tbl>
    <w:p w14:paraId="3CA7EF4E" w14:textId="77777777" w:rsidR="008B2F63" w:rsidRPr="00205C60" w:rsidRDefault="001E17AF" w:rsidP="00F613B0">
      <w:pPr>
        <w:ind w:left="706"/>
        <w:jc w:val="both"/>
        <w:rPr>
          <w:rFonts w:ascii="Verdana" w:hAnsi="Verdana" w:cs="Arial"/>
          <w:sz w:val="22"/>
          <w:szCs w:val="22"/>
        </w:rPr>
      </w:pPr>
      <w:r w:rsidRPr="00205C60">
        <w:rPr>
          <w:rFonts w:ascii="Verdana" w:hAnsi="Verdana" w:cs="Arial"/>
          <w:sz w:val="22"/>
          <w:szCs w:val="22"/>
        </w:rPr>
        <w:t xml:space="preserve">    </w:t>
      </w:r>
    </w:p>
    <w:p w14:paraId="3CA7EF4F" w14:textId="07509F47" w:rsidR="00131077" w:rsidRPr="00205C60" w:rsidRDefault="008B2F63" w:rsidP="00F613B0">
      <w:pPr>
        <w:ind w:left="706"/>
        <w:jc w:val="both"/>
        <w:rPr>
          <w:rFonts w:ascii="Verdana" w:hAnsi="Verdana" w:cs="Arial"/>
          <w:sz w:val="22"/>
          <w:szCs w:val="22"/>
        </w:rPr>
      </w:pPr>
      <w:r w:rsidRPr="00205C60">
        <w:rPr>
          <w:rFonts w:ascii="Verdana" w:hAnsi="Verdana" w:cs="Arial"/>
          <w:sz w:val="22"/>
          <w:szCs w:val="22"/>
        </w:rPr>
        <w:t xml:space="preserve">    </w:t>
      </w:r>
      <w:r w:rsidR="006F162B" w:rsidRPr="00205C60">
        <w:rPr>
          <w:rFonts w:ascii="Verdana" w:hAnsi="Verdana" w:cs="Arial"/>
          <w:sz w:val="22"/>
          <w:szCs w:val="22"/>
        </w:rPr>
        <w:t>1</w:t>
      </w:r>
      <w:r w:rsidR="00440021" w:rsidRPr="00205C60">
        <w:rPr>
          <w:rFonts w:ascii="Verdana" w:hAnsi="Verdana" w:cs="Arial"/>
          <w:sz w:val="22"/>
          <w:szCs w:val="22"/>
        </w:rPr>
        <w:t>/ kWh</w:t>
      </w:r>
      <w:r w:rsidR="006F162B" w:rsidRPr="00205C60">
        <w:rPr>
          <w:rFonts w:ascii="Verdana" w:hAnsi="Verdana" w:cs="Arial"/>
          <w:sz w:val="22"/>
          <w:szCs w:val="22"/>
        </w:rPr>
        <w:t xml:space="preserve">: Kilo Watts-horas, medida de la energía (potencia por un determinado número de horas </w:t>
      </w:r>
    </w:p>
    <w:p w14:paraId="3CA7EF50" w14:textId="77777777" w:rsidR="006F162B" w:rsidRPr="00205C60" w:rsidRDefault="001E17AF" w:rsidP="00F613B0">
      <w:pPr>
        <w:ind w:left="706"/>
        <w:jc w:val="both"/>
        <w:rPr>
          <w:rFonts w:ascii="Verdana" w:hAnsi="Verdana" w:cs="Arial"/>
          <w:sz w:val="22"/>
          <w:szCs w:val="22"/>
        </w:rPr>
      </w:pPr>
      <w:r w:rsidRPr="00205C60">
        <w:rPr>
          <w:rFonts w:ascii="Verdana" w:hAnsi="Verdana" w:cs="Arial"/>
          <w:sz w:val="22"/>
          <w:szCs w:val="22"/>
        </w:rPr>
        <w:t xml:space="preserve">     </w:t>
      </w:r>
      <w:r w:rsidR="006F162B" w:rsidRPr="00205C60">
        <w:rPr>
          <w:rFonts w:ascii="Verdana" w:hAnsi="Verdana" w:cs="Arial"/>
          <w:sz w:val="22"/>
          <w:szCs w:val="22"/>
        </w:rPr>
        <w:t>ya sea producida o consumida).  Equivale a 1.000 watts-hora o vatio-hora.</w:t>
      </w:r>
    </w:p>
    <w:p w14:paraId="3CA7EF51" w14:textId="29816B1F" w:rsidR="006F162B" w:rsidRPr="00205C60" w:rsidRDefault="001E17AF" w:rsidP="00F613B0">
      <w:pPr>
        <w:ind w:left="706"/>
        <w:jc w:val="both"/>
        <w:rPr>
          <w:rFonts w:ascii="Verdana" w:hAnsi="Verdana" w:cs="Arial"/>
          <w:sz w:val="22"/>
          <w:szCs w:val="22"/>
        </w:rPr>
      </w:pPr>
      <w:r w:rsidRPr="00205C60">
        <w:rPr>
          <w:rFonts w:ascii="Verdana" w:hAnsi="Verdana" w:cs="Arial"/>
          <w:sz w:val="22"/>
          <w:szCs w:val="22"/>
        </w:rPr>
        <w:t xml:space="preserve">     </w:t>
      </w:r>
      <w:r w:rsidR="006F162B" w:rsidRPr="00205C60">
        <w:rPr>
          <w:rFonts w:ascii="Verdana" w:hAnsi="Verdana" w:cs="Arial"/>
          <w:sz w:val="22"/>
          <w:szCs w:val="22"/>
        </w:rPr>
        <w:t>2</w:t>
      </w:r>
      <w:r w:rsidR="00440021" w:rsidRPr="00205C60">
        <w:rPr>
          <w:rFonts w:ascii="Verdana" w:hAnsi="Verdana" w:cs="Arial"/>
          <w:sz w:val="22"/>
          <w:szCs w:val="22"/>
        </w:rPr>
        <w:t>/ El</w:t>
      </w:r>
      <w:r w:rsidR="006F162B" w:rsidRPr="00205C60">
        <w:rPr>
          <w:rFonts w:ascii="Verdana" w:hAnsi="Verdana" w:cs="Arial"/>
          <w:sz w:val="22"/>
          <w:szCs w:val="22"/>
        </w:rPr>
        <w:t xml:space="preserve"> total se refiere al consumo promedio por cliente.</w:t>
      </w:r>
    </w:p>
    <w:p w14:paraId="3CA7EF52" w14:textId="77777777" w:rsidR="00B1510A" w:rsidRPr="00205C60" w:rsidRDefault="001E17AF" w:rsidP="00F613B0">
      <w:pPr>
        <w:ind w:left="706"/>
        <w:jc w:val="both"/>
        <w:rPr>
          <w:rFonts w:ascii="Verdana" w:hAnsi="Verdana" w:cs="Arial"/>
          <w:sz w:val="22"/>
          <w:szCs w:val="22"/>
        </w:rPr>
      </w:pPr>
      <w:r w:rsidRPr="00205C60">
        <w:rPr>
          <w:rFonts w:ascii="Verdana" w:hAnsi="Verdana" w:cs="Arial"/>
          <w:sz w:val="22"/>
          <w:szCs w:val="22"/>
        </w:rPr>
        <w:t xml:space="preserve">     </w:t>
      </w:r>
      <w:r w:rsidR="00B1510A" w:rsidRPr="00205C60">
        <w:rPr>
          <w:rFonts w:ascii="Verdana" w:hAnsi="Verdana" w:cs="Arial"/>
          <w:sz w:val="22"/>
          <w:szCs w:val="22"/>
        </w:rPr>
        <w:t>Fuente</w:t>
      </w:r>
      <w:r w:rsidR="004F3BC1" w:rsidRPr="00205C60">
        <w:rPr>
          <w:rFonts w:ascii="Verdana" w:hAnsi="Verdana" w:cs="Arial"/>
          <w:sz w:val="22"/>
          <w:szCs w:val="22"/>
        </w:rPr>
        <w:t>: Sistema de Información Gerencia</w:t>
      </w:r>
      <w:r w:rsidR="005C67BA" w:rsidRPr="00205C60">
        <w:rPr>
          <w:rFonts w:ascii="Verdana" w:hAnsi="Verdana" w:cs="Arial"/>
          <w:sz w:val="22"/>
          <w:szCs w:val="22"/>
        </w:rPr>
        <w:t>l</w:t>
      </w:r>
      <w:r w:rsidR="004F3BC1" w:rsidRPr="00205C60">
        <w:rPr>
          <w:rFonts w:ascii="Verdana" w:hAnsi="Verdana" w:cs="Arial"/>
          <w:sz w:val="22"/>
          <w:szCs w:val="22"/>
        </w:rPr>
        <w:t xml:space="preserve"> (SIGE).</w:t>
      </w:r>
    </w:p>
    <w:p w14:paraId="3CA7EF55" w14:textId="2698FE9B" w:rsidR="0055578E" w:rsidRPr="00205C60" w:rsidRDefault="0055578E" w:rsidP="007040B6">
      <w:pPr>
        <w:jc w:val="both"/>
        <w:rPr>
          <w:rFonts w:ascii="Verdana" w:hAnsi="Verdana" w:cs="Arial"/>
          <w:sz w:val="22"/>
          <w:szCs w:val="22"/>
        </w:rPr>
      </w:pPr>
    </w:p>
    <w:p w14:paraId="566C59B2" w14:textId="15B9F641" w:rsidR="00A00B00" w:rsidRPr="00205C60" w:rsidRDefault="00A00B00" w:rsidP="007040B6">
      <w:pPr>
        <w:jc w:val="both"/>
        <w:rPr>
          <w:rFonts w:ascii="Verdana" w:hAnsi="Verdana" w:cs="Arial"/>
          <w:sz w:val="22"/>
          <w:szCs w:val="22"/>
        </w:rPr>
      </w:pPr>
    </w:p>
    <w:p w14:paraId="1A28E75E" w14:textId="2B4DC0BF" w:rsidR="00A00B00" w:rsidRPr="00205C60" w:rsidRDefault="00A00B00" w:rsidP="007040B6">
      <w:pPr>
        <w:jc w:val="both"/>
        <w:rPr>
          <w:rFonts w:ascii="Verdana" w:hAnsi="Verdana" w:cs="Arial"/>
          <w:sz w:val="22"/>
          <w:szCs w:val="22"/>
        </w:rPr>
      </w:pPr>
    </w:p>
    <w:p w14:paraId="60E83507" w14:textId="77777777" w:rsidR="00A00B00" w:rsidRPr="00205C60" w:rsidRDefault="00A00B00" w:rsidP="007040B6">
      <w:pPr>
        <w:jc w:val="both"/>
        <w:rPr>
          <w:rFonts w:ascii="Verdana" w:hAnsi="Verdana" w:cs="Arial"/>
          <w:sz w:val="22"/>
          <w:szCs w:val="22"/>
        </w:rPr>
      </w:pPr>
    </w:p>
    <w:p w14:paraId="3CA7EF56" w14:textId="77777777" w:rsidR="007040B6" w:rsidRPr="00205C60" w:rsidRDefault="007040B6" w:rsidP="00307E2B">
      <w:pPr>
        <w:pStyle w:val="Ttulo2"/>
        <w:numPr>
          <w:ilvl w:val="1"/>
          <w:numId w:val="1"/>
        </w:numPr>
        <w:tabs>
          <w:tab w:val="clear" w:pos="720"/>
          <w:tab w:val="left" w:pos="708"/>
        </w:tabs>
        <w:rPr>
          <w:rFonts w:ascii="Verdana" w:hAnsi="Verdana" w:cs="Arial"/>
          <w:sz w:val="22"/>
          <w:szCs w:val="22"/>
        </w:rPr>
      </w:pPr>
      <w:bookmarkStart w:id="126" w:name="_Toc104529474"/>
      <w:r w:rsidRPr="00205C60">
        <w:rPr>
          <w:rFonts w:ascii="Verdana" w:hAnsi="Verdana" w:cs="Arial"/>
          <w:sz w:val="22"/>
          <w:szCs w:val="22"/>
        </w:rPr>
        <w:t>Asistencia Técnica</w:t>
      </w:r>
      <w:bookmarkEnd w:id="126"/>
    </w:p>
    <w:p w14:paraId="3CA7EF57" w14:textId="77777777" w:rsidR="00131077" w:rsidRPr="00205C60" w:rsidRDefault="00131077" w:rsidP="00131077">
      <w:pPr>
        <w:rPr>
          <w:rFonts w:ascii="Verdana" w:hAnsi="Verdana"/>
          <w:sz w:val="22"/>
          <w:szCs w:val="22"/>
        </w:rPr>
      </w:pPr>
    </w:p>
    <w:p w14:paraId="3CA7EF58" w14:textId="77777777" w:rsidR="005B76DA" w:rsidRPr="00205C60" w:rsidRDefault="00904C43" w:rsidP="005B76DA">
      <w:pPr>
        <w:jc w:val="both"/>
        <w:rPr>
          <w:rFonts w:ascii="Verdana" w:hAnsi="Verdana" w:cs="Arial"/>
          <w:sz w:val="22"/>
          <w:szCs w:val="22"/>
        </w:rPr>
      </w:pPr>
      <w:r w:rsidRPr="00205C60">
        <w:rPr>
          <w:rFonts w:ascii="Verdana" w:hAnsi="Verdana" w:cs="Arial"/>
          <w:sz w:val="22"/>
          <w:szCs w:val="22"/>
        </w:rPr>
        <w:t>De</w:t>
      </w:r>
      <w:r w:rsidR="005B76DA" w:rsidRPr="00205C60">
        <w:rPr>
          <w:rFonts w:ascii="Verdana" w:hAnsi="Verdana" w:cs="Arial"/>
          <w:sz w:val="22"/>
          <w:szCs w:val="22"/>
        </w:rPr>
        <w:t>sde el 9 de octubre de 1970, existe un compromiso suscrito entre la Compañía Nacional de Fuerza y Luz S.A. y el Instituto Costarricense de Electricidad, en donde convienen en regular la prestación de servicios técnicos mutuos, con el propósito de lograr un mejor desenvolvimiento en sus actividades y un mejor aprovechamiento de sus recursos, bajo las siguientes cláusulas:</w:t>
      </w:r>
    </w:p>
    <w:p w14:paraId="3CA7EF59" w14:textId="77777777" w:rsidR="00F613B0" w:rsidRPr="00205C60" w:rsidRDefault="00F613B0" w:rsidP="005B76DA">
      <w:pPr>
        <w:jc w:val="both"/>
        <w:rPr>
          <w:rFonts w:ascii="Verdana" w:hAnsi="Verdana" w:cs="Arial"/>
          <w:sz w:val="22"/>
          <w:szCs w:val="22"/>
        </w:rPr>
      </w:pPr>
    </w:p>
    <w:p w14:paraId="3CA7EF5A" w14:textId="77777777" w:rsidR="005B76DA" w:rsidRPr="00205C60" w:rsidRDefault="005B76DA" w:rsidP="00307E2B">
      <w:pPr>
        <w:numPr>
          <w:ilvl w:val="0"/>
          <w:numId w:val="5"/>
        </w:numPr>
        <w:tabs>
          <w:tab w:val="clear" w:pos="1428"/>
          <w:tab w:val="num" w:pos="900"/>
        </w:tabs>
        <w:ind w:left="900" w:hanging="540"/>
        <w:jc w:val="both"/>
        <w:rPr>
          <w:rFonts w:ascii="Verdana" w:hAnsi="Verdana" w:cs="Arial"/>
          <w:sz w:val="22"/>
          <w:szCs w:val="22"/>
        </w:rPr>
      </w:pPr>
      <w:r w:rsidRPr="00205C60">
        <w:rPr>
          <w:rFonts w:ascii="Verdana" w:hAnsi="Verdana" w:cs="Arial"/>
          <w:sz w:val="22"/>
          <w:szCs w:val="22"/>
        </w:rPr>
        <w:t xml:space="preserve">El ICE y la Compañía aplicarán las mismas normas de diseño y construcción relativas a obras futuras de electrificación, las cuales deben guardar concordancia con los acuerdos tomados o que se lleguen a tomar a nivel centroamericano.  </w:t>
      </w:r>
    </w:p>
    <w:p w14:paraId="3CA7EF5B" w14:textId="187C171B" w:rsidR="005B76DA" w:rsidRPr="00205C60" w:rsidRDefault="005B76DA" w:rsidP="00307E2B">
      <w:pPr>
        <w:numPr>
          <w:ilvl w:val="0"/>
          <w:numId w:val="5"/>
        </w:numPr>
        <w:tabs>
          <w:tab w:val="clear" w:pos="1428"/>
          <w:tab w:val="num" w:pos="900"/>
        </w:tabs>
        <w:ind w:left="900" w:hanging="540"/>
        <w:jc w:val="both"/>
        <w:rPr>
          <w:rFonts w:ascii="Verdana" w:hAnsi="Verdana" w:cs="Arial"/>
          <w:sz w:val="22"/>
          <w:szCs w:val="22"/>
        </w:rPr>
      </w:pPr>
      <w:r w:rsidRPr="00205C60">
        <w:rPr>
          <w:rFonts w:ascii="Verdana" w:hAnsi="Verdana" w:cs="Arial"/>
          <w:sz w:val="22"/>
          <w:szCs w:val="22"/>
        </w:rPr>
        <w:t xml:space="preserve">Cuando ello sea posible y previo los arreglos legales y convenios que correspondan al ICE o a la Compañía, podrán realizar compras tomando en consideración las necesidades de la otra, con el propósito de llevar a cabo entre </w:t>
      </w:r>
      <w:r w:rsidR="008E1CA1" w:rsidRPr="00205C60">
        <w:rPr>
          <w:rFonts w:ascii="Verdana" w:hAnsi="Verdana" w:cs="Arial"/>
          <w:sz w:val="22"/>
          <w:szCs w:val="22"/>
        </w:rPr>
        <w:t>ambos servicios</w:t>
      </w:r>
      <w:r w:rsidRPr="00205C60">
        <w:rPr>
          <w:rFonts w:ascii="Verdana" w:hAnsi="Verdana" w:cs="Arial"/>
          <w:sz w:val="22"/>
          <w:szCs w:val="22"/>
        </w:rPr>
        <w:t xml:space="preserve"> de </w:t>
      </w:r>
      <w:r w:rsidR="00E40500" w:rsidRPr="00205C60">
        <w:rPr>
          <w:rFonts w:ascii="Verdana" w:hAnsi="Verdana" w:cs="Arial"/>
          <w:sz w:val="22"/>
          <w:szCs w:val="22"/>
        </w:rPr>
        <w:t>compraventa</w:t>
      </w:r>
      <w:r w:rsidRPr="00205C60">
        <w:rPr>
          <w:rFonts w:ascii="Verdana" w:hAnsi="Verdana" w:cs="Arial"/>
          <w:sz w:val="22"/>
          <w:szCs w:val="22"/>
        </w:rPr>
        <w:t>.</w:t>
      </w:r>
    </w:p>
    <w:p w14:paraId="3CA7EF5C" w14:textId="77777777" w:rsidR="005B76DA" w:rsidRPr="00205C60" w:rsidRDefault="005B76DA" w:rsidP="00307E2B">
      <w:pPr>
        <w:numPr>
          <w:ilvl w:val="0"/>
          <w:numId w:val="5"/>
        </w:numPr>
        <w:tabs>
          <w:tab w:val="clear" w:pos="1428"/>
          <w:tab w:val="num" w:pos="900"/>
        </w:tabs>
        <w:ind w:left="900" w:hanging="540"/>
        <w:jc w:val="both"/>
        <w:rPr>
          <w:rFonts w:ascii="Verdana" w:hAnsi="Verdana" w:cs="Arial"/>
          <w:sz w:val="22"/>
          <w:szCs w:val="22"/>
        </w:rPr>
      </w:pPr>
      <w:r w:rsidRPr="00205C60">
        <w:rPr>
          <w:rFonts w:ascii="Verdana" w:hAnsi="Verdana" w:cs="Arial"/>
          <w:sz w:val="22"/>
          <w:szCs w:val="22"/>
        </w:rPr>
        <w:t>El ICE y la Compañía tratarán al máximo de uniformar sus sistemas contables y se prestarán servicios mutuos de sus equipos de procesamiento de datos, mecánicos y eléctricos para todas sus actividades.</w:t>
      </w:r>
    </w:p>
    <w:p w14:paraId="3CA7EF5D" w14:textId="77777777" w:rsidR="005B76DA" w:rsidRPr="00205C60" w:rsidRDefault="005B76DA" w:rsidP="00307E2B">
      <w:pPr>
        <w:numPr>
          <w:ilvl w:val="0"/>
          <w:numId w:val="5"/>
        </w:numPr>
        <w:tabs>
          <w:tab w:val="clear" w:pos="1428"/>
          <w:tab w:val="num" w:pos="900"/>
        </w:tabs>
        <w:ind w:left="900" w:hanging="540"/>
        <w:jc w:val="both"/>
        <w:rPr>
          <w:rFonts w:ascii="Verdana" w:hAnsi="Verdana" w:cs="Arial"/>
          <w:sz w:val="22"/>
          <w:szCs w:val="22"/>
        </w:rPr>
      </w:pPr>
      <w:r w:rsidRPr="00205C60">
        <w:rPr>
          <w:rFonts w:ascii="Verdana" w:hAnsi="Verdana" w:cs="Arial"/>
          <w:sz w:val="22"/>
          <w:szCs w:val="22"/>
        </w:rPr>
        <w:t>El ICE y la Compañía intercambiarán literatura, estadísticas y cualquier otra información que tengan a disposición sobre la operación y administración de empresas eléctricas similares a ellas y que se consideren de utilidad para el mejor desenvolvimiento de sus actividades.</w:t>
      </w:r>
    </w:p>
    <w:p w14:paraId="3CA7EF5E" w14:textId="77777777" w:rsidR="005B76DA" w:rsidRPr="00205C60" w:rsidRDefault="005B76DA" w:rsidP="00307E2B">
      <w:pPr>
        <w:numPr>
          <w:ilvl w:val="0"/>
          <w:numId w:val="5"/>
        </w:numPr>
        <w:tabs>
          <w:tab w:val="clear" w:pos="1428"/>
          <w:tab w:val="num" w:pos="900"/>
        </w:tabs>
        <w:ind w:left="900" w:hanging="540"/>
        <w:jc w:val="both"/>
        <w:rPr>
          <w:rFonts w:ascii="Verdana" w:hAnsi="Verdana" w:cs="Arial"/>
          <w:sz w:val="22"/>
          <w:szCs w:val="22"/>
        </w:rPr>
      </w:pPr>
      <w:r w:rsidRPr="00205C60">
        <w:rPr>
          <w:rFonts w:ascii="Verdana" w:hAnsi="Verdana" w:cs="Arial"/>
          <w:sz w:val="22"/>
          <w:szCs w:val="22"/>
        </w:rPr>
        <w:t>El ICE y la Compañía se prestarán las facilidades del caso para el entrenamiento combinado de personal técnico y administrativo a su servicio.</w:t>
      </w:r>
    </w:p>
    <w:p w14:paraId="3CA7EF5F" w14:textId="77777777" w:rsidR="005B76DA" w:rsidRPr="00205C60" w:rsidRDefault="005B76DA" w:rsidP="00307E2B">
      <w:pPr>
        <w:numPr>
          <w:ilvl w:val="0"/>
          <w:numId w:val="5"/>
        </w:numPr>
        <w:tabs>
          <w:tab w:val="clear" w:pos="1428"/>
          <w:tab w:val="num" w:pos="900"/>
        </w:tabs>
        <w:ind w:left="900" w:hanging="540"/>
        <w:jc w:val="both"/>
        <w:rPr>
          <w:rFonts w:ascii="Verdana" w:hAnsi="Verdana" w:cs="Arial"/>
          <w:sz w:val="22"/>
          <w:szCs w:val="22"/>
        </w:rPr>
      </w:pPr>
      <w:r w:rsidRPr="00205C60">
        <w:rPr>
          <w:rFonts w:ascii="Verdana" w:hAnsi="Verdana" w:cs="Arial"/>
          <w:sz w:val="22"/>
          <w:szCs w:val="22"/>
        </w:rPr>
        <w:t>De común acuerdo, el ICE y la Compañía podrán conseguir y contratar los servicios de consultoría y de especialistas que eventualmente requieran.</w:t>
      </w:r>
    </w:p>
    <w:p w14:paraId="3CA7EF60" w14:textId="77777777" w:rsidR="005B76DA" w:rsidRPr="00205C60" w:rsidRDefault="005B76DA" w:rsidP="00307E2B">
      <w:pPr>
        <w:numPr>
          <w:ilvl w:val="0"/>
          <w:numId w:val="5"/>
        </w:numPr>
        <w:tabs>
          <w:tab w:val="clear" w:pos="1428"/>
          <w:tab w:val="num" w:pos="900"/>
        </w:tabs>
        <w:ind w:left="900" w:hanging="540"/>
        <w:jc w:val="both"/>
        <w:rPr>
          <w:rFonts w:ascii="Verdana" w:hAnsi="Verdana" w:cs="Arial"/>
          <w:sz w:val="22"/>
          <w:szCs w:val="22"/>
        </w:rPr>
      </w:pPr>
      <w:r w:rsidRPr="00205C60">
        <w:rPr>
          <w:rFonts w:ascii="Verdana" w:hAnsi="Verdana" w:cs="Arial"/>
          <w:sz w:val="22"/>
          <w:szCs w:val="22"/>
        </w:rPr>
        <w:t>Siempre que para ello no haya impedimento físico o legal, el ICE y la Compañía se prestarán mutuamente los servicios de las facilidades que poseen tales como: instalaciones, equipos, talleres, transportes, etc.</w:t>
      </w:r>
    </w:p>
    <w:p w14:paraId="3CA7EF61" w14:textId="77777777" w:rsidR="005B76DA" w:rsidRPr="00205C60" w:rsidRDefault="005B76DA" w:rsidP="00307E2B">
      <w:pPr>
        <w:numPr>
          <w:ilvl w:val="0"/>
          <w:numId w:val="5"/>
        </w:numPr>
        <w:tabs>
          <w:tab w:val="clear" w:pos="1428"/>
          <w:tab w:val="num" w:pos="900"/>
        </w:tabs>
        <w:ind w:left="900" w:hanging="540"/>
        <w:jc w:val="both"/>
        <w:rPr>
          <w:rFonts w:ascii="Verdana" w:hAnsi="Verdana" w:cs="Arial"/>
          <w:sz w:val="22"/>
          <w:szCs w:val="22"/>
        </w:rPr>
      </w:pPr>
      <w:r w:rsidRPr="00205C60">
        <w:rPr>
          <w:rFonts w:ascii="Verdana" w:hAnsi="Verdana" w:cs="Arial"/>
          <w:sz w:val="22"/>
          <w:szCs w:val="22"/>
        </w:rPr>
        <w:t>El ICE asesorará a la Compañía en la formulación de programas de desarrollo y en la elaboración de las proyecciones económico-financieras, así como colaborará también con aquella en la obtención de los recursos financieros que demande a corto y largo plazo.</w:t>
      </w:r>
    </w:p>
    <w:p w14:paraId="3CA7EF62" w14:textId="77777777" w:rsidR="005B76DA" w:rsidRPr="00205C60" w:rsidRDefault="005B76DA" w:rsidP="00307E2B">
      <w:pPr>
        <w:numPr>
          <w:ilvl w:val="0"/>
          <w:numId w:val="5"/>
        </w:numPr>
        <w:tabs>
          <w:tab w:val="clear" w:pos="1428"/>
          <w:tab w:val="num" w:pos="900"/>
        </w:tabs>
        <w:ind w:left="900" w:hanging="540"/>
        <w:jc w:val="both"/>
        <w:rPr>
          <w:rFonts w:ascii="Verdana" w:hAnsi="Verdana" w:cs="Arial"/>
          <w:sz w:val="22"/>
          <w:szCs w:val="22"/>
        </w:rPr>
      </w:pPr>
      <w:r w:rsidRPr="00205C60">
        <w:rPr>
          <w:rFonts w:ascii="Verdana" w:hAnsi="Verdana" w:cs="Arial"/>
          <w:sz w:val="22"/>
          <w:szCs w:val="22"/>
        </w:rPr>
        <w:t xml:space="preserve">El ICE asesorará a la Compañía y le evacuará consultas en relación con la operación de su sistema, con las ampliaciones </w:t>
      </w:r>
      <w:proofErr w:type="gramStart"/>
      <w:r w:rsidRPr="00205C60">
        <w:rPr>
          <w:rFonts w:ascii="Verdana" w:hAnsi="Verdana" w:cs="Arial"/>
          <w:sz w:val="22"/>
          <w:szCs w:val="22"/>
        </w:rPr>
        <w:t>del mismo</w:t>
      </w:r>
      <w:proofErr w:type="gramEnd"/>
      <w:r w:rsidRPr="00205C60">
        <w:rPr>
          <w:rFonts w:ascii="Verdana" w:hAnsi="Verdana" w:cs="Arial"/>
          <w:sz w:val="22"/>
          <w:szCs w:val="22"/>
        </w:rPr>
        <w:t xml:space="preserve"> y con la concepción de su futuro desarrollo.</w:t>
      </w:r>
    </w:p>
    <w:p w14:paraId="3CA7EF63" w14:textId="77777777" w:rsidR="005B76DA" w:rsidRPr="00205C60" w:rsidRDefault="005B76DA" w:rsidP="00307E2B">
      <w:pPr>
        <w:numPr>
          <w:ilvl w:val="0"/>
          <w:numId w:val="5"/>
        </w:numPr>
        <w:tabs>
          <w:tab w:val="clear" w:pos="1428"/>
          <w:tab w:val="num" w:pos="900"/>
        </w:tabs>
        <w:ind w:left="900" w:hanging="540"/>
        <w:jc w:val="both"/>
        <w:rPr>
          <w:rFonts w:ascii="Verdana" w:hAnsi="Verdana" w:cs="Arial"/>
          <w:sz w:val="22"/>
          <w:szCs w:val="22"/>
        </w:rPr>
      </w:pPr>
      <w:r w:rsidRPr="00205C60">
        <w:rPr>
          <w:rFonts w:ascii="Verdana" w:hAnsi="Verdana" w:cs="Arial"/>
          <w:sz w:val="22"/>
          <w:szCs w:val="22"/>
        </w:rPr>
        <w:t>El ICE le prestará a la Compañía los servicios de ingeniería, confeccionará diseños, planos y presupuestos de las nuevas obras o mejoras a cargo de ella.</w:t>
      </w:r>
    </w:p>
    <w:p w14:paraId="3CA7EF64" w14:textId="77777777" w:rsidR="005B76DA" w:rsidRPr="00205C60" w:rsidRDefault="005B76DA" w:rsidP="00307E2B">
      <w:pPr>
        <w:numPr>
          <w:ilvl w:val="0"/>
          <w:numId w:val="5"/>
        </w:numPr>
        <w:tabs>
          <w:tab w:val="clear" w:pos="1428"/>
          <w:tab w:val="num" w:pos="900"/>
        </w:tabs>
        <w:ind w:left="900" w:hanging="540"/>
        <w:jc w:val="both"/>
        <w:rPr>
          <w:rFonts w:ascii="Verdana" w:hAnsi="Verdana" w:cs="Arial"/>
          <w:sz w:val="22"/>
          <w:szCs w:val="22"/>
        </w:rPr>
      </w:pPr>
      <w:r w:rsidRPr="00205C60">
        <w:rPr>
          <w:rFonts w:ascii="Verdana" w:hAnsi="Verdana" w:cs="Arial"/>
          <w:sz w:val="22"/>
          <w:szCs w:val="22"/>
        </w:rPr>
        <w:t>El ICE asesorará a la Compañía en los aspectos tarifarios, realizará los estudios y proporcionará los informes y demás documentos necesarios para la modificación de estructuras, niveles y reglamentos correspondientes.</w:t>
      </w:r>
    </w:p>
    <w:p w14:paraId="3CA7EF65" w14:textId="77777777" w:rsidR="005B76DA" w:rsidRPr="00205C60" w:rsidRDefault="005B76DA" w:rsidP="00307E2B">
      <w:pPr>
        <w:numPr>
          <w:ilvl w:val="0"/>
          <w:numId w:val="5"/>
        </w:numPr>
        <w:tabs>
          <w:tab w:val="clear" w:pos="1428"/>
          <w:tab w:val="num" w:pos="900"/>
        </w:tabs>
        <w:ind w:left="900" w:hanging="540"/>
        <w:jc w:val="both"/>
        <w:rPr>
          <w:rFonts w:ascii="Verdana" w:hAnsi="Verdana" w:cs="Arial"/>
          <w:sz w:val="22"/>
          <w:szCs w:val="22"/>
        </w:rPr>
      </w:pPr>
      <w:r w:rsidRPr="00205C60">
        <w:rPr>
          <w:rFonts w:ascii="Verdana" w:hAnsi="Verdana" w:cs="Arial"/>
          <w:sz w:val="22"/>
          <w:szCs w:val="22"/>
        </w:rPr>
        <w:t>El ICE y la Compañía se suministrarán, en la medida de sus posibilidades, los servicios de su personal técnico o administrativo para que colabore o asesore en la realización de sus respectivas actividades.</w:t>
      </w:r>
    </w:p>
    <w:p w14:paraId="3CA7EF66" w14:textId="6353B3F3" w:rsidR="005B76DA" w:rsidRPr="00205C60" w:rsidRDefault="005B76DA" w:rsidP="007040B6">
      <w:pPr>
        <w:rPr>
          <w:rFonts w:ascii="Verdana" w:hAnsi="Verdana"/>
          <w:color w:val="FF0000"/>
          <w:sz w:val="22"/>
          <w:szCs w:val="22"/>
        </w:rPr>
      </w:pPr>
    </w:p>
    <w:p w14:paraId="3CA7EF68" w14:textId="77777777" w:rsidR="0055578E" w:rsidRPr="00205C60" w:rsidRDefault="0055578E" w:rsidP="007040B6">
      <w:pPr>
        <w:rPr>
          <w:rFonts w:ascii="Verdana" w:hAnsi="Verdana"/>
          <w:sz w:val="22"/>
          <w:szCs w:val="22"/>
        </w:rPr>
      </w:pPr>
    </w:p>
    <w:p w14:paraId="3CA7EF69" w14:textId="77777777" w:rsidR="00AF18C1" w:rsidRPr="00205C60" w:rsidRDefault="00AF18C1" w:rsidP="00307E2B">
      <w:pPr>
        <w:pStyle w:val="Ttulo2"/>
        <w:numPr>
          <w:ilvl w:val="1"/>
          <w:numId w:val="1"/>
        </w:numPr>
        <w:tabs>
          <w:tab w:val="clear" w:pos="720"/>
          <w:tab w:val="left" w:pos="708"/>
        </w:tabs>
        <w:rPr>
          <w:rFonts w:ascii="Verdana" w:hAnsi="Verdana" w:cs="Arial"/>
          <w:color w:val="auto"/>
          <w:sz w:val="22"/>
          <w:szCs w:val="22"/>
        </w:rPr>
      </w:pPr>
      <w:bookmarkStart w:id="127" w:name="_Toc104529475"/>
      <w:bookmarkEnd w:id="116"/>
      <w:r w:rsidRPr="00205C60">
        <w:rPr>
          <w:rFonts w:ascii="Verdana" w:hAnsi="Verdana" w:cs="Arial"/>
          <w:color w:val="auto"/>
          <w:sz w:val="22"/>
          <w:szCs w:val="22"/>
        </w:rPr>
        <w:t>Estructura organizativa</w:t>
      </w:r>
      <w:bookmarkEnd w:id="127"/>
    </w:p>
    <w:p w14:paraId="3CA7EF6A" w14:textId="77777777" w:rsidR="006679C8" w:rsidRPr="00205C60" w:rsidRDefault="006679C8" w:rsidP="00E94CEC">
      <w:pPr>
        <w:rPr>
          <w:rFonts w:ascii="Verdana" w:hAnsi="Verdana"/>
          <w:sz w:val="22"/>
          <w:szCs w:val="22"/>
        </w:rPr>
      </w:pPr>
    </w:p>
    <w:p w14:paraId="3CA7EF6B" w14:textId="1DD19235" w:rsidR="00CF151F" w:rsidRPr="00205C60" w:rsidRDefault="001E06CA" w:rsidP="008B58FF">
      <w:pPr>
        <w:jc w:val="both"/>
        <w:rPr>
          <w:rFonts w:ascii="Verdana" w:hAnsi="Verdana" w:cs="Arial"/>
          <w:sz w:val="22"/>
          <w:szCs w:val="22"/>
        </w:rPr>
      </w:pPr>
      <w:r w:rsidRPr="00205C60">
        <w:rPr>
          <w:rFonts w:ascii="Verdana" w:hAnsi="Verdana" w:cs="Arial"/>
          <w:sz w:val="22"/>
          <w:szCs w:val="22"/>
        </w:rPr>
        <w:t xml:space="preserve">La </w:t>
      </w:r>
      <w:r w:rsidR="00C84765" w:rsidRPr="00205C60">
        <w:rPr>
          <w:rFonts w:ascii="Verdana" w:hAnsi="Verdana" w:cs="Arial"/>
          <w:sz w:val="22"/>
          <w:szCs w:val="22"/>
        </w:rPr>
        <w:t xml:space="preserve">Compañía Nacional de Fuerza y Luz, S.A. está </w:t>
      </w:r>
      <w:r w:rsidRPr="00205C60">
        <w:rPr>
          <w:rFonts w:ascii="Verdana" w:hAnsi="Verdana" w:cs="Arial"/>
          <w:sz w:val="22"/>
          <w:szCs w:val="22"/>
        </w:rPr>
        <w:t>estructura</w:t>
      </w:r>
      <w:r w:rsidR="00C84765" w:rsidRPr="00205C60">
        <w:rPr>
          <w:rFonts w:ascii="Verdana" w:hAnsi="Verdana" w:cs="Arial"/>
          <w:sz w:val="22"/>
          <w:szCs w:val="22"/>
        </w:rPr>
        <w:t>da</w:t>
      </w:r>
      <w:r w:rsidRPr="00205C60">
        <w:rPr>
          <w:rFonts w:ascii="Verdana" w:hAnsi="Verdana" w:cs="Arial"/>
          <w:sz w:val="22"/>
          <w:szCs w:val="22"/>
        </w:rPr>
        <w:t xml:space="preserve"> </w:t>
      </w:r>
      <w:r w:rsidR="005107C1" w:rsidRPr="00205C60">
        <w:rPr>
          <w:rFonts w:ascii="Verdana" w:hAnsi="Verdana" w:cs="Arial"/>
          <w:sz w:val="22"/>
          <w:szCs w:val="22"/>
        </w:rPr>
        <w:t>organizativamente como</w:t>
      </w:r>
      <w:r w:rsidR="00C84765" w:rsidRPr="00205C60">
        <w:rPr>
          <w:rFonts w:ascii="Verdana" w:hAnsi="Verdana" w:cs="Arial"/>
          <w:sz w:val="22"/>
          <w:szCs w:val="22"/>
        </w:rPr>
        <w:t xml:space="preserve"> se muestra a </w:t>
      </w:r>
      <w:r w:rsidRPr="00205C60">
        <w:rPr>
          <w:rFonts w:ascii="Verdana" w:hAnsi="Verdana" w:cs="Arial"/>
          <w:sz w:val="22"/>
          <w:szCs w:val="22"/>
        </w:rPr>
        <w:t>continuaci</w:t>
      </w:r>
      <w:r w:rsidR="00403DCE" w:rsidRPr="00205C60">
        <w:rPr>
          <w:rFonts w:ascii="Verdana" w:hAnsi="Verdana" w:cs="Arial"/>
          <w:sz w:val="22"/>
          <w:szCs w:val="22"/>
        </w:rPr>
        <w:t xml:space="preserve">ón, en donde se pueden identificar las </w:t>
      </w:r>
      <w:r w:rsidR="004A5FF0" w:rsidRPr="00205C60">
        <w:rPr>
          <w:rFonts w:ascii="Verdana" w:hAnsi="Verdana" w:cs="Arial"/>
          <w:sz w:val="22"/>
          <w:szCs w:val="22"/>
        </w:rPr>
        <w:t xml:space="preserve">principales líneas </w:t>
      </w:r>
      <w:r w:rsidR="00E36F4A" w:rsidRPr="00205C60">
        <w:rPr>
          <w:rFonts w:ascii="Verdana" w:hAnsi="Verdana" w:cs="Arial"/>
          <w:sz w:val="22"/>
          <w:szCs w:val="22"/>
        </w:rPr>
        <w:t>de autoridad y responsabilidad:</w:t>
      </w:r>
    </w:p>
    <w:p w14:paraId="3CA7EF6C" w14:textId="21B87DF4" w:rsidR="00050404" w:rsidRPr="00205C60" w:rsidRDefault="00050404" w:rsidP="00E36F4A">
      <w:pPr>
        <w:jc w:val="center"/>
        <w:rPr>
          <w:rFonts w:ascii="Verdana" w:hAnsi="Verdana"/>
          <w:noProof/>
          <w:sz w:val="22"/>
          <w:szCs w:val="22"/>
          <w:lang w:val="es-CR" w:eastAsia="es-CR"/>
        </w:rPr>
      </w:pPr>
    </w:p>
    <w:p w14:paraId="3DC4B9EE" w14:textId="44FAD201" w:rsidR="00356C53" w:rsidRPr="00205C60" w:rsidRDefault="00356C53" w:rsidP="00E36F4A">
      <w:pPr>
        <w:jc w:val="center"/>
        <w:rPr>
          <w:rFonts w:ascii="Verdana" w:hAnsi="Verdana"/>
          <w:noProof/>
          <w:sz w:val="22"/>
          <w:szCs w:val="22"/>
          <w:lang w:val="es-CR" w:eastAsia="es-CR"/>
        </w:rPr>
      </w:pPr>
      <w:r w:rsidRPr="00205C60">
        <w:rPr>
          <w:rFonts w:ascii="Verdana" w:hAnsi="Verdana"/>
          <w:noProof/>
          <w:sz w:val="22"/>
          <w:szCs w:val="22"/>
          <w:lang w:val="es-CR" w:eastAsia="es-CR"/>
        </w:rPr>
        <w:drawing>
          <wp:inline distT="0" distB="0" distL="0" distR="0" wp14:anchorId="7E6BF458" wp14:editId="05774A78">
            <wp:extent cx="6194066" cy="295681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24490" cy="2971338"/>
                    </a:xfrm>
                    <a:prstGeom prst="rect">
                      <a:avLst/>
                    </a:prstGeom>
                    <a:noFill/>
                  </pic:spPr>
                </pic:pic>
              </a:graphicData>
            </a:graphic>
          </wp:inline>
        </w:drawing>
      </w:r>
    </w:p>
    <w:p w14:paraId="58599E7C" w14:textId="77777777" w:rsidR="006F7C31" w:rsidRPr="00205C60" w:rsidRDefault="006F7C31" w:rsidP="006F7C31">
      <w:pPr>
        <w:rPr>
          <w:rFonts w:ascii="Verdana" w:hAnsi="Verdana"/>
          <w:sz w:val="16"/>
          <w:szCs w:val="16"/>
        </w:rPr>
      </w:pPr>
      <w:r w:rsidRPr="00205C60">
        <w:rPr>
          <w:rFonts w:ascii="Verdana" w:hAnsi="Verdana"/>
          <w:sz w:val="16"/>
          <w:szCs w:val="16"/>
        </w:rPr>
        <w:t>Nota: Organigrama aprobado por el Consejo de Administración de la CNFL, S.A. según el capítulo I, artículo 2º del acta de la Sesión Extraordinaria Virtual No. 2589, celebrada el jueves 28 de abril de 2022.</w:t>
      </w:r>
    </w:p>
    <w:p w14:paraId="3CA7EF6D" w14:textId="009819D5" w:rsidR="00F90B60" w:rsidRPr="00205C60" w:rsidRDefault="00F90B60" w:rsidP="00E36F4A">
      <w:pPr>
        <w:jc w:val="center"/>
        <w:rPr>
          <w:rFonts w:ascii="Verdana" w:hAnsi="Verdana" w:cs="Arial"/>
          <w:color w:val="FF0000"/>
          <w:sz w:val="22"/>
          <w:szCs w:val="22"/>
        </w:rPr>
      </w:pPr>
    </w:p>
    <w:p w14:paraId="3CA7EF71" w14:textId="4734EF99" w:rsidR="00907095" w:rsidRPr="00205C60" w:rsidRDefault="009B26FE" w:rsidP="006C5343">
      <w:pPr>
        <w:jc w:val="both"/>
        <w:rPr>
          <w:rFonts w:ascii="Verdana" w:hAnsi="Verdana" w:cs="Arial"/>
          <w:sz w:val="22"/>
          <w:szCs w:val="22"/>
        </w:rPr>
      </w:pPr>
      <w:bookmarkStart w:id="128" w:name="_Toc64699230"/>
      <w:bookmarkStart w:id="129" w:name="_Toc102455550"/>
      <w:r w:rsidRPr="00205C60">
        <w:rPr>
          <w:rFonts w:ascii="Verdana" w:hAnsi="Verdana" w:cs="Arial"/>
          <w:sz w:val="22"/>
          <w:szCs w:val="22"/>
        </w:rPr>
        <w:t>A</w:t>
      </w:r>
      <w:r w:rsidR="00B81E2A" w:rsidRPr="00205C60">
        <w:rPr>
          <w:rFonts w:ascii="Verdana" w:hAnsi="Verdana" w:cs="Arial"/>
          <w:sz w:val="22"/>
          <w:szCs w:val="22"/>
        </w:rPr>
        <w:t xml:space="preserve">demás, la Compañía cuenta con una subsidiaria denominada </w:t>
      </w:r>
      <w:r w:rsidR="006A5555" w:rsidRPr="00205C60">
        <w:rPr>
          <w:rFonts w:ascii="Verdana" w:hAnsi="Verdana" w:cs="Arial"/>
          <w:sz w:val="22"/>
          <w:szCs w:val="22"/>
        </w:rPr>
        <w:t>Ingeniería Energética S.A. (</w:t>
      </w:r>
      <w:r w:rsidR="00B81E2A" w:rsidRPr="00205C60">
        <w:rPr>
          <w:rFonts w:ascii="Verdana" w:hAnsi="Verdana" w:cs="Arial"/>
          <w:sz w:val="22"/>
          <w:szCs w:val="22"/>
        </w:rPr>
        <w:t>INESA</w:t>
      </w:r>
      <w:r w:rsidR="006A5555" w:rsidRPr="00205C60">
        <w:rPr>
          <w:rFonts w:ascii="Verdana" w:hAnsi="Verdana" w:cs="Arial"/>
          <w:sz w:val="22"/>
          <w:szCs w:val="22"/>
        </w:rPr>
        <w:t xml:space="preserve">) </w:t>
      </w:r>
      <w:r w:rsidR="00907095" w:rsidRPr="00205C60">
        <w:rPr>
          <w:rFonts w:ascii="Verdana" w:hAnsi="Verdana" w:cs="Arial"/>
          <w:sz w:val="22"/>
          <w:szCs w:val="22"/>
        </w:rPr>
        <w:t xml:space="preserve">firma costarricense </w:t>
      </w:r>
      <w:r w:rsidR="006A5555" w:rsidRPr="00205C60">
        <w:rPr>
          <w:rFonts w:ascii="Verdana" w:hAnsi="Verdana" w:cs="Arial"/>
          <w:sz w:val="22"/>
          <w:szCs w:val="22"/>
        </w:rPr>
        <w:t>con domicilio en San José, avenida quinta, entre calles central y primera,</w:t>
      </w:r>
      <w:r w:rsidR="00B81E2A" w:rsidRPr="00205C60">
        <w:rPr>
          <w:rFonts w:ascii="Verdana" w:hAnsi="Verdana" w:cs="Arial"/>
          <w:sz w:val="22"/>
          <w:szCs w:val="22"/>
        </w:rPr>
        <w:t xml:space="preserve"> </w:t>
      </w:r>
      <w:r w:rsidR="006A5555" w:rsidRPr="00205C60">
        <w:rPr>
          <w:rFonts w:ascii="Verdana" w:hAnsi="Verdana" w:cs="Arial"/>
          <w:sz w:val="22"/>
          <w:szCs w:val="22"/>
        </w:rPr>
        <w:t>inscrita en el Registro Público al tomo</w:t>
      </w:r>
      <w:r w:rsidR="00383D83" w:rsidRPr="00205C60">
        <w:rPr>
          <w:rFonts w:ascii="Verdana" w:hAnsi="Verdana" w:cs="Arial"/>
          <w:sz w:val="22"/>
          <w:szCs w:val="22"/>
        </w:rPr>
        <w:t xml:space="preserve"> 116</w:t>
      </w:r>
      <w:r w:rsidR="006A5555" w:rsidRPr="00205C60">
        <w:rPr>
          <w:rFonts w:ascii="Verdana" w:hAnsi="Verdana" w:cs="Arial"/>
          <w:sz w:val="22"/>
          <w:szCs w:val="22"/>
        </w:rPr>
        <w:t xml:space="preserve">, </w:t>
      </w:r>
      <w:r w:rsidR="00383D83" w:rsidRPr="00205C60">
        <w:rPr>
          <w:rFonts w:ascii="Verdana" w:hAnsi="Verdana" w:cs="Arial"/>
          <w:sz w:val="22"/>
          <w:szCs w:val="22"/>
        </w:rPr>
        <w:t>folio 501,</w:t>
      </w:r>
      <w:r w:rsidR="00907095" w:rsidRPr="00205C60">
        <w:rPr>
          <w:rFonts w:ascii="Verdana" w:hAnsi="Verdana" w:cs="Arial"/>
          <w:sz w:val="22"/>
          <w:szCs w:val="22"/>
        </w:rPr>
        <w:t xml:space="preserve"> </w:t>
      </w:r>
      <w:r w:rsidR="006A5555" w:rsidRPr="00205C60">
        <w:rPr>
          <w:rFonts w:ascii="Verdana" w:hAnsi="Verdana" w:cs="Arial"/>
          <w:sz w:val="22"/>
          <w:szCs w:val="22"/>
        </w:rPr>
        <w:t>asiento</w:t>
      </w:r>
      <w:r w:rsidR="00383D83" w:rsidRPr="00205C60">
        <w:rPr>
          <w:rFonts w:ascii="Verdana" w:hAnsi="Verdana" w:cs="Arial"/>
          <w:sz w:val="22"/>
          <w:szCs w:val="22"/>
        </w:rPr>
        <w:t xml:space="preserve"> 341</w:t>
      </w:r>
      <w:r w:rsidR="00CC6E7D" w:rsidRPr="00205C60">
        <w:rPr>
          <w:rFonts w:ascii="Verdana" w:hAnsi="Verdana" w:cs="Arial"/>
          <w:sz w:val="22"/>
          <w:szCs w:val="22"/>
        </w:rPr>
        <w:t xml:space="preserve">.  </w:t>
      </w:r>
      <w:r w:rsidR="00907095" w:rsidRPr="00205C60">
        <w:rPr>
          <w:rFonts w:ascii="Verdana" w:hAnsi="Verdana" w:cs="Arial"/>
          <w:sz w:val="22"/>
          <w:szCs w:val="22"/>
        </w:rPr>
        <w:t xml:space="preserve">Su capital social asciende a la suma de cien mil colones representado por mil acciones comunes y nominativas de cien colones cada una de la siguiente forma:  a) la CNFL, S.A. novecientas noventa y seis acciones, b) El Sindicato Industrial de Trabajadores Eléctricos y de Telecomunicaciones (SITET) una acción, c) La Cooperativa de Ahorro y Crédito de los Empleados del Sector Público, Privado e Independiente R.L. (COOPEFYL R.L.) </w:t>
      </w:r>
      <w:r w:rsidR="009F31F3" w:rsidRPr="00205C60">
        <w:rPr>
          <w:rFonts w:ascii="Verdana" w:hAnsi="Verdana" w:cs="Arial"/>
          <w:sz w:val="22"/>
          <w:szCs w:val="22"/>
        </w:rPr>
        <w:t>una acción, d) La Asociación Solidarista de Empleados de la Compañía Nacional de Fuerza y Luz (ASEFYL) una acción y e) La Asociación de Empleados Pensionados de la Compañía Nacional de Fuerza y Luz, una acción.</w:t>
      </w:r>
    </w:p>
    <w:p w14:paraId="3CA7EF72" w14:textId="77777777" w:rsidR="006D7636" w:rsidRPr="00205C60" w:rsidRDefault="006D7636" w:rsidP="006C5343">
      <w:pPr>
        <w:jc w:val="both"/>
        <w:rPr>
          <w:rFonts w:ascii="Verdana" w:hAnsi="Verdana" w:cs="Arial"/>
          <w:sz w:val="22"/>
          <w:szCs w:val="22"/>
        </w:rPr>
      </w:pPr>
    </w:p>
    <w:p w14:paraId="3CA7EF73" w14:textId="6425CEB1" w:rsidR="00B81E2A" w:rsidRPr="00205C60" w:rsidRDefault="00CC6E7D" w:rsidP="006C5343">
      <w:pPr>
        <w:jc w:val="both"/>
        <w:rPr>
          <w:rFonts w:ascii="Verdana" w:hAnsi="Verdana" w:cs="Arial"/>
          <w:sz w:val="22"/>
          <w:szCs w:val="22"/>
        </w:rPr>
      </w:pPr>
      <w:r w:rsidRPr="00205C60">
        <w:rPr>
          <w:rFonts w:ascii="Verdana" w:hAnsi="Verdana" w:cs="Arial"/>
          <w:sz w:val="22"/>
          <w:szCs w:val="22"/>
        </w:rPr>
        <w:t xml:space="preserve">Dicha sociedad </w:t>
      </w:r>
      <w:r w:rsidR="00D1746D" w:rsidRPr="00205C60">
        <w:rPr>
          <w:rFonts w:ascii="Verdana" w:hAnsi="Verdana" w:cs="Arial"/>
          <w:sz w:val="22"/>
          <w:szCs w:val="22"/>
        </w:rPr>
        <w:t>se constituyó</w:t>
      </w:r>
      <w:r w:rsidR="006A5555" w:rsidRPr="00205C60">
        <w:rPr>
          <w:rFonts w:ascii="Verdana" w:hAnsi="Verdana" w:cs="Arial"/>
          <w:sz w:val="22"/>
          <w:szCs w:val="22"/>
        </w:rPr>
        <w:t xml:space="preserve"> principalmente para la comercialización de servicios en el campo de la eficiencia energética e implementación de programas de uso racional de la energía.</w:t>
      </w:r>
      <w:r w:rsidR="00402519" w:rsidRPr="00205C60">
        <w:rPr>
          <w:rFonts w:ascii="Verdana" w:hAnsi="Verdana" w:cs="Arial"/>
          <w:sz w:val="22"/>
          <w:szCs w:val="22"/>
        </w:rPr>
        <w:t xml:space="preserve"> A la fecha la subsidiaria no ha iniciado operaciones.</w:t>
      </w:r>
    </w:p>
    <w:p w14:paraId="3CA7EF74" w14:textId="33E754F6" w:rsidR="00B81E2A" w:rsidRPr="00205C60" w:rsidRDefault="00B81E2A" w:rsidP="001769FD">
      <w:pPr>
        <w:rPr>
          <w:rFonts w:ascii="Verdana" w:hAnsi="Verdana" w:cs="Arial"/>
          <w:sz w:val="22"/>
          <w:szCs w:val="22"/>
        </w:rPr>
      </w:pPr>
    </w:p>
    <w:p w14:paraId="3CA7EF75" w14:textId="77777777" w:rsidR="001769FD" w:rsidRPr="00205C60" w:rsidRDefault="00B81E2A" w:rsidP="00F9055F">
      <w:pPr>
        <w:jc w:val="both"/>
        <w:rPr>
          <w:rFonts w:ascii="Verdana" w:hAnsi="Verdana" w:cs="Arial"/>
          <w:sz w:val="22"/>
          <w:szCs w:val="22"/>
        </w:rPr>
      </w:pPr>
      <w:r w:rsidRPr="00205C60">
        <w:rPr>
          <w:rFonts w:ascii="Verdana" w:hAnsi="Verdana" w:cs="Arial"/>
          <w:sz w:val="22"/>
          <w:szCs w:val="22"/>
        </w:rPr>
        <w:t>Por otra parte</w:t>
      </w:r>
      <w:r w:rsidR="001769FD" w:rsidRPr="00205C60">
        <w:rPr>
          <w:rFonts w:ascii="Verdana" w:hAnsi="Verdana" w:cs="Arial"/>
          <w:sz w:val="22"/>
          <w:szCs w:val="22"/>
        </w:rPr>
        <w:t xml:space="preserve">, la Compañía Nacional de Fuerza y Luz, S.A. forma parte del </w:t>
      </w:r>
      <w:r w:rsidR="00BB1AB0" w:rsidRPr="00205C60">
        <w:rPr>
          <w:rFonts w:ascii="Verdana" w:hAnsi="Verdana" w:cs="Arial"/>
          <w:sz w:val="22"/>
          <w:szCs w:val="22"/>
        </w:rPr>
        <w:t>“</w:t>
      </w:r>
      <w:r w:rsidR="001769FD" w:rsidRPr="00205C60">
        <w:rPr>
          <w:rFonts w:ascii="Verdana" w:hAnsi="Verdana" w:cs="Arial"/>
          <w:sz w:val="22"/>
          <w:szCs w:val="22"/>
        </w:rPr>
        <w:t>Grupo ICE</w:t>
      </w:r>
      <w:r w:rsidR="00BB1AB0" w:rsidRPr="00205C60">
        <w:rPr>
          <w:rFonts w:ascii="Verdana" w:hAnsi="Verdana" w:cs="Arial"/>
          <w:sz w:val="22"/>
          <w:szCs w:val="22"/>
        </w:rPr>
        <w:t>”</w:t>
      </w:r>
      <w:r w:rsidR="00C92D08" w:rsidRPr="00205C60">
        <w:rPr>
          <w:rFonts w:ascii="Verdana" w:hAnsi="Verdana" w:cs="Arial"/>
          <w:sz w:val="22"/>
          <w:szCs w:val="22"/>
        </w:rPr>
        <w:t xml:space="preserve"> y de conformidad con el artículo 5 de la Ley 8660 “Fortalecimiento y modernización de las entidades públicas del sector de telecomunicaciones” son empresas del ICE las siguientes: </w:t>
      </w:r>
    </w:p>
    <w:p w14:paraId="3CA7EF76" w14:textId="77777777" w:rsidR="006679C8" w:rsidRPr="00205C60" w:rsidRDefault="006679C8" w:rsidP="00F9055F">
      <w:pPr>
        <w:jc w:val="both"/>
        <w:rPr>
          <w:rFonts w:ascii="Verdana" w:hAnsi="Verdana" w:cs="Arial"/>
          <w:sz w:val="22"/>
          <w:szCs w:val="22"/>
        </w:rPr>
      </w:pPr>
    </w:p>
    <w:p w14:paraId="3CA7EF77" w14:textId="77777777" w:rsidR="001769FD" w:rsidRPr="00205C60" w:rsidRDefault="001769FD" w:rsidP="00046EA9">
      <w:pPr>
        <w:numPr>
          <w:ilvl w:val="0"/>
          <w:numId w:val="8"/>
        </w:numPr>
        <w:rPr>
          <w:rFonts w:ascii="Verdana" w:hAnsi="Verdana" w:cs="Arial"/>
          <w:color w:val="000000"/>
          <w:sz w:val="22"/>
          <w:szCs w:val="22"/>
        </w:rPr>
      </w:pPr>
      <w:r w:rsidRPr="00205C60">
        <w:rPr>
          <w:rFonts w:ascii="Verdana" w:hAnsi="Verdana" w:cs="Arial"/>
          <w:sz w:val="22"/>
          <w:szCs w:val="22"/>
        </w:rPr>
        <w:t>Compañía Nacional de Fuerza y Luz</w:t>
      </w:r>
      <w:r w:rsidR="0032549D" w:rsidRPr="00205C60">
        <w:rPr>
          <w:rFonts w:ascii="Verdana" w:hAnsi="Verdana" w:cs="Arial"/>
          <w:sz w:val="22"/>
          <w:szCs w:val="22"/>
        </w:rPr>
        <w:t>,</w:t>
      </w:r>
      <w:r w:rsidRPr="00205C60">
        <w:rPr>
          <w:rFonts w:ascii="Verdana" w:hAnsi="Verdana" w:cs="Arial"/>
          <w:sz w:val="22"/>
          <w:szCs w:val="22"/>
        </w:rPr>
        <w:t xml:space="preserve"> S.A. (CNFL) </w:t>
      </w:r>
      <w:r w:rsidR="00BA677C" w:rsidRPr="00205C60">
        <w:rPr>
          <w:rFonts w:ascii="Verdana" w:hAnsi="Verdana" w:cs="Arial"/>
          <w:sz w:val="22"/>
          <w:szCs w:val="22"/>
        </w:rPr>
        <w:t xml:space="preserve">en donde el ICE mantiene una </w:t>
      </w:r>
      <w:r w:rsidRPr="00205C60">
        <w:rPr>
          <w:rFonts w:ascii="Verdana" w:hAnsi="Verdana" w:cs="Arial"/>
          <w:color w:val="000000"/>
          <w:sz w:val="22"/>
          <w:szCs w:val="22"/>
        </w:rPr>
        <w:t>condición</w:t>
      </w:r>
      <w:r w:rsidR="00BA677C" w:rsidRPr="00205C60">
        <w:rPr>
          <w:rFonts w:ascii="Verdana" w:hAnsi="Verdana" w:cs="Arial"/>
          <w:color w:val="000000"/>
          <w:sz w:val="22"/>
          <w:szCs w:val="22"/>
        </w:rPr>
        <w:t xml:space="preserve"> de accionista</w:t>
      </w:r>
      <w:r w:rsidRPr="00205C60">
        <w:rPr>
          <w:rFonts w:ascii="Verdana" w:hAnsi="Verdana" w:cs="Arial"/>
          <w:color w:val="000000"/>
          <w:sz w:val="22"/>
          <w:szCs w:val="22"/>
        </w:rPr>
        <w:t xml:space="preserve"> mayoritari</w:t>
      </w:r>
      <w:r w:rsidR="00BA677C" w:rsidRPr="00205C60">
        <w:rPr>
          <w:rFonts w:ascii="Verdana" w:hAnsi="Verdana" w:cs="Arial"/>
          <w:color w:val="000000"/>
          <w:sz w:val="22"/>
          <w:szCs w:val="22"/>
        </w:rPr>
        <w:t>o</w:t>
      </w:r>
      <w:r w:rsidRPr="00205C60">
        <w:rPr>
          <w:rFonts w:ascii="Verdana" w:hAnsi="Verdana" w:cs="Arial"/>
          <w:color w:val="000000"/>
          <w:sz w:val="22"/>
          <w:szCs w:val="22"/>
        </w:rPr>
        <w:t>.</w:t>
      </w:r>
    </w:p>
    <w:p w14:paraId="3CA7EF78" w14:textId="6B8F28F8" w:rsidR="001769FD" w:rsidRPr="00205C60" w:rsidRDefault="001769FD" w:rsidP="00046EA9">
      <w:pPr>
        <w:numPr>
          <w:ilvl w:val="0"/>
          <w:numId w:val="8"/>
        </w:numPr>
        <w:rPr>
          <w:rFonts w:ascii="Verdana" w:hAnsi="Verdana" w:cs="Arial"/>
          <w:sz w:val="22"/>
          <w:szCs w:val="22"/>
        </w:rPr>
      </w:pPr>
      <w:r w:rsidRPr="00205C60">
        <w:rPr>
          <w:rFonts w:ascii="Verdana" w:hAnsi="Verdana" w:cs="Arial"/>
          <w:sz w:val="22"/>
          <w:szCs w:val="22"/>
        </w:rPr>
        <w:t>Radiográfica Costarricense</w:t>
      </w:r>
      <w:r w:rsidR="00E40500">
        <w:rPr>
          <w:rFonts w:ascii="Verdana" w:hAnsi="Verdana" w:cs="Arial"/>
          <w:sz w:val="22"/>
          <w:szCs w:val="22"/>
        </w:rPr>
        <w:t>,</w:t>
      </w:r>
      <w:r w:rsidRPr="00205C60">
        <w:rPr>
          <w:rFonts w:ascii="Verdana" w:hAnsi="Verdana" w:cs="Arial"/>
          <w:sz w:val="22"/>
          <w:szCs w:val="22"/>
        </w:rPr>
        <w:t xml:space="preserve"> S.A. (RACSA)</w:t>
      </w:r>
    </w:p>
    <w:p w14:paraId="3CA7EF7B" w14:textId="31BED563" w:rsidR="001769FD" w:rsidRPr="00205C60" w:rsidRDefault="00945306" w:rsidP="00046EA9">
      <w:pPr>
        <w:numPr>
          <w:ilvl w:val="0"/>
          <w:numId w:val="8"/>
        </w:numPr>
        <w:rPr>
          <w:rFonts w:ascii="Verdana" w:hAnsi="Verdana" w:cs="Arial"/>
          <w:sz w:val="22"/>
          <w:szCs w:val="22"/>
        </w:rPr>
      </w:pPr>
      <w:r w:rsidRPr="00205C60">
        <w:rPr>
          <w:rFonts w:ascii="Verdana" w:hAnsi="Verdana" w:cs="Arial"/>
          <w:sz w:val="22"/>
          <w:szCs w:val="22"/>
        </w:rPr>
        <w:t>Gestión de Cobro Grupo ICE</w:t>
      </w:r>
    </w:p>
    <w:p w14:paraId="010CF96E" w14:textId="69C9A8DB" w:rsidR="00945306" w:rsidRPr="00205C60" w:rsidRDefault="00945306" w:rsidP="00945306">
      <w:pPr>
        <w:rPr>
          <w:rFonts w:ascii="Verdana" w:hAnsi="Verdana" w:cs="Arial"/>
          <w:sz w:val="22"/>
          <w:szCs w:val="22"/>
        </w:rPr>
      </w:pPr>
    </w:p>
    <w:p w14:paraId="785FC6BA" w14:textId="05C42325" w:rsidR="00945306" w:rsidRPr="00205C60" w:rsidRDefault="00945306" w:rsidP="00BE4B87">
      <w:pPr>
        <w:jc w:val="both"/>
        <w:rPr>
          <w:rFonts w:ascii="Verdana" w:hAnsi="Verdana" w:cs="Arial"/>
          <w:sz w:val="22"/>
          <w:szCs w:val="22"/>
        </w:rPr>
      </w:pPr>
      <w:r w:rsidRPr="00205C60">
        <w:rPr>
          <w:rFonts w:ascii="Verdana" w:hAnsi="Verdana" w:cs="Arial"/>
          <w:sz w:val="22"/>
          <w:szCs w:val="22"/>
        </w:rPr>
        <w:t xml:space="preserve">Hoy el Grupo ICE está integrado por cuatro empresas que ofrecen soluciones de vanguardia en electricidad y telecomunicaciones a los habitantes de Costa Rica, el Instituto Costarricense de Electricidad (ICE), que opera como casa matriz, la Compañía Nacional de Fuerza y Luz, SA (CNFL), Radiográfica Costarricense (RACSA), </w:t>
      </w:r>
      <w:r w:rsidR="00BE4B87" w:rsidRPr="00205C60">
        <w:rPr>
          <w:rFonts w:ascii="Verdana" w:hAnsi="Verdana" w:cs="Arial"/>
          <w:sz w:val="22"/>
          <w:szCs w:val="22"/>
        </w:rPr>
        <w:t>y más recientemente, Gestión Cobro, aunque esta se enfoca en el soporte de cobro administrativo y judicial a sus tres empresas hermanas.</w:t>
      </w:r>
    </w:p>
    <w:p w14:paraId="50850188" w14:textId="1998ACFE" w:rsidR="00BE4B87" w:rsidRPr="00205C60" w:rsidRDefault="00BE4B87" w:rsidP="00BE4B87">
      <w:pPr>
        <w:jc w:val="both"/>
        <w:rPr>
          <w:rFonts w:ascii="Verdana" w:hAnsi="Verdana" w:cs="Arial"/>
          <w:sz w:val="22"/>
          <w:szCs w:val="22"/>
        </w:rPr>
      </w:pPr>
    </w:p>
    <w:p w14:paraId="11315ABA" w14:textId="116F2363" w:rsidR="00BE4B87" w:rsidRPr="00205C60" w:rsidRDefault="00BE4B87" w:rsidP="00BE4B87">
      <w:pPr>
        <w:jc w:val="both"/>
        <w:rPr>
          <w:rFonts w:ascii="Verdana" w:hAnsi="Verdana" w:cs="Arial"/>
          <w:sz w:val="22"/>
          <w:szCs w:val="22"/>
        </w:rPr>
      </w:pPr>
      <w:r w:rsidRPr="00205C60">
        <w:rPr>
          <w:rFonts w:ascii="Verdana" w:hAnsi="Verdana" w:cs="Arial"/>
          <w:sz w:val="22"/>
          <w:szCs w:val="22"/>
        </w:rPr>
        <w:t xml:space="preserve">Si bien, la </w:t>
      </w:r>
      <w:r w:rsidR="00D76890" w:rsidRPr="00205C60">
        <w:rPr>
          <w:rFonts w:ascii="Verdana" w:hAnsi="Verdana" w:cs="Arial"/>
          <w:sz w:val="22"/>
          <w:szCs w:val="22"/>
        </w:rPr>
        <w:t>CNFL y</w:t>
      </w:r>
      <w:r w:rsidRPr="00205C60">
        <w:rPr>
          <w:rFonts w:ascii="Verdana" w:hAnsi="Verdana" w:cs="Arial"/>
          <w:sz w:val="22"/>
          <w:szCs w:val="22"/>
        </w:rPr>
        <w:t xml:space="preserve"> RACSA nacieron décadas antes, es tras su integración al ICE en la década de los años 60, que fortalecen su aporte a la electrificación y las telecomunicaciones con un sentido social y ambiental.</w:t>
      </w:r>
    </w:p>
    <w:p w14:paraId="3AB931D5" w14:textId="6DB97FB5" w:rsidR="00BE4B87" w:rsidRPr="00205C60" w:rsidRDefault="00BE4B87" w:rsidP="00BE4B87">
      <w:pPr>
        <w:jc w:val="both"/>
        <w:rPr>
          <w:rFonts w:ascii="Verdana" w:hAnsi="Verdana" w:cs="Arial"/>
          <w:sz w:val="22"/>
          <w:szCs w:val="22"/>
        </w:rPr>
      </w:pPr>
    </w:p>
    <w:p w14:paraId="00653FF7" w14:textId="7203FAAE" w:rsidR="00BE4B87" w:rsidRPr="00205C60" w:rsidRDefault="00BE4B87" w:rsidP="00D76890">
      <w:pPr>
        <w:jc w:val="both"/>
        <w:rPr>
          <w:rFonts w:ascii="Verdana" w:hAnsi="Verdana" w:cs="Arial"/>
          <w:sz w:val="22"/>
          <w:szCs w:val="22"/>
        </w:rPr>
      </w:pPr>
      <w:r w:rsidRPr="00205C60">
        <w:rPr>
          <w:rFonts w:ascii="Verdana" w:hAnsi="Verdana" w:cs="Arial"/>
          <w:sz w:val="22"/>
          <w:szCs w:val="22"/>
        </w:rPr>
        <w:t>El Grupo cuenta con una robusta red de 40 plantas de generación y sistemas de trasmisión y generación de vanguardia.</w:t>
      </w:r>
    </w:p>
    <w:p w14:paraId="1DB4D8D4" w14:textId="3DEEFAFB" w:rsidR="00BE4B87" w:rsidRPr="00205C60" w:rsidRDefault="00BE4B87" w:rsidP="00D76890">
      <w:pPr>
        <w:jc w:val="both"/>
        <w:rPr>
          <w:rFonts w:ascii="Verdana" w:hAnsi="Verdana" w:cs="Arial"/>
          <w:sz w:val="22"/>
          <w:szCs w:val="22"/>
        </w:rPr>
      </w:pPr>
    </w:p>
    <w:p w14:paraId="3CA7EF7C" w14:textId="1B57E7A3" w:rsidR="001769FD" w:rsidRPr="00205C60" w:rsidRDefault="00BE4B87" w:rsidP="00D76890">
      <w:pPr>
        <w:jc w:val="both"/>
        <w:rPr>
          <w:rFonts w:ascii="Verdana" w:hAnsi="Verdana" w:cs="Arial"/>
          <w:sz w:val="22"/>
          <w:szCs w:val="22"/>
        </w:rPr>
      </w:pPr>
      <w:r w:rsidRPr="00205C60">
        <w:rPr>
          <w:rFonts w:ascii="Verdana" w:hAnsi="Verdana" w:cs="Arial"/>
          <w:sz w:val="22"/>
          <w:szCs w:val="22"/>
        </w:rPr>
        <w:t>En telecomunicaciones a través de su marca KOLBI, ofrece la red de telefonía con mayor cobertura y velocidad del país</w:t>
      </w:r>
      <w:r w:rsidR="00D76890" w:rsidRPr="00205C60">
        <w:rPr>
          <w:rFonts w:ascii="Verdana" w:hAnsi="Verdana" w:cs="Arial"/>
          <w:sz w:val="22"/>
          <w:szCs w:val="22"/>
        </w:rPr>
        <w:t>, además ofrece redes de fibra óptica, plataformas de comunicación satelital y conexiones submarinas de alta velocidad con el mundo.</w:t>
      </w:r>
    </w:p>
    <w:p w14:paraId="165E1F66" w14:textId="77777777" w:rsidR="00D76890" w:rsidRPr="00205C60" w:rsidRDefault="00D76890" w:rsidP="001769FD">
      <w:pPr>
        <w:rPr>
          <w:rFonts w:ascii="Verdana" w:hAnsi="Verdana" w:cs="Arial"/>
          <w:sz w:val="22"/>
          <w:szCs w:val="22"/>
        </w:rPr>
      </w:pPr>
    </w:p>
    <w:p w14:paraId="3CA7EF7F" w14:textId="6FAD533F" w:rsidR="001769FD" w:rsidRPr="00205C60" w:rsidRDefault="001769FD" w:rsidP="006C5343">
      <w:pPr>
        <w:jc w:val="both"/>
        <w:rPr>
          <w:rFonts w:ascii="Verdana" w:hAnsi="Verdana" w:cs="Arial"/>
          <w:sz w:val="22"/>
          <w:szCs w:val="22"/>
        </w:rPr>
      </w:pPr>
      <w:r w:rsidRPr="00205C60">
        <w:rPr>
          <w:rFonts w:ascii="Verdana" w:hAnsi="Verdana" w:cs="Arial"/>
          <w:sz w:val="22"/>
          <w:szCs w:val="22"/>
        </w:rPr>
        <w:t xml:space="preserve">A </w:t>
      </w:r>
      <w:r w:rsidR="00D1746D" w:rsidRPr="00205C60">
        <w:rPr>
          <w:rFonts w:ascii="Verdana" w:hAnsi="Verdana" w:cs="Arial"/>
          <w:sz w:val="22"/>
          <w:szCs w:val="22"/>
        </w:rPr>
        <w:t>continuación,</w:t>
      </w:r>
      <w:r w:rsidRPr="00205C60">
        <w:rPr>
          <w:rFonts w:ascii="Verdana" w:hAnsi="Verdana" w:cs="Arial"/>
          <w:sz w:val="22"/>
          <w:szCs w:val="22"/>
        </w:rPr>
        <w:t xml:space="preserve"> se presenta el organigrama del Grupo ICE en donde se puede observar la posición de la Compañía dentro de este:</w:t>
      </w:r>
    </w:p>
    <w:p w14:paraId="675F8042" w14:textId="55C8653A" w:rsidR="00D76890" w:rsidRPr="00205C60" w:rsidRDefault="00D76890" w:rsidP="006C5343">
      <w:pPr>
        <w:jc w:val="both"/>
        <w:rPr>
          <w:rFonts w:ascii="Verdana" w:hAnsi="Verdana" w:cs="Arial"/>
          <w:sz w:val="22"/>
          <w:szCs w:val="22"/>
        </w:rPr>
      </w:pPr>
    </w:p>
    <w:p w14:paraId="3CA7EF80" w14:textId="77777777" w:rsidR="00CE0622" w:rsidRPr="00205C60" w:rsidRDefault="00CE0622" w:rsidP="00DE548C">
      <w:pPr>
        <w:jc w:val="center"/>
        <w:rPr>
          <w:rFonts w:ascii="Verdana" w:hAnsi="Verdana" w:cs="Arial"/>
          <w:sz w:val="22"/>
          <w:szCs w:val="22"/>
        </w:rPr>
      </w:pPr>
    </w:p>
    <w:p w14:paraId="3CA7EF81" w14:textId="77777777" w:rsidR="00DE548C" w:rsidRPr="00205C60" w:rsidRDefault="00DE548C" w:rsidP="00DE548C">
      <w:pPr>
        <w:jc w:val="center"/>
        <w:rPr>
          <w:rFonts w:ascii="Verdana" w:hAnsi="Verdana" w:cs="Arial"/>
          <w:b/>
          <w:sz w:val="22"/>
          <w:szCs w:val="22"/>
        </w:rPr>
      </w:pPr>
      <w:r w:rsidRPr="00205C60">
        <w:rPr>
          <w:rFonts w:ascii="Verdana" w:hAnsi="Verdana" w:cs="Arial"/>
          <w:b/>
          <w:sz w:val="22"/>
          <w:szCs w:val="22"/>
        </w:rPr>
        <w:t xml:space="preserve">ORGANIGRAMA </w:t>
      </w:r>
    </w:p>
    <w:p w14:paraId="3CA7EF82" w14:textId="77777777" w:rsidR="00DE548C" w:rsidRPr="00205C60" w:rsidRDefault="00DE548C" w:rsidP="00DE548C">
      <w:pPr>
        <w:jc w:val="center"/>
        <w:rPr>
          <w:rFonts w:ascii="Verdana" w:hAnsi="Verdana" w:cs="Arial"/>
          <w:b/>
          <w:sz w:val="22"/>
          <w:szCs w:val="22"/>
        </w:rPr>
      </w:pPr>
      <w:r w:rsidRPr="00205C60">
        <w:rPr>
          <w:rFonts w:ascii="Verdana" w:hAnsi="Verdana" w:cs="Arial"/>
          <w:b/>
          <w:sz w:val="22"/>
          <w:szCs w:val="22"/>
        </w:rPr>
        <w:t>GRUPO ICE</w:t>
      </w:r>
    </w:p>
    <w:p w14:paraId="3CA7EF83" w14:textId="77777777" w:rsidR="0043787D" w:rsidRPr="00205C60" w:rsidRDefault="0043787D" w:rsidP="006C5343">
      <w:pPr>
        <w:jc w:val="both"/>
        <w:rPr>
          <w:rFonts w:ascii="Verdana" w:hAnsi="Verdana" w:cs="Arial"/>
          <w:sz w:val="22"/>
          <w:szCs w:val="22"/>
        </w:rPr>
      </w:pPr>
    </w:p>
    <w:p w14:paraId="3BBDA504" w14:textId="0677DE03" w:rsidR="00945306" w:rsidRPr="00205C60" w:rsidRDefault="00945306" w:rsidP="00945306">
      <w:pPr>
        <w:jc w:val="center"/>
        <w:rPr>
          <w:rFonts w:ascii="Verdana" w:hAnsi="Verdana"/>
          <w:sz w:val="22"/>
          <w:szCs w:val="22"/>
        </w:rPr>
      </w:pPr>
      <w:r w:rsidRPr="00205C60">
        <w:rPr>
          <w:noProof/>
        </w:rPr>
        <w:drawing>
          <wp:inline distT="0" distB="0" distL="0" distR="0" wp14:anchorId="3F8CC526" wp14:editId="2B1869A1">
            <wp:extent cx="3495675" cy="2635201"/>
            <wp:effectExtent l="0" t="0" r="0" b="0"/>
            <wp:docPr id="2" name="Imagen 2"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agrama&#10;&#10;Descripción generada automáticamente"/>
                    <pic:cNvPicPr/>
                  </pic:nvPicPr>
                  <pic:blipFill>
                    <a:blip r:embed="rId17"/>
                    <a:stretch>
                      <a:fillRect/>
                    </a:stretch>
                  </pic:blipFill>
                  <pic:spPr>
                    <a:xfrm>
                      <a:off x="0" y="0"/>
                      <a:ext cx="3501845" cy="2639852"/>
                    </a:xfrm>
                    <a:prstGeom prst="rect">
                      <a:avLst/>
                    </a:prstGeom>
                  </pic:spPr>
                </pic:pic>
              </a:graphicData>
            </a:graphic>
          </wp:inline>
        </w:drawing>
      </w:r>
    </w:p>
    <w:p w14:paraId="13397763" w14:textId="77777777" w:rsidR="00654AFF" w:rsidRPr="00205C60" w:rsidRDefault="00654AFF" w:rsidP="008B58FF">
      <w:pPr>
        <w:rPr>
          <w:rFonts w:ascii="Verdana" w:hAnsi="Verdana"/>
          <w:color w:val="FF0000"/>
          <w:sz w:val="22"/>
          <w:szCs w:val="22"/>
        </w:rPr>
      </w:pPr>
    </w:p>
    <w:p w14:paraId="66F827E8" w14:textId="77777777" w:rsidR="00E40500" w:rsidRDefault="00E40500" w:rsidP="00C82FF6">
      <w:pPr>
        <w:jc w:val="both"/>
        <w:rPr>
          <w:rFonts w:ascii="Verdana" w:hAnsi="Verdana" w:cs="Arial"/>
          <w:sz w:val="22"/>
          <w:szCs w:val="22"/>
        </w:rPr>
      </w:pPr>
    </w:p>
    <w:p w14:paraId="3910BB45" w14:textId="77777777" w:rsidR="00E40500" w:rsidRDefault="00E40500" w:rsidP="00C82FF6">
      <w:pPr>
        <w:jc w:val="both"/>
        <w:rPr>
          <w:rFonts w:ascii="Verdana" w:hAnsi="Verdana" w:cs="Arial"/>
          <w:sz w:val="22"/>
          <w:szCs w:val="22"/>
        </w:rPr>
      </w:pPr>
    </w:p>
    <w:p w14:paraId="0B1903CC" w14:textId="591FEE95" w:rsidR="00D878F6" w:rsidRPr="00205C60" w:rsidRDefault="00FB71B4" w:rsidP="00C82FF6">
      <w:pPr>
        <w:jc w:val="both"/>
        <w:rPr>
          <w:rFonts w:ascii="Verdana" w:hAnsi="Verdana" w:cs="Arial"/>
          <w:sz w:val="22"/>
          <w:szCs w:val="22"/>
        </w:rPr>
      </w:pPr>
      <w:r w:rsidRPr="00205C60">
        <w:rPr>
          <w:rFonts w:ascii="Verdana" w:hAnsi="Verdana" w:cs="Arial"/>
          <w:sz w:val="22"/>
          <w:szCs w:val="22"/>
        </w:rPr>
        <w:t xml:space="preserve">Finalmente, se debe mencionar que </w:t>
      </w:r>
      <w:r w:rsidR="00510826" w:rsidRPr="00205C60">
        <w:rPr>
          <w:rFonts w:ascii="Verdana" w:hAnsi="Verdana" w:cs="Arial"/>
          <w:sz w:val="22"/>
          <w:szCs w:val="22"/>
        </w:rPr>
        <w:t xml:space="preserve">el Programa de Emisiones de Bonos Estandarizados </w:t>
      </w:r>
      <w:r w:rsidRPr="00205C60">
        <w:rPr>
          <w:rFonts w:ascii="Verdana" w:hAnsi="Verdana" w:cs="Arial"/>
          <w:sz w:val="22"/>
          <w:szCs w:val="22"/>
        </w:rPr>
        <w:t xml:space="preserve">Serie </w:t>
      </w:r>
      <w:r w:rsidR="00510826" w:rsidRPr="00205C60">
        <w:rPr>
          <w:rFonts w:ascii="Verdana" w:hAnsi="Verdana" w:cs="Arial"/>
          <w:sz w:val="22"/>
          <w:szCs w:val="22"/>
        </w:rPr>
        <w:t>B</w:t>
      </w:r>
      <w:r w:rsidRPr="00205C60">
        <w:rPr>
          <w:rFonts w:ascii="Verdana" w:hAnsi="Verdana" w:cs="Arial"/>
          <w:sz w:val="22"/>
          <w:szCs w:val="22"/>
        </w:rPr>
        <w:t>, no cuenta con el aval del Grupo ICE.</w:t>
      </w:r>
      <w:r w:rsidR="003A47B5" w:rsidRPr="00205C60">
        <w:rPr>
          <w:rFonts w:ascii="Verdana" w:hAnsi="Verdana" w:cs="Arial"/>
          <w:sz w:val="22"/>
          <w:szCs w:val="22"/>
        </w:rPr>
        <w:t xml:space="preserve">  </w:t>
      </w:r>
    </w:p>
    <w:p w14:paraId="5301C07F" w14:textId="77777777" w:rsidR="00D878F6" w:rsidRPr="00205C60" w:rsidRDefault="00D878F6" w:rsidP="00C82FF6">
      <w:pPr>
        <w:jc w:val="both"/>
        <w:rPr>
          <w:rFonts w:ascii="Verdana" w:hAnsi="Verdana" w:cs="Arial"/>
          <w:sz w:val="22"/>
          <w:szCs w:val="22"/>
        </w:rPr>
      </w:pPr>
    </w:p>
    <w:p w14:paraId="3CA7EF8A" w14:textId="77777777" w:rsidR="00324B38" w:rsidRPr="00205C60" w:rsidRDefault="00324B38" w:rsidP="008B58FF">
      <w:pPr>
        <w:rPr>
          <w:rFonts w:ascii="Verdana" w:hAnsi="Verdana" w:cs="Arial"/>
          <w:sz w:val="22"/>
          <w:szCs w:val="22"/>
        </w:rPr>
      </w:pPr>
    </w:p>
    <w:p w14:paraId="3CA7EF8B" w14:textId="77777777" w:rsidR="00B44125" w:rsidRPr="00205C60" w:rsidRDefault="008B58FF" w:rsidP="00046EA9">
      <w:pPr>
        <w:pStyle w:val="Ttulo2"/>
        <w:numPr>
          <w:ilvl w:val="1"/>
          <w:numId w:val="10"/>
        </w:numPr>
        <w:tabs>
          <w:tab w:val="clear" w:pos="708"/>
        </w:tabs>
        <w:rPr>
          <w:rFonts w:ascii="Verdana" w:hAnsi="Verdana" w:cs="Arial"/>
          <w:sz w:val="22"/>
          <w:szCs w:val="22"/>
        </w:rPr>
      </w:pPr>
      <w:bookmarkStart w:id="130" w:name="_Toc104529476"/>
      <w:r w:rsidRPr="00205C60">
        <w:rPr>
          <w:rFonts w:ascii="Verdana" w:hAnsi="Verdana" w:cs="Arial"/>
          <w:sz w:val="22"/>
          <w:szCs w:val="22"/>
        </w:rPr>
        <w:t>Propi</w:t>
      </w:r>
      <w:r w:rsidR="00B44125" w:rsidRPr="00205C60">
        <w:rPr>
          <w:rFonts w:ascii="Verdana" w:hAnsi="Verdana" w:cs="Arial"/>
          <w:sz w:val="22"/>
          <w:szCs w:val="22"/>
        </w:rPr>
        <w:t>edades, plantas y equipo</w:t>
      </w:r>
      <w:bookmarkEnd w:id="128"/>
      <w:bookmarkEnd w:id="129"/>
      <w:bookmarkEnd w:id="130"/>
    </w:p>
    <w:p w14:paraId="3CA7EF8C" w14:textId="77777777" w:rsidR="00EF3217" w:rsidRPr="00205C60" w:rsidRDefault="00EF3217" w:rsidP="00EF3217">
      <w:pPr>
        <w:rPr>
          <w:rFonts w:ascii="Verdana" w:hAnsi="Verdana"/>
          <w:sz w:val="22"/>
          <w:szCs w:val="22"/>
        </w:rPr>
      </w:pPr>
    </w:p>
    <w:p w14:paraId="3CA7EF8D" w14:textId="77777777" w:rsidR="00B44125" w:rsidRPr="00205C60" w:rsidRDefault="00B44125">
      <w:pPr>
        <w:jc w:val="both"/>
        <w:rPr>
          <w:rFonts w:ascii="Verdana" w:hAnsi="Verdana" w:cs="Arial"/>
          <w:sz w:val="22"/>
          <w:szCs w:val="22"/>
        </w:rPr>
      </w:pPr>
      <w:r w:rsidRPr="00205C60">
        <w:rPr>
          <w:rFonts w:ascii="Verdana" w:hAnsi="Verdana" w:cs="Arial"/>
          <w:sz w:val="22"/>
          <w:szCs w:val="22"/>
        </w:rPr>
        <w:t>La Compañía Nacional de Fuerza y Luz S.A. forma parte del Sistema Eléctrico Nacional y es la encargada de la distribución de energía eléctrica en la Gran Área Metropolitana, siendo esta la zona más densamente poblada del país, cubriendo un territorio de 903 Km</w:t>
      </w:r>
      <w:r w:rsidRPr="00205C60">
        <w:rPr>
          <w:rFonts w:ascii="Verdana" w:hAnsi="Verdana" w:cs="Arial"/>
          <w:sz w:val="22"/>
          <w:szCs w:val="22"/>
          <w:vertAlign w:val="superscript"/>
        </w:rPr>
        <w:t>2</w:t>
      </w:r>
      <w:r w:rsidRPr="00205C60">
        <w:rPr>
          <w:rFonts w:ascii="Verdana" w:hAnsi="Verdana" w:cs="Arial"/>
          <w:sz w:val="22"/>
          <w:szCs w:val="22"/>
        </w:rPr>
        <w:t>, lo que representa aproximadament</w:t>
      </w:r>
      <w:r w:rsidR="00960711" w:rsidRPr="00205C60">
        <w:rPr>
          <w:rFonts w:ascii="Verdana" w:hAnsi="Verdana" w:cs="Arial"/>
          <w:sz w:val="22"/>
          <w:szCs w:val="22"/>
        </w:rPr>
        <w:t>e el 2% del territorio nacional, lo que comprende:</w:t>
      </w:r>
    </w:p>
    <w:p w14:paraId="3CA7EF8E" w14:textId="77777777" w:rsidR="00960711" w:rsidRPr="00205C60" w:rsidRDefault="00960711">
      <w:pPr>
        <w:jc w:val="both"/>
        <w:rPr>
          <w:rFonts w:ascii="Verdana" w:hAnsi="Verdana" w:cs="Arial"/>
          <w:sz w:val="22"/>
          <w:szCs w:val="22"/>
        </w:rPr>
      </w:pPr>
    </w:p>
    <w:p w14:paraId="3CA7EF8F" w14:textId="77777777" w:rsidR="00960711" w:rsidRPr="00205C60" w:rsidRDefault="00960711">
      <w:pPr>
        <w:jc w:val="both"/>
        <w:rPr>
          <w:rFonts w:ascii="Verdana" w:hAnsi="Verdana" w:cs="Arial"/>
          <w:sz w:val="22"/>
          <w:szCs w:val="22"/>
        </w:rPr>
      </w:pPr>
      <w:r w:rsidRPr="00205C60">
        <w:rPr>
          <w:rFonts w:ascii="Verdana" w:hAnsi="Verdana" w:cs="Arial"/>
          <w:sz w:val="22"/>
          <w:szCs w:val="22"/>
        </w:rPr>
        <w:t xml:space="preserve">San José: </w:t>
      </w:r>
      <w:r w:rsidR="00D30829" w:rsidRPr="00205C60">
        <w:rPr>
          <w:rFonts w:ascii="Verdana" w:hAnsi="Verdana" w:cs="Arial"/>
          <w:sz w:val="22"/>
          <w:szCs w:val="22"/>
        </w:rPr>
        <w:t>San José y cantones aledaños</w:t>
      </w:r>
    </w:p>
    <w:p w14:paraId="3CA7EF90" w14:textId="77777777" w:rsidR="00B473DE" w:rsidRPr="00205C60" w:rsidRDefault="00B473DE">
      <w:pPr>
        <w:jc w:val="both"/>
        <w:rPr>
          <w:rFonts w:ascii="Verdana" w:hAnsi="Verdana" w:cs="Arial"/>
          <w:sz w:val="22"/>
          <w:szCs w:val="22"/>
        </w:rPr>
      </w:pPr>
    </w:p>
    <w:p w14:paraId="3CA7EF91" w14:textId="77777777" w:rsidR="00960711" w:rsidRPr="00205C60" w:rsidRDefault="00960711">
      <w:pPr>
        <w:jc w:val="both"/>
        <w:rPr>
          <w:rFonts w:ascii="Verdana" w:hAnsi="Verdana" w:cs="Arial"/>
          <w:sz w:val="22"/>
          <w:szCs w:val="22"/>
        </w:rPr>
      </w:pPr>
      <w:r w:rsidRPr="00205C60">
        <w:rPr>
          <w:rFonts w:ascii="Verdana" w:hAnsi="Verdana" w:cs="Arial"/>
          <w:sz w:val="22"/>
          <w:szCs w:val="22"/>
        </w:rPr>
        <w:t>Cartago: hasta Ochomogo (incluye Tres Ríos)</w:t>
      </w:r>
    </w:p>
    <w:p w14:paraId="3CA7EF92" w14:textId="77777777" w:rsidR="00B473DE" w:rsidRPr="00205C60" w:rsidRDefault="00B473DE">
      <w:pPr>
        <w:jc w:val="both"/>
        <w:rPr>
          <w:rFonts w:ascii="Verdana" w:hAnsi="Verdana" w:cs="Arial"/>
          <w:sz w:val="22"/>
          <w:szCs w:val="22"/>
        </w:rPr>
      </w:pPr>
    </w:p>
    <w:p w14:paraId="3CA7EF93" w14:textId="77777777" w:rsidR="00960711" w:rsidRPr="00205C60" w:rsidRDefault="008C1B1A">
      <w:pPr>
        <w:jc w:val="both"/>
        <w:rPr>
          <w:rFonts w:ascii="Verdana" w:hAnsi="Verdana" w:cs="Arial"/>
          <w:sz w:val="22"/>
          <w:szCs w:val="22"/>
        </w:rPr>
      </w:pPr>
      <w:r w:rsidRPr="00205C60">
        <w:rPr>
          <w:rFonts w:ascii="Verdana" w:hAnsi="Verdana" w:cs="Arial"/>
          <w:sz w:val="22"/>
          <w:szCs w:val="22"/>
        </w:rPr>
        <w:t>Heredia: Barv</w:t>
      </w:r>
      <w:r w:rsidR="00960711" w:rsidRPr="00205C60">
        <w:rPr>
          <w:rFonts w:ascii="Verdana" w:hAnsi="Verdana" w:cs="Arial"/>
          <w:sz w:val="22"/>
          <w:szCs w:val="22"/>
        </w:rPr>
        <w:t>a, Santo Domingo, Santa Bárbara, San Antonio de Belén, San Joaquín y del Cantón Central de Heredia Ulloa y San Francisco de Heredia.</w:t>
      </w:r>
    </w:p>
    <w:p w14:paraId="3CA7EF94" w14:textId="77777777" w:rsidR="00B473DE" w:rsidRPr="00205C60" w:rsidRDefault="00B473DE">
      <w:pPr>
        <w:jc w:val="both"/>
        <w:rPr>
          <w:rFonts w:ascii="Verdana" w:hAnsi="Verdana" w:cs="Arial"/>
          <w:sz w:val="22"/>
          <w:szCs w:val="22"/>
        </w:rPr>
      </w:pPr>
    </w:p>
    <w:p w14:paraId="3CA7EF95" w14:textId="77777777" w:rsidR="00960711" w:rsidRPr="00205C60" w:rsidRDefault="00960711">
      <w:pPr>
        <w:jc w:val="both"/>
        <w:rPr>
          <w:rFonts w:ascii="Verdana" w:hAnsi="Verdana" w:cs="Arial"/>
          <w:sz w:val="22"/>
          <w:szCs w:val="22"/>
        </w:rPr>
      </w:pPr>
      <w:r w:rsidRPr="00205C60">
        <w:rPr>
          <w:rFonts w:ascii="Verdana" w:hAnsi="Verdana" w:cs="Arial"/>
          <w:sz w:val="22"/>
          <w:szCs w:val="22"/>
        </w:rPr>
        <w:t>Alajuela: Río Segundo, La Guácima, San Rafael Este, Desamparados de Alajuela.</w:t>
      </w:r>
    </w:p>
    <w:p w14:paraId="3CA7EF96" w14:textId="60B8E74D" w:rsidR="00B44125" w:rsidRPr="00205C60" w:rsidRDefault="00B44125">
      <w:pPr>
        <w:jc w:val="both"/>
        <w:rPr>
          <w:rFonts w:ascii="Verdana" w:hAnsi="Verdana" w:cs="Arial"/>
          <w:sz w:val="22"/>
          <w:szCs w:val="22"/>
        </w:rPr>
      </w:pPr>
    </w:p>
    <w:p w14:paraId="308E6FC8" w14:textId="1D99C4B5" w:rsidR="00C03D6E" w:rsidRPr="00205C60" w:rsidRDefault="00C03D6E">
      <w:pPr>
        <w:jc w:val="both"/>
        <w:rPr>
          <w:rFonts w:ascii="Verdana" w:hAnsi="Verdana" w:cs="Arial"/>
          <w:color w:val="FF0000"/>
          <w:sz w:val="22"/>
          <w:szCs w:val="22"/>
        </w:rPr>
      </w:pPr>
    </w:p>
    <w:p w14:paraId="3CA7EF97" w14:textId="49CE3653" w:rsidR="00B44125" w:rsidRPr="00205C60" w:rsidRDefault="00B44125">
      <w:pPr>
        <w:jc w:val="both"/>
        <w:rPr>
          <w:rFonts w:ascii="Verdana" w:hAnsi="Verdana" w:cs="Arial"/>
          <w:sz w:val="22"/>
          <w:szCs w:val="22"/>
        </w:rPr>
      </w:pPr>
      <w:r w:rsidRPr="00205C60">
        <w:rPr>
          <w:rFonts w:ascii="Verdana" w:hAnsi="Verdana" w:cs="Arial"/>
          <w:sz w:val="22"/>
          <w:szCs w:val="22"/>
        </w:rPr>
        <w:t xml:space="preserve">Brinda servicio a más de </w:t>
      </w:r>
      <w:r w:rsidR="00526E00" w:rsidRPr="00205C60">
        <w:rPr>
          <w:rFonts w:ascii="Verdana" w:hAnsi="Verdana" w:cs="Arial"/>
          <w:sz w:val="22"/>
          <w:szCs w:val="22"/>
        </w:rPr>
        <w:t>603.984</w:t>
      </w:r>
      <w:r w:rsidRPr="00205C60">
        <w:rPr>
          <w:rFonts w:ascii="Verdana" w:hAnsi="Verdana" w:cs="Arial"/>
          <w:sz w:val="22"/>
          <w:szCs w:val="22"/>
        </w:rPr>
        <w:t xml:space="preserve"> clientes, lo que representa un </w:t>
      </w:r>
      <w:r w:rsidR="00193D18" w:rsidRPr="00205C60">
        <w:rPr>
          <w:rFonts w:ascii="Verdana" w:hAnsi="Verdana" w:cs="Arial"/>
          <w:sz w:val="22"/>
          <w:szCs w:val="22"/>
        </w:rPr>
        <w:t>3</w:t>
      </w:r>
      <w:r w:rsidR="00DC7551" w:rsidRPr="00205C60">
        <w:rPr>
          <w:rFonts w:ascii="Verdana" w:hAnsi="Verdana" w:cs="Arial"/>
          <w:sz w:val="22"/>
          <w:szCs w:val="22"/>
        </w:rPr>
        <w:t>1</w:t>
      </w:r>
      <w:r w:rsidRPr="00205C60">
        <w:rPr>
          <w:rFonts w:ascii="Verdana" w:hAnsi="Verdana" w:cs="Arial"/>
          <w:sz w:val="22"/>
          <w:szCs w:val="22"/>
        </w:rPr>
        <w:t xml:space="preserve">% del total de los clientes del país y sus ventas de energía en </w:t>
      </w:r>
      <w:r w:rsidR="00C84765" w:rsidRPr="00205C60">
        <w:rPr>
          <w:rFonts w:ascii="Verdana" w:hAnsi="Verdana" w:cs="Arial"/>
          <w:sz w:val="22"/>
          <w:szCs w:val="22"/>
        </w:rPr>
        <w:t>k</w:t>
      </w:r>
      <w:r w:rsidRPr="00205C60">
        <w:rPr>
          <w:rFonts w:ascii="Verdana" w:hAnsi="Verdana" w:cs="Arial"/>
          <w:sz w:val="22"/>
          <w:szCs w:val="22"/>
        </w:rPr>
        <w:t xml:space="preserve">Wh alcanza </w:t>
      </w:r>
      <w:r w:rsidR="00193D18" w:rsidRPr="00205C60">
        <w:rPr>
          <w:rFonts w:ascii="Verdana" w:hAnsi="Verdana" w:cs="Arial"/>
          <w:sz w:val="22"/>
          <w:szCs w:val="22"/>
        </w:rPr>
        <w:t xml:space="preserve">un </w:t>
      </w:r>
      <w:r w:rsidR="00AD24D9" w:rsidRPr="00205C60">
        <w:rPr>
          <w:rFonts w:ascii="Verdana" w:hAnsi="Verdana" w:cs="Arial"/>
          <w:sz w:val="22"/>
          <w:szCs w:val="22"/>
        </w:rPr>
        <w:t>3</w:t>
      </w:r>
      <w:r w:rsidR="00A77EDF" w:rsidRPr="00205C60">
        <w:rPr>
          <w:rFonts w:ascii="Verdana" w:hAnsi="Verdana" w:cs="Arial"/>
          <w:sz w:val="22"/>
          <w:szCs w:val="22"/>
        </w:rPr>
        <w:t>3</w:t>
      </w:r>
      <w:r w:rsidR="0028550A" w:rsidRPr="00205C60">
        <w:rPr>
          <w:rFonts w:ascii="Verdana" w:hAnsi="Verdana" w:cs="Arial"/>
          <w:sz w:val="22"/>
          <w:szCs w:val="22"/>
        </w:rPr>
        <w:t xml:space="preserve">% del consumo nacional, tal como se observa en </w:t>
      </w:r>
      <w:r w:rsidR="008E14FD" w:rsidRPr="00205C60">
        <w:rPr>
          <w:rFonts w:ascii="Verdana" w:hAnsi="Verdana" w:cs="Arial"/>
          <w:sz w:val="22"/>
          <w:szCs w:val="22"/>
        </w:rPr>
        <w:t>los siguientes gráficos</w:t>
      </w:r>
      <w:r w:rsidR="00363052" w:rsidRPr="00205C60">
        <w:rPr>
          <w:rFonts w:ascii="Verdana" w:hAnsi="Verdana" w:cs="Arial"/>
          <w:sz w:val="22"/>
          <w:szCs w:val="22"/>
        </w:rPr>
        <w:t>:</w:t>
      </w:r>
    </w:p>
    <w:p w14:paraId="60BE7A92" w14:textId="06711AAB" w:rsidR="00B02AF7" w:rsidRPr="00205C60" w:rsidRDefault="00B02AF7">
      <w:pPr>
        <w:jc w:val="both"/>
        <w:rPr>
          <w:rFonts w:ascii="Verdana" w:hAnsi="Verdana" w:cs="Arial"/>
          <w:sz w:val="22"/>
          <w:szCs w:val="22"/>
        </w:rPr>
      </w:pPr>
    </w:p>
    <w:p w14:paraId="3C18CD9D" w14:textId="6A267B0E" w:rsidR="00B02AF7" w:rsidRPr="00205C60" w:rsidRDefault="00AD268F">
      <w:pPr>
        <w:jc w:val="both"/>
        <w:rPr>
          <w:rFonts w:ascii="Verdana" w:hAnsi="Verdana" w:cs="Arial"/>
          <w:sz w:val="22"/>
          <w:szCs w:val="22"/>
        </w:rPr>
      </w:pPr>
      <w:r w:rsidRPr="00205C60">
        <w:rPr>
          <w:rFonts w:ascii="Verdana" w:hAnsi="Verdana" w:cs="Arial"/>
          <w:noProof/>
          <w:sz w:val="22"/>
          <w:szCs w:val="22"/>
        </w:rPr>
        <w:drawing>
          <wp:inline distT="0" distB="0" distL="0" distR="0" wp14:anchorId="798E3A52" wp14:editId="4992FCBE">
            <wp:extent cx="4600575" cy="277177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00575" cy="2771775"/>
                    </a:xfrm>
                    <a:prstGeom prst="rect">
                      <a:avLst/>
                    </a:prstGeom>
                    <a:noFill/>
                    <a:ln>
                      <a:noFill/>
                    </a:ln>
                  </pic:spPr>
                </pic:pic>
              </a:graphicData>
            </a:graphic>
          </wp:inline>
        </w:drawing>
      </w:r>
    </w:p>
    <w:p w14:paraId="614BBAA6" w14:textId="31446818" w:rsidR="00AD268F" w:rsidRPr="00205C60" w:rsidRDefault="00AD268F">
      <w:pPr>
        <w:jc w:val="both"/>
        <w:rPr>
          <w:rFonts w:ascii="Verdana" w:hAnsi="Verdana" w:cs="Arial"/>
          <w:sz w:val="22"/>
          <w:szCs w:val="22"/>
        </w:rPr>
      </w:pPr>
    </w:p>
    <w:p w14:paraId="285A28E0" w14:textId="3D13FFFB" w:rsidR="00AD268F" w:rsidRPr="00205C60" w:rsidRDefault="00AD268F">
      <w:pPr>
        <w:jc w:val="both"/>
        <w:rPr>
          <w:rFonts w:ascii="Verdana" w:hAnsi="Verdana" w:cs="Arial"/>
          <w:sz w:val="22"/>
          <w:szCs w:val="22"/>
        </w:rPr>
      </w:pPr>
      <w:r w:rsidRPr="00205C60">
        <w:rPr>
          <w:rFonts w:ascii="Verdana" w:hAnsi="Verdana" w:cs="Arial"/>
          <w:noProof/>
          <w:sz w:val="22"/>
          <w:szCs w:val="22"/>
        </w:rPr>
        <w:lastRenderedPageBreak/>
        <w:drawing>
          <wp:inline distT="0" distB="0" distL="0" distR="0" wp14:anchorId="27456812" wp14:editId="25475852">
            <wp:extent cx="4600575" cy="3038475"/>
            <wp:effectExtent l="0" t="0" r="9525" b="9525"/>
            <wp:docPr id="10" name="Imagen 10"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Gráfico, Gráfico circular&#10;&#10;Descripción generada automáticament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00575" cy="3038475"/>
                    </a:xfrm>
                    <a:prstGeom prst="rect">
                      <a:avLst/>
                    </a:prstGeom>
                    <a:noFill/>
                    <a:ln>
                      <a:noFill/>
                    </a:ln>
                  </pic:spPr>
                </pic:pic>
              </a:graphicData>
            </a:graphic>
          </wp:inline>
        </w:drawing>
      </w:r>
    </w:p>
    <w:p w14:paraId="3CA7EF98" w14:textId="77777777" w:rsidR="00131077" w:rsidRPr="00205C60" w:rsidRDefault="00131077">
      <w:pPr>
        <w:jc w:val="both"/>
        <w:rPr>
          <w:rFonts w:ascii="Verdana" w:hAnsi="Verdana" w:cs="Arial"/>
          <w:sz w:val="22"/>
          <w:szCs w:val="22"/>
        </w:rPr>
      </w:pPr>
    </w:p>
    <w:p w14:paraId="3CA7EF99" w14:textId="36E0D6D0" w:rsidR="00747CC9" w:rsidRPr="00205C60" w:rsidRDefault="002F5298">
      <w:pPr>
        <w:jc w:val="both"/>
        <w:rPr>
          <w:rFonts w:ascii="Verdana" w:hAnsi="Verdana" w:cs="Arial"/>
          <w:sz w:val="22"/>
          <w:szCs w:val="22"/>
        </w:rPr>
      </w:pPr>
      <w:r w:rsidRPr="00205C60">
        <w:rPr>
          <w:rFonts w:ascii="Verdana" w:hAnsi="Verdana" w:cs="Arial"/>
          <w:sz w:val="22"/>
          <w:szCs w:val="22"/>
        </w:rPr>
        <w:t xml:space="preserve">Para garantizar el suministro de energía a sus clientes, </w:t>
      </w:r>
      <w:r w:rsidR="007E4F3B" w:rsidRPr="00205C60">
        <w:rPr>
          <w:rFonts w:ascii="Verdana" w:hAnsi="Verdana" w:cs="Arial"/>
          <w:sz w:val="22"/>
          <w:szCs w:val="22"/>
        </w:rPr>
        <w:t xml:space="preserve">cuenta con </w:t>
      </w:r>
      <w:r w:rsidR="004A3F91" w:rsidRPr="00205C60">
        <w:rPr>
          <w:rFonts w:ascii="Verdana" w:hAnsi="Verdana" w:cs="Arial"/>
          <w:sz w:val="22"/>
          <w:szCs w:val="22"/>
        </w:rPr>
        <w:t>10</w:t>
      </w:r>
      <w:r w:rsidR="00CE5C8D" w:rsidRPr="00205C60">
        <w:rPr>
          <w:rFonts w:ascii="Verdana" w:hAnsi="Verdana" w:cs="Arial"/>
          <w:sz w:val="22"/>
          <w:szCs w:val="22"/>
        </w:rPr>
        <w:t xml:space="preserve"> </w:t>
      </w:r>
      <w:r w:rsidR="00B44125" w:rsidRPr="00205C60">
        <w:rPr>
          <w:rFonts w:ascii="Verdana" w:hAnsi="Verdana" w:cs="Arial"/>
          <w:sz w:val="22"/>
          <w:szCs w:val="22"/>
        </w:rPr>
        <w:t>plantas generadoras</w:t>
      </w:r>
      <w:r w:rsidR="005713AF" w:rsidRPr="00205C60">
        <w:rPr>
          <w:rFonts w:ascii="Verdana" w:hAnsi="Verdana" w:cs="Arial"/>
          <w:sz w:val="22"/>
          <w:szCs w:val="22"/>
        </w:rPr>
        <w:t xml:space="preserve">, quedando </w:t>
      </w:r>
      <w:r w:rsidRPr="00205C60">
        <w:rPr>
          <w:rFonts w:ascii="Verdana" w:hAnsi="Verdana" w:cs="Arial"/>
          <w:sz w:val="22"/>
          <w:szCs w:val="22"/>
        </w:rPr>
        <w:t xml:space="preserve">un potencial de generación de </w:t>
      </w:r>
      <w:r w:rsidR="00913929" w:rsidRPr="00205C60">
        <w:rPr>
          <w:rFonts w:ascii="Verdana" w:hAnsi="Verdana" w:cs="Arial"/>
          <w:sz w:val="22"/>
          <w:szCs w:val="22"/>
        </w:rPr>
        <w:t>1</w:t>
      </w:r>
      <w:r w:rsidR="004A3F91" w:rsidRPr="00205C60">
        <w:rPr>
          <w:rFonts w:ascii="Verdana" w:hAnsi="Verdana" w:cs="Arial"/>
          <w:sz w:val="22"/>
          <w:szCs w:val="22"/>
        </w:rPr>
        <w:t>41</w:t>
      </w:r>
      <w:r w:rsidRPr="00205C60">
        <w:rPr>
          <w:rFonts w:ascii="Verdana" w:hAnsi="Verdana" w:cs="Arial"/>
          <w:sz w:val="22"/>
          <w:szCs w:val="22"/>
        </w:rPr>
        <w:t>,</w:t>
      </w:r>
      <w:r w:rsidR="004A3F91" w:rsidRPr="00205C60">
        <w:rPr>
          <w:rFonts w:ascii="Verdana" w:hAnsi="Verdana" w:cs="Arial"/>
          <w:sz w:val="22"/>
          <w:szCs w:val="22"/>
        </w:rPr>
        <w:t>6</w:t>
      </w:r>
      <w:r w:rsidR="00913929" w:rsidRPr="00205C60">
        <w:rPr>
          <w:rFonts w:ascii="Verdana" w:hAnsi="Verdana" w:cs="Arial"/>
          <w:sz w:val="22"/>
          <w:szCs w:val="22"/>
        </w:rPr>
        <w:t>4</w:t>
      </w:r>
      <w:r w:rsidRPr="00205C60">
        <w:rPr>
          <w:rFonts w:ascii="Verdana" w:hAnsi="Verdana" w:cs="Arial"/>
          <w:sz w:val="22"/>
          <w:szCs w:val="22"/>
        </w:rPr>
        <w:t xml:space="preserve"> </w:t>
      </w:r>
      <w:r w:rsidR="007E7BE7" w:rsidRPr="00205C60">
        <w:rPr>
          <w:rFonts w:ascii="Verdana" w:hAnsi="Verdana" w:cs="Arial"/>
          <w:sz w:val="22"/>
          <w:szCs w:val="22"/>
        </w:rPr>
        <w:t>MW, el</w:t>
      </w:r>
      <w:r w:rsidR="005713AF" w:rsidRPr="00205C60">
        <w:rPr>
          <w:rFonts w:ascii="Verdana" w:hAnsi="Verdana" w:cs="Arial"/>
          <w:sz w:val="22"/>
          <w:szCs w:val="22"/>
        </w:rPr>
        <w:t xml:space="preserve"> cual </w:t>
      </w:r>
      <w:r w:rsidR="00B44125" w:rsidRPr="00205C60">
        <w:rPr>
          <w:rFonts w:ascii="Verdana" w:hAnsi="Verdana" w:cs="Arial"/>
          <w:sz w:val="22"/>
          <w:szCs w:val="22"/>
        </w:rPr>
        <w:t xml:space="preserve">aporta aproximadamente un </w:t>
      </w:r>
      <w:r w:rsidR="00CF5AE2" w:rsidRPr="00205C60">
        <w:rPr>
          <w:rFonts w:ascii="Verdana" w:hAnsi="Verdana" w:cs="Arial"/>
          <w:sz w:val="22"/>
          <w:szCs w:val="22"/>
        </w:rPr>
        <w:t>1</w:t>
      </w:r>
      <w:r w:rsidR="008F5AC8" w:rsidRPr="00205C60">
        <w:rPr>
          <w:rFonts w:ascii="Verdana" w:hAnsi="Verdana" w:cs="Arial"/>
          <w:sz w:val="22"/>
          <w:szCs w:val="22"/>
        </w:rPr>
        <w:t>3</w:t>
      </w:r>
      <w:r w:rsidR="00A20D6A" w:rsidRPr="00205C60">
        <w:rPr>
          <w:rFonts w:ascii="Verdana" w:hAnsi="Verdana" w:cs="Arial"/>
          <w:sz w:val="22"/>
          <w:szCs w:val="22"/>
        </w:rPr>
        <w:t>,</w:t>
      </w:r>
      <w:r w:rsidR="008F5AC8" w:rsidRPr="00205C60">
        <w:rPr>
          <w:rFonts w:ascii="Verdana" w:hAnsi="Verdana" w:cs="Arial"/>
          <w:sz w:val="22"/>
          <w:szCs w:val="22"/>
        </w:rPr>
        <w:t>67</w:t>
      </w:r>
      <w:r w:rsidR="00B44125" w:rsidRPr="00205C60">
        <w:rPr>
          <w:rFonts w:ascii="Verdana" w:hAnsi="Verdana" w:cs="Arial"/>
          <w:sz w:val="22"/>
          <w:szCs w:val="22"/>
        </w:rPr>
        <w:t xml:space="preserve">% de la energía que comercializa </w:t>
      </w:r>
      <w:r w:rsidR="00B54C0E" w:rsidRPr="00205C60">
        <w:rPr>
          <w:rFonts w:ascii="Verdana" w:hAnsi="Verdana" w:cs="Arial"/>
          <w:sz w:val="22"/>
          <w:szCs w:val="22"/>
        </w:rPr>
        <w:t xml:space="preserve">la Compañía </w:t>
      </w:r>
      <w:r w:rsidR="00B44125" w:rsidRPr="00205C60">
        <w:rPr>
          <w:rFonts w:ascii="Verdana" w:hAnsi="Verdana" w:cs="Arial"/>
          <w:sz w:val="22"/>
          <w:szCs w:val="22"/>
        </w:rPr>
        <w:t>y la restante se la compra al ICE</w:t>
      </w:r>
      <w:r w:rsidR="00BD3F9B" w:rsidRPr="00205C60">
        <w:rPr>
          <w:rFonts w:ascii="Verdana" w:hAnsi="Verdana" w:cs="Arial"/>
          <w:sz w:val="22"/>
          <w:szCs w:val="22"/>
        </w:rPr>
        <w:t xml:space="preserve">, esto </w:t>
      </w:r>
      <w:r w:rsidR="00A47D2E" w:rsidRPr="00205C60">
        <w:rPr>
          <w:rFonts w:ascii="Verdana" w:hAnsi="Verdana" w:cs="Arial"/>
          <w:sz w:val="22"/>
          <w:szCs w:val="22"/>
        </w:rPr>
        <w:t>para el período 202</w:t>
      </w:r>
      <w:r w:rsidR="00F86B0A" w:rsidRPr="00205C60">
        <w:rPr>
          <w:rFonts w:ascii="Verdana" w:hAnsi="Verdana" w:cs="Arial"/>
          <w:sz w:val="22"/>
          <w:szCs w:val="22"/>
        </w:rPr>
        <w:t>2</w:t>
      </w:r>
      <w:r w:rsidR="00A47D2E" w:rsidRPr="00205C60">
        <w:rPr>
          <w:rFonts w:ascii="Verdana" w:hAnsi="Verdana" w:cs="Arial"/>
          <w:sz w:val="22"/>
          <w:szCs w:val="22"/>
        </w:rPr>
        <w:t>.</w:t>
      </w:r>
      <w:r w:rsidRPr="00205C60">
        <w:rPr>
          <w:rFonts w:ascii="Verdana" w:hAnsi="Verdana" w:cs="Arial"/>
          <w:sz w:val="22"/>
          <w:szCs w:val="22"/>
        </w:rPr>
        <w:t xml:space="preserve">  </w:t>
      </w:r>
    </w:p>
    <w:p w14:paraId="3CA7EF9A" w14:textId="5E930BC6" w:rsidR="00216953" w:rsidRPr="00205C60" w:rsidRDefault="00216953">
      <w:pPr>
        <w:jc w:val="both"/>
        <w:rPr>
          <w:rFonts w:ascii="Verdana" w:hAnsi="Verdana" w:cs="Arial"/>
          <w:sz w:val="22"/>
          <w:szCs w:val="22"/>
        </w:rPr>
      </w:pPr>
    </w:p>
    <w:p w14:paraId="3CA7EF9B" w14:textId="549273B5" w:rsidR="00923AE3" w:rsidRPr="00205C60" w:rsidRDefault="00923AE3" w:rsidP="00923AE3">
      <w:pPr>
        <w:jc w:val="both"/>
        <w:rPr>
          <w:rFonts w:ascii="Verdana" w:hAnsi="Verdana" w:cs="Arial"/>
          <w:sz w:val="22"/>
          <w:szCs w:val="22"/>
        </w:rPr>
      </w:pPr>
      <w:r w:rsidRPr="00205C60">
        <w:rPr>
          <w:rFonts w:ascii="Verdana" w:hAnsi="Verdana" w:cs="Arial"/>
          <w:sz w:val="22"/>
          <w:szCs w:val="22"/>
        </w:rPr>
        <w:t xml:space="preserve">El porcentaje de utilización de las plantas </w:t>
      </w:r>
      <w:r w:rsidR="00C11E50" w:rsidRPr="00205C60">
        <w:rPr>
          <w:rFonts w:ascii="Verdana" w:hAnsi="Verdana" w:cs="Arial"/>
          <w:sz w:val="22"/>
          <w:szCs w:val="22"/>
        </w:rPr>
        <w:t xml:space="preserve">hidroeléctricas </w:t>
      </w:r>
      <w:r w:rsidRPr="00205C60">
        <w:rPr>
          <w:rFonts w:ascii="Verdana" w:hAnsi="Verdana" w:cs="Arial"/>
          <w:sz w:val="22"/>
          <w:szCs w:val="22"/>
        </w:rPr>
        <w:t xml:space="preserve">varía </w:t>
      </w:r>
      <w:r w:rsidR="00476F79" w:rsidRPr="00205C60">
        <w:rPr>
          <w:rFonts w:ascii="Verdana" w:hAnsi="Verdana" w:cs="Arial"/>
          <w:sz w:val="22"/>
          <w:szCs w:val="22"/>
        </w:rPr>
        <w:t>de acuerdo con el</w:t>
      </w:r>
      <w:r w:rsidRPr="00205C60">
        <w:rPr>
          <w:rFonts w:ascii="Verdana" w:hAnsi="Verdana" w:cs="Arial"/>
          <w:sz w:val="22"/>
          <w:szCs w:val="22"/>
        </w:rPr>
        <w:t xml:space="preserve"> régimen de lluvia anual, alc</w:t>
      </w:r>
      <w:r w:rsidR="00965143" w:rsidRPr="00205C60">
        <w:rPr>
          <w:rFonts w:ascii="Verdana" w:hAnsi="Verdana" w:cs="Arial"/>
          <w:sz w:val="22"/>
          <w:szCs w:val="22"/>
        </w:rPr>
        <w:t xml:space="preserve">anzando un mínimo en el mes de </w:t>
      </w:r>
      <w:r w:rsidR="00CD0435" w:rsidRPr="00205C60">
        <w:rPr>
          <w:rFonts w:ascii="Verdana" w:hAnsi="Verdana" w:cs="Arial"/>
          <w:sz w:val="22"/>
          <w:szCs w:val="22"/>
        </w:rPr>
        <w:t>marzo</w:t>
      </w:r>
      <w:r w:rsidRPr="00205C60">
        <w:rPr>
          <w:rFonts w:ascii="Verdana" w:hAnsi="Verdana" w:cs="Arial"/>
          <w:sz w:val="22"/>
          <w:szCs w:val="22"/>
        </w:rPr>
        <w:t xml:space="preserve"> de 1</w:t>
      </w:r>
      <w:r w:rsidR="00B26DC5" w:rsidRPr="00205C60">
        <w:rPr>
          <w:rFonts w:ascii="Verdana" w:hAnsi="Verdana" w:cs="Arial"/>
          <w:sz w:val="22"/>
          <w:szCs w:val="22"/>
        </w:rPr>
        <w:t>4</w:t>
      </w:r>
      <w:r w:rsidRPr="00205C60">
        <w:rPr>
          <w:rFonts w:ascii="Verdana" w:hAnsi="Verdana" w:cs="Arial"/>
          <w:sz w:val="22"/>
          <w:szCs w:val="22"/>
        </w:rPr>
        <w:t>,</w:t>
      </w:r>
      <w:r w:rsidR="00B26DC5" w:rsidRPr="00205C60">
        <w:rPr>
          <w:rFonts w:ascii="Verdana" w:hAnsi="Verdana" w:cs="Arial"/>
          <w:sz w:val="22"/>
          <w:szCs w:val="22"/>
        </w:rPr>
        <w:t>53</w:t>
      </w:r>
      <w:r w:rsidRPr="00205C60">
        <w:rPr>
          <w:rFonts w:ascii="Verdana" w:hAnsi="Verdana" w:cs="Arial"/>
          <w:sz w:val="22"/>
          <w:szCs w:val="22"/>
        </w:rPr>
        <w:t xml:space="preserve">% y un máximo en el mes de </w:t>
      </w:r>
      <w:r w:rsidR="00B26DC5" w:rsidRPr="00205C60">
        <w:rPr>
          <w:rFonts w:ascii="Verdana" w:hAnsi="Verdana" w:cs="Arial"/>
          <w:sz w:val="22"/>
          <w:szCs w:val="22"/>
        </w:rPr>
        <w:t>junio</w:t>
      </w:r>
      <w:r w:rsidR="00C11E50" w:rsidRPr="00205C60">
        <w:rPr>
          <w:rFonts w:ascii="Verdana" w:hAnsi="Verdana" w:cs="Arial"/>
          <w:sz w:val="22"/>
          <w:szCs w:val="22"/>
        </w:rPr>
        <w:t xml:space="preserve"> </w:t>
      </w:r>
      <w:r w:rsidRPr="00205C60">
        <w:rPr>
          <w:rFonts w:ascii="Verdana" w:hAnsi="Verdana" w:cs="Arial"/>
          <w:sz w:val="22"/>
          <w:szCs w:val="22"/>
        </w:rPr>
        <w:t xml:space="preserve">de </w:t>
      </w:r>
      <w:r w:rsidR="00D8546B" w:rsidRPr="00205C60">
        <w:rPr>
          <w:rFonts w:ascii="Verdana" w:hAnsi="Verdana" w:cs="Arial"/>
          <w:sz w:val="22"/>
          <w:szCs w:val="22"/>
        </w:rPr>
        <w:t>71</w:t>
      </w:r>
      <w:r w:rsidRPr="00205C60">
        <w:rPr>
          <w:rFonts w:ascii="Verdana" w:hAnsi="Verdana" w:cs="Arial"/>
          <w:sz w:val="22"/>
          <w:szCs w:val="22"/>
        </w:rPr>
        <w:t>,</w:t>
      </w:r>
      <w:r w:rsidR="00D8546B" w:rsidRPr="00205C60">
        <w:rPr>
          <w:rFonts w:ascii="Verdana" w:hAnsi="Verdana" w:cs="Arial"/>
          <w:sz w:val="22"/>
          <w:szCs w:val="22"/>
        </w:rPr>
        <w:t>09</w:t>
      </w:r>
      <w:r w:rsidRPr="00205C60">
        <w:rPr>
          <w:rFonts w:ascii="Verdana" w:hAnsi="Verdana" w:cs="Arial"/>
          <w:sz w:val="22"/>
          <w:szCs w:val="22"/>
        </w:rPr>
        <w:t xml:space="preserve">%. </w:t>
      </w:r>
    </w:p>
    <w:p w14:paraId="3CA7EF9C" w14:textId="77777777" w:rsidR="00923AE3" w:rsidRPr="00205C60" w:rsidRDefault="00923AE3" w:rsidP="00923AE3">
      <w:pPr>
        <w:jc w:val="both"/>
        <w:rPr>
          <w:rFonts w:ascii="Verdana" w:hAnsi="Verdana" w:cs="Arial"/>
          <w:sz w:val="22"/>
          <w:szCs w:val="22"/>
        </w:rPr>
      </w:pPr>
    </w:p>
    <w:p w14:paraId="3CA7EF9D" w14:textId="091F6122" w:rsidR="00923AE3" w:rsidRPr="00205C60" w:rsidRDefault="00923AE3" w:rsidP="00923AE3">
      <w:pPr>
        <w:jc w:val="both"/>
        <w:rPr>
          <w:rFonts w:ascii="Verdana" w:hAnsi="Verdana" w:cs="Arial"/>
          <w:sz w:val="22"/>
          <w:szCs w:val="22"/>
        </w:rPr>
      </w:pPr>
      <w:r w:rsidRPr="00205C60">
        <w:rPr>
          <w:rFonts w:ascii="Verdana" w:hAnsi="Verdana" w:cs="Arial"/>
          <w:sz w:val="22"/>
          <w:szCs w:val="22"/>
        </w:rPr>
        <w:t xml:space="preserve">En el caso de la Planta Eólica Valle Central, el porcentaje de utilización de la planta varía </w:t>
      </w:r>
      <w:proofErr w:type="gramStart"/>
      <w:r w:rsidRPr="00205C60">
        <w:rPr>
          <w:rFonts w:ascii="Verdana" w:hAnsi="Verdana" w:cs="Arial"/>
          <w:sz w:val="22"/>
          <w:szCs w:val="22"/>
        </w:rPr>
        <w:t>de acuerdo al</w:t>
      </w:r>
      <w:proofErr w:type="gramEnd"/>
      <w:r w:rsidRPr="00205C60">
        <w:rPr>
          <w:rFonts w:ascii="Verdana" w:hAnsi="Verdana" w:cs="Arial"/>
          <w:sz w:val="22"/>
          <w:szCs w:val="22"/>
        </w:rPr>
        <w:t xml:space="preserve"> régimen de viento, alc</w:t>
      </w:r>
      <w:r w:rsidR="00965143" w:rsidRPr="00205C60">
        <w:rPr>
          <w:rFonts w:ascii="Verdana" w:hAnsi="Verdana" w:cs="Arial"/>
          <w:sz w:val="22"/>
          <w:szCs w:val="22"/>
        </w:rPr>
        <w:t xml:space="preserve">anzando un mínimo en el mes de </w:t>
      </w:r>
      <w:r w:rsidR="00476F79" w:rsidRPr="00205C60">
        <w:rPr>
          <w:rFonts w:ascii="Verdana" w:hAnsi="Verdana" w:cs="Arial"/>
          <w:sz w:val="22"/>
          <w:szCs w:val="22"/>
        </w:rPr>
        <w:t>setiembre de</w:t>
      </w:r>
      <w:r w:rsidRPr="00205C60">
        <w:rPr>
          <w:rFonts w:ascii="Verdana" w:hAnsi="Verdana" w:cs="Arial"/>
          <w:sz w:val="22"/>
          <w:szCs w:val="22"/>
        </w:rPr>
        <w:t xml:space="preserve"> </w:t>
      </w:r>
      <w:r w:rsidR="00185915" w:rsidRPr="00205C60">
        <w:rPr>
          <w:rFonts w:ascii="Verdana" w:hAnsi="Verdana" w:cs="Arial"/>
          <w:sz w:val="22"/>
          <w:szCs w:val="22"/>
        </w:rPr>
        <w:t>3</w:t>
      </w:r>
      <w:r w:rsidRPr="00205C60">
        <w:rPr>
          <w:rFonts w:ascii="Verdana" w:hAnsi="Verdana" w:cs="Arial"/>
          <w:sz w:val="22"/>
          <w:szCs w:val="22"/>
        </w:rPr>
        <w:t>,</w:t>
      </w:r>
      <w:r w:rsidR="00185915" w:rsidRPr="00205C60">
        <w:rPr>
          <w:rFonts w:ascii="Verdana" w:hAnsi="Verdana" w:cs="Arial"/>
          <w:sz w:val="22"/>
          <w:szCs w:val="22"/>
        </w:rPr>
        <w:t>3</w:t>
      </w:r>
      <w:r w:rsidRPr="00205C60">
        <w:rPr>
          <w:rFonts w:ascii="Verdana" w:hAnsi="Verdana" w:cs="Arial"/>
          <w:sz w:val="22"/>
          <w:szCs w:val="22"/>
        </w:rPr>
        <w:t xml:space="preserve">% y un </w:t>
      </w:r>
      <w:r w:rsidR="00965143" w:rsidRPr="00205C60">
        <w:rPr>
          <w:rFonts w:ascii="Verdana" w:hAnsi="Verdana" w:cs="Arial"/>
          <w:sz w:val="22"/>
          <w:szCs w:val="22"/>
        </w:rPr>
        <w:t xml:space="preserve">máximo de </w:t>
      </w:r>
      <w:r w:rsidR="00185915" w:rsidRPr="00205C60">
        <w:rPr>
          <w:rFonts w:ascii="Verdana" w:hAnsi="Verdana" w:cs="Arial"/>
          <w:sz w:val="22"/>
          <w:szCs w:val="22"/>
        </w:rPr>
        <w:t>44</w:t>
      </w:r>
      <w:r w:rsidR="00965143" w:rsidRPr="00205C60">
        <w:rPr>
          <w:rFonts w:ascii="Verdana" w:hAnsi="Verdana" w:cs="Arial"/>
          <w:sz w:val="22"/>
          <w:szCs w:val="22"/>
        </w:rPr>
        <w:t>,</w:t>
      </w:r>
      <w:r w:rsidR="00185915" w:rsidRPr="00205C60">
        <w:rPr>
          <w:rFonts w:ascii="Verdana" w:hAnsi="Verdana" w:cs="Arial"/>
          <w:sz w:val="22"/>
          <w:szCs w:val="22"/>
        </w:rPr>
        <w:t>65</w:t>
      </w:r>
      <w:r w:rsidR="00965143" w:rsidRPr="00205C60">
        <w:rPr>
          <w:rFonts w:ascii="Verdana" w:hAnsi="Verdana" w:cs="Arial"/>
          <w:sz w:val="22"/>
          <w:szCs w:val="22"/>
        </w:rPr>
        <w:t xml:space="preserve">% en el mes de </w:t>
      </w:r>
      <w:r w:rsidR="00CD0435" w:rsidRPr="00205C60">
        <w:rPr>
          <w:rFonts w:ascii="Verdana" w:hAnsi="Verdana" w:cs="Arial"/>
          <w:sz w:val="22"/>
          <w:szCs w:val="22"/>
        </w:rPr>
        <w:t>febrero</w:t>
      </w:r>
      <w:r w:rsidRPr="00205C60">
        <w:rPr>
          <w:rFonts w:ascii="Verdana" w:hAnsi="Verdana" w:cs="Arial"/>
          <w:sz w:val="22"/>
          <w:szCs w:val="22"/>
        </w:rPr>
        <w:t>.</w:t>
      </w:r>
    </w:p>
    <w:p w14:paraId="3CA7EF9F" w14:textId="77777777" w:rsidR="007263D7" w:rsidRPr="00205C60" w:rsidRDefault="007263D7">
      <w:pPr>
        <w:jc w:val="center"/>
        <w:rPr>
          <w:rFonts w:ascii="Verdana" w:hAnsi="Verdana" w:cs="Arial"/>
          <w:sz w:val="22"/>
          <w:szCs w:val="22"/>
        </w:rPr>
      </w:pPr>
      <w:bookmarkStart w:id="131" w:name="OLE_LINK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5"/>
        <w:gridCol w:w="1579"/>
        <w:gridCol w:w="2694"/>
      </w:tblGrid>
      <w:tr w:rsidR="000B4E6C" w:rsidRPr="00205C60" w14:paraId="3CA7EFA1" w14:textId="77777777" w:rsidTr="00A357CA">
        <w:trPr>
          <w:jc w:val="center"/>
        </w:trPr>
        <w:tc>
          <w:tcPr>
            <w:tcW w:w="6728" w:type="dxa"/>
            <w:gridSpan w:val="3"/>
            <w:vAlign w:val="center"/>
          </w:tcPr>
          <w:p w14:paraId="3CA7EFA0" w14:textId="77777777" w:rsidR="000B4E6C" w:rsidRPr="00205C60" w:rsidRDefault="00225789" w:rsidP="00225789">
            <w:pPr>
              <w:jc w:val="center"/>
              <w:rPr>
                <w:rFonts w:ascii="Verdana" w:hAnsi="Verdana" w:cs="Arial"/>
                <w:b/>
                <w:sz w:val="22"/>
                <w:szCs w:val="22"/>
              </w:rPr>
            </w:pPr>
            <w:r w:rsidRPr="00205C60">
              <w:rPr>
                <w:rFonts w:ascii="Verdana" w:hAnsi="Verdana" w:cs="Arial"/>
                <w:b/>
                <w:sz w:val="22"/>
                <w:szCs w:val="22"/>
              </w:rPr>
              <w:t>Características de las Plantas Hidroeléctricas</w:t>
            </w:r>
          </w:p>
        </w:tc>
      </w:tr>
      <w:tr w:rsidR="000B4E6C" w:rsidRPr="00205C60" w14:paraId="3CA7EFA6" w14:textId="77777777" w:rsidTr="00A357CA">
        <w:trPr>
          <w:jc w:val="center"/>
        </w:trPr>
        <w:tc>
          <w:tcPr>
            <w:tcW w:w="2455" w:type="dxa"/>
            <w:vAlign w:val="center"/>
          </w:tcPr>
          <w:p w14:paraId="3CA7EFA2" w14:textId="77777777" w:rsidR="000B4E6C" w:rsidRPr="00205C60" w:rsidRDefault="00225789" w:rsidP="00225789">
            <w:pPr>
              <w:jc w:val="center"/>
              <w:rPr>
                <w:rFonts w:ascii="Verdana" w:hAnsi="Verdana" w:cs="Arial"/>
                <w:b/>
                <w:sz w:val="22"/>
                <w:szCs w:val="22"/>
              </w:rPr>
            </w:pPr>
            <w:r w:rsidRPr="00205C60">
              <w:rPr>
                <w:rFonts w:ascii="Verdana" w:hAnsi="Verdana" w:cs="Arial"/>
                <w:b/>
                <w:sz w:val="22"/>
                <w:szCs w:val="22"/>
              </w:rPr>
              <w:t>Nombre</w:t>
            </w:r>
          </w:p>
        </w:tc>
        <w:tc>
          <w:tcPr>
            <w:tcW w:w="1579" w:type="dxa"/>
            <w:vAlign w:val="center"/>
          </w:tcPr>
          <w:p w14:paraId="3CA7EFA3" w14:textId="77777777" w:rsidR="000B4E6C" w:rsidRPr="00205C60" w:rsidRDefault="00225789" w:rsidP="00225789">
            <w:pPr>
              <w:jc w:val="center"/>
              <w:rPr>
                <w:rFonts w:ascii="Verdana" w:hAnsi="Verdana" w:cs="Arial"/>
                <w:b/>
                <w:sz w:val="22"/>
                <w:szCs w:val="22"/>
              </w:rPr>
            </w:pPr>
            <w:r w:rsidRPr="00205C60">
              <w:rPr>
                <w:rFonts w:ascii="Verdana" w:hAnsi="Verdana" w:cs="Arial"/>
                <w:b/>
                <w:sz w:val="22"/>
                <w:szCs w:val="22"/>
              </w:rPr>
              <w:t>Ubicación</w:t>
            </w:r>
          </w:p>
        </w:tc>
        <w:tc>
          <w:tcPr>
            <w:tcW w:w="2694" w:type="dxa"/>
            <w:vAlign w:val="center"/>
          </w:tcPr>
          <w:p w14:paraId="3CA7EFA4" w14:textId="77777777" w:rsidR="000B4E6C" w:rsidRPr="00205C60" w:rsidRDefault="00225789" w:rsidP="00225789">
            <w:pPr>
              <w:jc w:val="center"/>
              <w:rPr>
                <w:rFonts w:ascii="Verdana" w:hAnsi="Verdana" w:cs="Arial"/>
                <w:b/>
                <w:sz w:val="22"/>
                <w:szCs w:val="22"/>
              </w:rPr>
            </w:pPr>
            <w:r w:rsidRPr="00205C60">
              <w:rPr>
                <w:rFonts w:ascii="Verdana" w:hAnsi="Verdana" w:cs="Arial"/>
                <w:b/>
                <w:sz w:val="22"/>
                <w:szCs w:val="22"/>
              </w:rPr>
              <w:t>Capacidad instalada</w:t>
            </w:r>
          </w:p>
          <w:p w14:paraId="3CA7EFA5" w14:textId="77777777" w:rsidR="000B4E6C" w:rsidRPr="00205C60" w:rsidRDefault="006D7636" w:rsidP="00225789">
            <w:pPr>
              <w:jc w:val="center"/>
              <w:rPr>
                <w:rFonts w:ascii="Verdana" w:hAnsi="Verdana" w:cs="Arial"/>
                <w:b/>
                <w:sz w:val="22"/>
                <w:szCs w:val="22"/>
              </w:rPr>
            </w:pPr>
            <w:r w:rsidRPr="00205C60">
              <w:rPr>
                <w:rFonts w:ascii="Verdana" w:hAnsi="Verdana" w:cs="Arial"/>
                <w:b/>
                <w:sz w:val="22"/>
                <w:szCs w:val="22"/>
              </w:rPr>
              <w:t>MW</w:t>
            </w:r>
            <w:r w:rsidR="00523D3D" w:rsidRPr="00205C60">
              <w:rPr>
                <w:rFonts w:ascii="Verdana" w:hAnsi="Verdana" w:cs="Arial"/>
                <w:b/>
                <w:sz w:val="22"/>
                <w:szCs w:val="22"/>
              </w:rPr>
              <w:t xml:space="preserve">  1/</w:t>
            </w:r>
          </w:p>
        </w:tc>
      </w:tr>
      <w:tr w:rsidR="006745FA" w:rsidRPr="00205C60" w14:paraId="3CA7EFAA" w14:textId="77777777" w:rsidTr="00A357CA">
        <w:trPr>
          <w:jc w:val="center"/>
        </w:trPr>
        <w:tc>
          <w:tcPr>
            <w:tcW w:w="2455" w:type="dxa"/>
            <w:vAlign w:val="center"/>
          </w:tcPr>
          <w:p w14:paraId="3CA7EFA7" w14:textId="77777777" w:rsidR="006745FA" w:rsidRPr="00205C60" w:rsidRDefault="006745FA" w:rsidP="00225789">
            <w:pPr>
              <w:jc w:val="center"/>
              <w:rPr>
                <w:rFonts w:ascii="Verdana" w:hAnsi="Verdana" w:cs="Arial"/>
                <w:sz w:val="22"/>
                <w:szCs w:val="22"/>
              </w:rPr>
            </w:pPr>
            <w:r w:rsidRPr="00205C60">
              <w:rPr>
                <w:rFonts w:ascii="Verdana" w:hAnsi="Verdana" w:cs="Arial"/>
                <w:sz w:val="22"/>
                <w:szCs w:val="22"/>
              </w:rPr>
              <w:t>Balsa Inferior</w:t>
            </w:r>
          </w:p>
        </w:tc>
        <w:tc>
          <w:tcPr>
            <w:tcW w:w="1579" w:type="dxa"/>
            <w:vAlign w:val="center"/>
          </w:tcPr>
          <w:p w14:paraId="3CA7EFA8" w14:textId="77777777" w:rsidR="006745FA" w:rsidRPr="00205C60" w:rsidRDefault="006745FA" w:rsidP="00225789">
            <w:pPr>
              <w:jc w:val="center"/>
              <w:rPr>
                <w:rFonts w:ascii="Verdana" w:hAnsi="Verdana" w:cs="Arial"/>
                <w:sz w:val="22"/>
                <w:szCs w:val="22"/>
              </w:rPr>
            </w:pPr>
            <w:r w:rsidRPr="00205C60">
              <w:rPr>
                <w:rFonts w:ascii="Verdana" w:hAnsi="Verdana" w:cs="Arial"/>
                <w:sz w:val="22"/>
                <w:szCs w:val="22"/>
              </w:rPr>
              <w:t>Alajuela</w:t>
            </w:r>
          </w:p>
        </w:tc>
        <w:tc>
          <w:tcPr>
            <w:tcW w:w="2694" w:type="dxa"/>
            <w:vAlign w:val="center"/>
          </w:tcPr>
          <w:p w14:paraId="3CA7EFA9" w14:textId="77777777" w:rsidR="006745FA" w:rsidRPr="00205C60" w:rsidRDefault="006745FA" w:rsidP="00225789">
            <w:pPr>
              <w:jc w:val="center"/>
              <w:rPr>
                <w:rFonts w:ascii="Verdana" w:hAnsi="Verdana" w:cs="Arial"/>
                <w:sz w:val="22"/>
                <w:szCs w:val="22"/>
              </w:rPr>
            </w:pPr>
            <w:r w:rsidRPr="00205C60">
              <w:rPr>
                <w:rFonts w:ascii="Verdana" w:hAnsi="Verdana" w:cs="Arial"/>
                <w:sz w:val="22"/>
                <w:szCs w:val="22"/>
              </w:rPr>
              <w:t>37,5</w:t>
            </w:r>
          </w:p>
        </w:tc>
      </w:tr>
      <w:tr w:rsidR="000B4E6C" w:rsidRPr="00205C60" w14:paraId="3CA7EFAE" w14:textId="77777777" w:rsidTr="00A357CA">
        <w:trPr>
          <w:jc w:val="center"/>
        </w:trPr>
        <w:tc>
          <w:tcPr>
            <w:tcW w:w="2455" w:type="dxa"/>
            <w:vAlign w:val="center"/>
          </w:tcPr>
          <w:p w14:paraId="3CA7EFAB" w14:textId="77777777" w:rsidR="000B4E6C" w:rsidRPr="00205C60" w:rsidRDefault="000B4E6C" w:rsidP="00225789">
            <w:pPr>
              <w:jc w:val="center"/>
              <w:rPr>
                <w:rFonts w:ascii="Verdana" w:hAnsi="Verdana" w:cs="Arial"/>
                <w:sz w:val="22"/>
                <w:szCs w:val="22"/>
              </w:rPr>
            </w:pPr>
            <w:r w:rsidRPr="00205C60">
              <w:rPr>
                <w:rFonts w:ascii="Verdana" w:hAnsi="Verdana" w:cs="Arial"/>
                <w:sz w:val="22"/>
                <w:szCs w:val="22"/>
              </w:rPr>
              <w:t>Belén</w:t>
            </w:r>
          </w:p>
        </w:tc>
        <w:tc>
          <w:tcPr>
            <w:tcW w:w="1579" w:type="dxa"/>
            <w:vAlign w:val="center"/>
          </w:tcPr>
          <w:p w14:paraId="3CA7EFAC" w14:textId="77777777" w:rsidR="000B4E6C" w:rsidRPr="00205C60" w:rsidRDefault="00880466" w:rsidP="00225789">
            <w:pPr>
              <w:jc w:val="center"/>
              <w:rPr>
                <w:rFonts w:ascii="Verdana" w:hAnsi="Verdana" w:cs="Arial"/>
                <w:sz w:val="22"/>
                <w:szCs w:val="22"/>
              </w:rPr>
            </w:pPr>
            <w:r w:rsidRPr="00205C60">
              <w:rPr>
                <w:rFonts w:ascii="Verdana" w:hAnsi="Verdana" w:cs="Arial"/>
                <w:sz w:val="22"/>
                <w:szCs w:val="22"/>
              </w:rPr>
              <w:t>Alajuela</w:t>
            </w:r>
          </w:p>
        </w:tc>
        <w:tc>
          <w:tcPr>
            <w:tcW w:w="2694" w:type="dxa"/>
            <w:vAlign w:val="center"/>
          </w:tcPr>
          <w:p w14:paraId="3CA7EFAD" w14:textId="77777777" w:rsidR="000B4E6C" w:rsidRPr="00205C60" w:rsidRDefault="000B139A" w:rsidP="00225789">
            <w:pPr>
              <w:jc w:val="center"/>
              <w:rPr>
                <w:rFonts w:ascii="Verdana" w:hAnsi="Verdana" w:cs="Arial"/>
                <w:sz w:val="22"/>
                <w:szCs w:val="22"/>
              </w:rPr>
            </w:pPr>
            <w:r w:rsidRPr="00205C60">
              <w:rPr>
                <w:rFonts w:ascii="Verdana" w:hAnsi="Verdana" w:cs="Arial"/>
                <w:sz w:val="22"/>
                <w:szCs w:val="22"/>
              </w:rPr>
              <w:t>10</w:t>
            </w:r>
            <w:r w:rsidR="00692F58" w:rsidRPr="00205C60">
              <w:rPr>
                <w:rFonts w:ascii="Verdana" w:hAnsi="Verdana" w:cs="Arial"/>
                <w:sz w:val="22"/>
                <w:szCs w:val="22"/>
              </w:rPr>
              <w:t>,</w:t>
            </w:r>
            <w:r w:rsidRPr="00205C60">
              <w:rPr>
                <w:rFonts w:ascii="Verdana" w:hAnsi="Verdana" w:cs="Arial"/>
                <w:sz w:val="22"/>
                <w:szCs w:val="22"/>
              </w:rPr>
              <w:t>50</w:t>
            </w:r>
          </w:p>
        </w:tc>
      </w:tr>
      <w:tr w:rsidR="000B4E6C" w:rsidRPr="00205C60" w14:paraId="3CA7EFB2" w14:textId="77777777" w:rsidTr="00A357CA">
        <w:trPr>
          <w:jc w:val="center"/>
        </w:trPr>
        <w:tc>
          <w:tcPr>
            <w:tcW w:w="2455" w:type="dxa"/>
            <w:vAlign w:val="center"/>
          </w:tcPr>
          <w:p w14:paraId="3CA7EFAF" w14:textId="77777777" w:rsidR="000B4E6C" w:rsidRPr="00205C60" w:rsidRDefault="000B4E6C" w:rsidP="00225789">
            <w:pPr>
              <w:jc w:val="center"/>
              <w:rPr>
                <w:rFonts w:ascii="Verdana" w:hAnsi="Verdana" w:cs="Arial"/>
                <w:sz w:val="22"/>
                <w:szCs w:val="22"/>
              </w:rPr>
            </w:pPr>
            <w:r w:rsidRPr="00205C60">
              <w:rPr>
                <w:rFonts w:ascii="Verdana" w:hAnsi="Verdana" w:cs="Arial"/>
                <w:sz w:val="22"/>
                <w:szCs w:val="22"/>
              </w:rPr>
              <w:t>Brasil</w:t>
            </w:r>
          </w:p>
        </w:tc>
        <w:tc>
          <w:tcPr>
            <w:tcW w:w="1579" w:type="dxa"/>
            <w:vAlign w:val="center"/>
          </w:tcPr>
          <w:p w14:paraId="3CA7EFB0" w14:textId="77777777" w:rsidR="000B4E6C" w:rsidRPr="00205C60" w:rsidRDefault="00880466" w:rsidP="00225789">
            <w:pPr>
              <w:jc w:val="center"/>
              <w:rPr>
                <w:rFonts w:ascii="Verdana" w:hAnsi="Verdana" w:cs="Arial"/>
                <w:sz w:val="22"/>
                <w:szCs w:val="22"/>
              </w:rPr>
            </w:pPr>
            <w:r w:rsidRPr="00205C60">
              <w:rPr>
                <w:rFonts w:ascii="Verdana" w:hAnsi="Verdana" w:cs="Arial"/>
                <w:sz w:val="22"/>
                <w:szCs w:val="22"/>
              </w:rPr>
              <w:t>San José</w:t>
            </w:r>
          </w:p>
        </w:tc>
        <w:tc>
          <w:tcPr>
            <w:tcW w:w="2694" w:type="dxa"/>
            <w:vAlign w:val="center"/>
          </w:tcPr>
          <w:p w14:paraId="3CA7EFB1" w14:textId="77777777" w:rsidR="000B4E6C" w:rsidRPr="00205C60" w:rsidRDefault="000B139A" w:rsidP="00225789">
            <w:pPr>
              <w:jc w:val="center"/>
              <w:rPr>
                <w:rFonts w:ascii="Verdana" w:hAnsi="Verdana" w:cs="Arial"/>
                <w:sz w:val="22"/>
                <w:szCs w:val="22"/>
              </w:rPr>
            </w:pPr>
            <w:r w:rsidRPr="00205C60">
              <w:rPr>
                <w:rFonts w:ascii="Verdana" w:hAnsi="Verdana" w:cs="Arial"/>
                <w:sz w:val="22"/>
                <w:szCs w:val="22"/>
              </w:rPr>
              <w:t>2</w:t>
            </w:r>
            <w:r w:rsidR="00CE5C8D" w:rsidRPr="00205C60">
              <w:rPr>
                <w:rFonts w:ascii="Verdana" w:hAnsi="Verdana" w:cs="Arial"/>
                <w:sz w:val="22"/>
                <w:szCs w:val="22"/>
              </w:rPr>
              <w:t>4</w:t>
            </w:r>
            <w:r w:rsidR="00692F58" w:rsidRPr="00205C60">
              <w:rPr>
                <w:rFonts w:ascii="Verdana" w:hAnsi="Verdana" w:cs="Arial"/>
                <w:sz w:val="22"/>
                <w:szCs w:val="22"/>
              </w:rPr>
              <w:t>,</w:t>
            </w:r>
            <w:r w:rsidRPr="00205C60">
              <w:rPr>
                <w:rFonts w:ascii="Verdana" w:hAnsi="Verdana" w:cs="Arial"/>
                <w:sz w:val="22"/>
                <w:szCs w:val="22"/>
              </w:rPr>
              <w:t>00</w:t>
            </w:r>
          </w:p>
        </w:tc>
      </w:tr>
      <w:tr w:rsidR="000B4E6C" w:rsidRPr="00205C60" w14:paraId="3CA7EFB6" w14:textId="77777777" w:rsidTr="00A357CA">
        <w:trPr>
          <w:jc w:val="center"/>
        </w:trPr>
        <w:tc>
          <w:tcPr>
            <w:tcW w:w="2455" w:type="dxa"/>
            <w:vAlign w:val="center"/>
          </w:tcPr>
          <w:p w14:paraId="3CA7EFB3" w14:textId="77777777" w:rsidR="000B4E6C" w:rsidRPr="00205C60" w:rsidRDefault="000B4E6C" w:rsidP="00225789">
            <w:pPr>
              <w:jc w:val="center"/>
              <w:rPr>
                <w:rFonts w:ascii="Verdana" w:hAnsi="Verdana" w:cs="Arial"/>
                <w:sz w:val="22"/>
                <w:szCs w:val="22"/>
              </w:rPr>
            </w:pPr>
            <w:r w:rsidRPr="00205C60">
              <w:rPr>
                <w:rFonts w:ascii="Verdana" w:hAnsi="Verdana" w:cs="Arial"/>
                <w:sz w:val="22"/>
                <w:szCs w:val="22"/>
              </w:rPr>
              <w:t>Cote</w:t>
            </w:r>
          </w:p>
        </w:tc>
        <w:tc>
          <w:tcPr>
            <w:tcW w:w="1579" w:type="dxa"/>
            <w:vAlign w:val="center"/>
          </w:tcPr>
          <w:p w14:paraId="3CA7EFB4" w14:textId="77777777" w:rsidR="000B4E6C" w:rsidRPr="00205C60" w:rsidRDefault="00880466" w:rsidP="00225789">
            <w:pPr>
              <w:jc w:val="center"/>
              <w:rPr>
                <w:rFonts w:ascii="Verdana" w:hAnsi="Verdana" w:cs="Arial"/>
                <w:sz w:val="22"/>
                <w:szCs w:val="22"/>
              </w:rPr>
            </w:pPr>
            <w:r w:rsidRPr="00205C60">
              <w:rPr>
                <w:rFonts w:ascii="Verdana" w:hAnsi="Verdana" w:cs="Arial"/>
                <w:sz w:val="22"/>
                <w:szCs w:val="22"/>
              </w:rPr>
              <w:t>Alajuela</w:t>
            </w:r>
          </w:p>
        </w:tc>
        <w:tc>
          <w:tcPr>
            <w:tcW w:w="2694" w:type="dxa"/>
            <w:vAlign w:val="center"/>
          </w:tcPr>
          <w:p w14:paraId="3CA7EFB5" w14:textId="77777777" w:rsidR="000B4E6C" w:rsidRPr="00205C60" w:rsidRDefault="000B139A" w:rsidP="00225789">
            <w:pPr>
              <w:jc w:val="center"/>
              <w:rPr>
                <w:rFonts w:ascii="Verdana" w:hAnsi="Verdana" w:cs="Arial"/>
                <w:sz w:val="22"/>
                <w:szCs w:val="22"/>
              </w:rPr>
            </w:pPr>
            <w:r w:rsidRPr="00205C60">
              <w:rPr>
                <w:rFonts w:ascii="Verdana" w:hAnsi="Verdana" w:cs="Arial"/>
                <w:sz w:val="22"/>
                <w:szCs w:val="22"/>
              </w:rPr>
              <w:t>6</w:t>
            </w:r>
            <w:r w:rsidR="00692F58" w:rsidRPr="00205C60">
              <w:rPr>
                <w:rFonts w:ascii="Verdana" w:hAnsi="Verdana" w:cs="Arial"/>
                <w:sz w:val="22"/>
                <w:szCs w:val="22"/>
              </w:rPr>
              <w:t>,</w:t>
            </w:r>
            <w:r w:rsidRPr="00205C60">
              <w:rPr>
                <w:rFonts w:ascii="Verdana" w:hAnsi="Verdana" w:cs="Arial"/>
                <w:sz w:val="22"/>
                <w:szCs w:val="22"/>
              </w:rPr>
              <w:t>7</w:t>
            </w:r>
            <w:r w:rsidR="00D30829" w:rsidRPr="00205C60">
              <w:rPr>
                <w:rFonts w:ascii="Verdana" w:hAnsi="Verdana" w:cs="Arial"/>
                <w:sz w:val="22"/>
                <w:szCs w:val="22"/>
              </w:rPr>
              <w:t>9</w:t>
            </w:r>
          </w:p>
        </w:tc>
      </w:tr>
      <w:tr w:rsidR="000B4E6C" w:rsidRPr="00205C60" w14:paraId="3CA7EFBA" w14:textId="77777777" w:rsidTr="00A357CA">
        <w:trPr>
          <w:jc w:val="center"/>
        </w:trPr>
        <w:tc>
          <w:tcPr>
            <w:tcW w:w="2455" w:type="dxa"/>
            <w:vAlign w:val="center"/>
          </w:tcPr>
          <w:p w14:paraId="3CA7EFB7" w14:textId="77777777" w:rsidR="000B4E6C" w:rsidRPr="00205C60" w:rsidRDefault="000B4E6C" w:rsidP="00225789">
            <w:pPr>
              <w:jc w:val="center"/>
              <w:rPr>
                <w:rFonts w:ascii="Verdana" w:hAnsi="Verdana" w:cs="Arial"/>
                <w:sz w:val="22"/>
                <w:szCs w:val="22"/>
              </w:rPr>
            </w:pPr>
            <w:r w:rsidRPr="00205C60">
              <w:rPr>
                <w:rFonts w:ascii="Verdana" w:hAnsi="Verdana" w:cs="Arial"/>
                <w:sz w:val="22"/>
                <w:szCs w:val="22"/>
              </w:rPr>
              <w:t>Daniel Gutiérrez</w:t>
            </w:r>
          </w:p>
        </w:tc>
        <w:tc>
          <w:tcPr>
            <w:tcW w:w="1579" w:type="dxa"/>
            <w:vAlign w:val="center"/>
          </w:tcPr>
          <w:p w14:paraId="3CA7EFB8" w14:textId="77777777" w:rsidR="000B4E6C" w:rsidRPr="00205C60" w:rsidRDefault="00880466" w:rsidP="00225789">
            <w:pPr>
              <w:jc w:val="center"/>
              <w:rPr>
                <w:rFonts w:ascii="Verdana" w:hAnsi="Verdana" w:cs="Arial"/>
                <w:sz w:val="22"/>
                <w:szCs w:val="22"/>
              </w:rPr>
            </w:pPr>
            <w:r w:rsidRPr="00205C60">
              <w:rPr>
                <w:rFonts w:ascii="Verdana" w:hAnsi="Verdana" w:cs="Arial"/>
                <w:sz w:val="22"/>
                <w:szCs w:val="22"/>
              </w:rPr>
              <w:t>Alajuela</w:t>
            </w:r>
          </w:p>
        </w:tc>
        <w:tc>
          <w:tcPr>
            <w:tcW w:w="2694" w:type="dxa"/>
            <w:vAlign w:val="center"/>
          </w:tcPr>
          <w:p w14:paraId="3CA7EFB9" w14:textId="77777777" w:rsidR="000B4E6C" w:rsidRPr="00205C60" w:rsidRDefault="000B139A" w:rsidP="00225789">
            <w:pPr>
              <w:jc w:val="center"/>
              <w:rPr>
                <w:rFonts w:ascii="Verdana" w:hAnsi="Verdana" w:cs="Arial"/>
                <w:sz w:val="22"/>
                <w:szCs w:val="22"/>
              </w:rPr>
            </w:pPr>
            <w:r w:rsidRPr="00205C60">
              <w:rPr>
                <w:rFonts w:ascii="Verdana" w:hAnsi="Verdana" w:cs="Arial"/>
                <w:sz w:val="22"/>
                <w:szCs w:val="22"/>
              </w:rPr>
              <w:t>20</w:t>
            </w:r>
            <w:r w:rsidR="00692F58" w:rsidRPr="00205C60">
              <w:rPr>
                <w:rFonts w:ascii="Verdana" w:hAnsi="Verdana" w:cs="Arial"/>
                <w:sz w:val="22"/>
                <w:szCs w:val="22"/>
              </w:rPr>
              <w:t>,</w:t>
            </w:r>
            <w:r w:rsidRPr="00205C60">
              <w:rPr>
                <w:rFonts w:ascii="Verdana" w:hAnsi="Verdana" w:cs="Arial"/>
                <w:sz w:val="22"/>
                <w:szCs w:val="22"/>
              </w:rPr>
              <w:t>12</w:t>
            </w:r>
          </w:p>
        </w:tc>
      </w:tr>
      <w:tr w:rsidR="00BC7F54" w:rsidRPr="00205C60" w14:paraId="3CA7EFBE" w14:textId="77777777" w:rsidTr="00A357CA">
        <w:trPr>
          <w:jc w:val="center"/>
        </w:trPr>
        <w:tc>
          <w:tcPr>
            <w:tcW w:w="2455" w:type="dxa"/>
            <w:vAlign w:val="center"/>
          </w:tcPr>
          <w:p w14:paraId="3CA7EFBB" w14:textId="77777777" w:rsidR="00BC7F54" w:rsidRPr="00205C60" w:rsidRDefault="00BC7F54" w:rsidP="00225789">
            <w:pPr>
              <w:jc w:val="center"/>
              <w:rPr>
                <w:rFonts w:ascii="Verdana" w:hAnsi="Verdana" w:cs="Arial"/>
                <w:sz w:val="22"/>
                <w:szCs w:val="22"/>
              </w:rPr>
            </w:pPr>
            <w:r w:rsidRPr="00205C60">
              <w:rPr>
                <w:rFonts w:ascii="Verdana" w:hAnsi="Verdana" w:cs="Arial"/>
                <w:sz w:val="22"/>
                <w:szCs w:val="22"/>
              </w:rPr>
              <w:t>El Encanto</w:t>
            </w:r>
          </w:p>
        </w:tc>
        <w:tc>
          <w:tcPr>
            <w:tcW w:w="1579" w:type="dxa"/>
            <w:vAlign w:val="center"/>
          </w:tcPr>
          <w:p w14:paraId="3CA7EFBC" w14:textId="77777777" w:rsidR="00BC7F54" w:rsidRPr="00205C60" w:rsidRDefault="00BC7F54" w:rsidP="00225789">
            <w:pPr>
              <w:jc w:val="center"/>
              <w:rPr>
                <w:rFonts w:ascii="Verdana" w:hAnsi="Verdana" w:cs="Arial"/>
                <w:sz w:val="22"/>
                <w:szCs w:val="22"/>
              </w:rPr>
            </w:pPr>
            <w:r w:rsidRPr="00205C60">
              <w:rPr>
                <w:rFonts w:ascii="Verdana" w:hAnsi="Verdana" w:cs="Arial"/>
                <w:sz w:val="22"/>
                <w:szCs w:val="22"/>
              </w:rPr>
              <w:t>Puntarenas</w:t>
            </w:r>
          </w:p>
        </w:tc>
        <w:tc>
          <w:tcPr>
            <w:tcW w:w="2694" w:type="dxa"/>
            <w:vAlign w:val="center"/>
          </w:tcPr>
          <w:p w14:paraId="3CA7EFBD" w14:textId="77777777" w:rsidR="00BC7F54" w:rsidRPr="00205C60" w:rsidRDefault="00BC7F54" w:rsidP="00225789">
            <w:pPr>
              <w:jc w:val="center"/>
              <w:rPr>
                <w:rFonts w:ascii="Verdana" w:hAnsi="Verdana" w:cs="Arial"/>
                <w:sz w:val="22"/>
                <w:szCs w:val="22"/>
              </w:rPr>
            </w:pPr>
            <w:r w:rsidRPr="00205C60">
              <w:rPr>
                <w:rFonts w:ascii="Verdana" w:hAnsi="Verdana" w:cs="Arial"/>
                <w:sz w:val="22"/>
                <w:szCs w:val="22"/>
              </w:rPr>
              <w:t>9,08</w:t>
            </w:r>
          </w:p>
        </w:tc>
      </w:tr>
      <w:tr w:rsidR="000B4E6C" w:rsidRPr="00205C60" w14:paraId="3CA7EFC2" w14:textId="77777777" w:rsidTr="00A357CA">
        <w:trPr>
          <w:jc w:val="center"/>
        </w:trPr>
        <w:tc>
          <w:tcPr>
            <w:tcW w:w="2455" w:type="dxa"/>
            <w:vAlign w:val="center"/>
          </w:tcPr>
          <w:p w14:paraId="3CA7EFBF" w14:textId="77777777" w:rsidR="000B4E6C" w:rsidRPr="00205C60" w:rsidRDefault="000B4E6C" w:rsidP="00225789">
            <w:pPr>
              <w:jc w:val="center"/>
              <w:rPr>
                <w:rFonts w:ascii="Verdana" w:hAnsi="Verdana" w:cs="Arial"/>
                <w:sz w:val="22"/>
                <w:szCs w:val="22"/>
              </w:rPr>
            </w:pPr>
            <w:r w:rsidRPr="00205C60">
              <w:rPr>
                <w:rFonts w:ascii="Verdana" w:hAnsi="Verdana" w:cs="Arial"/>
                <w:sz w:val="22"/>
                <w:szCs w:val="22"/>
              </w:rPr>
              <w:t>Electriona</w:t>
            </w:r>
          </w:p>
        </w:tc>
        <w:tc>
          <w:tcPr>
            <w:tcW w:w="1579" w:type="dxa"/>
            <w:vAlign w:val="center"/>
          </w:tcPr>
          <w:p w14:paraId="3CA7EFC0" w14:textId="77777777" w:rsidR="000B4E6C" w:rsidRPr="00205C60" w:rsidRDefault="00880466" w:rsidP="00225789">
            <w:pPr>
              <w:jc w:val="center"/>
              <w:rPr>
                <w:rFonts w:ascii="Verdana" w:hAnsi="Verdana" w:cs="Arial"/>
                <w:sz w:val="22"/>
                <w:szCs w:val="22"/>
              </w:rPr>
            </w:pPr>
            <w:r w:rsidRPr="00205C60">
              <w:rPr>
                <w:rFonts w:ascii="Verdana" w:hAnsi="Verdana" w:cs="Arial"/>
                <w:sz w:val="22"/>
                <w:szCs w:val="22"/>
              </w:rPr>
              <w:t>Heredia</w:t>
            </w:r>
          </w:p>
        </w:tc>
        <w:tc>
          <w:tcPr>
            <w:tcW w:w="2694" w:type="dxa"/>
            <w:vAlign w:val="center"/>
          </w:tcPr>
          <w:p w14:paraId="3CA7EFC1" w14:textId="77777777" w:rsidR="000B4E6C" w:rsidRPr="00205C60" w:rsidRDefault="000B139A" w:rsidP="00225789">
            <w:pPr>
              <w:jc w:val="center"/>
              <w:rPr>
                <w:rFonts w:ascii="Verdana" w:hAnsi="Verdana" w:cs="Arial"/>
                <w:sz w:val="22"/>
                <w:szCs w:val="22"/>
              </w:rPr>
            </w:pPr>
            <w:r w:rsidRPr="00205C60">
              <w:rPr>
                <w:rFonts w:ascii="Verdana" w:hAnsi="Verdana" w:cs="Arial"/>
                <w:sz w:val="22"/>
                <w:szCs w:val="22"/>
              </w:rPr>
              <w:t>5</w:t>
            </w:r>
            <w:r w:rsidR="00692F58" w:rsidRPr="00205C60">
              <w:rPr>
                <w:rFonts w:ascii="Verdana" w:hAnsi="Verdana" w:cs="Arial"/>
                <w:sz w:val="22"/>
                <w:szCs w:val="22"/>
              </w:rPr>
              <w:t>,</w:t>
            </w:r>
            <w:r w:rsidRPr="00205C60">
              <w:rPr>
                <w:rFonts w:ascii="Verdana" w:hAnsi="Verdana" w:cs="Arial"/>
                <w:sz w:val="22"/>
                <w:szCs w:val="22"/>
              </w:rPr>
              <w:t>8</w:t>
            </w:r>
            <w:r w:rsidR="00D30829" w:rsidRPr="00205C60">
              <w:rPr>
                <w:rFonts w:ascii="Verdana" w:hAnsi="Verdana" w:cs="Arial"/>
                <w:sz w:val="22"/>
                <w:szCs w:val="22"/>
              </w:rPr>
              <w:t>3</w:t>
            </w:r>
          </w:p>
        </w:tc>
      </w:tr>
      <w:tr w:rsidR="000B4E6C" w:rsidRPr="00205C60" w14:paraId="3CA7EFC6" w14:textId="77777777" w:rsidTr="00A357CA">
        <w:trPr>
          <w:jc w:val="center"/>
        </w:trPr>
        <w:tc>
          <w:tcPr>
            <w:tcW w:w="2455" w:type="dxa"/>
            <w:vAlign w:val="center"/>
          </w:tcPr>
          <w:p w14:paraId="3CA7EFC3" w14:textId="77777777" w:rsidR="000B4E6C" w:rsidRPr="00205C60" w:rsidRDefault="000B4E6C" w:rsidP="00225789">
            <w:pPr>
              <w:jc w:val="center"/>
              <w:rPr>
                <w:rFonts w:ascii="Verdana" w:hAnsi="Verdana" w:cs="Arial"/>
                <w:sz w:val="22"/>
                <w:szCs w:val="22"/>
              </w:rPr>
            </w:pPr>
            <w:r w:rsidRPr="00205C60">
              <w:rPr>
                <w:rFonts w:ascii="Verdana" w:hAnsi="Verdana" w:cs="Arial"/>
                <w:sz w:val="22"/>
                <w:szCs w:val="22"/>
              </w:rPr>
              <w:t>Río Segundo</w:t>
            </w:r>
          </w:p>
        </w:tc>
        <w:tc>
          <w:tcPr>
            <w:tcW w:w="1579" w:type="dxa"/>
            <w:vAlign w:val="center"/>
          </w:tcPr>
          <w:p w14:paraId="3CA7EFC4" w14:textId="77777777" w:rsidR="000B4E6C" w:rsidRPr="00205C60" w:rsidRDefault="000B4E6C" w:rsidP="00225789">
            <w:pPr>
              <w:jc w:val="center"/>
              <w:rPr>
                <w:rFonts w:ascii="Verdana" w:hAnsi="Verdana" w:cs="Arial"/>
                <w:sz w:val="22"/>
                <w:szCs w:val="22"/>
              </w:rPr>
            </w:pPr>
            <w:r w:rsidRPr="00205C60">
              <w:rPr>
                <w:rFonts w:ascii="Verdana" w:hAnsi="Verdana" w:cs="Arial"/>
                <w:sz w:val="22"/>
                <w:szCs w:val="22"/>
              </w:rPr>
              <w:t>Alajuela</w:t>
            </w:r>
          </w:p>
        </w:tc>
        <w:tc>
          <w:tcPr>
            <w:tcW w:w="2694" w:type="dxa"/>
            <w:vAlign w:val="center"/>
          </w:tcPr>
          <w:p w14:paraId="3CA7EFC5" w14:textId="77777777" w:rsidR="000B4E6C" w:rsidRPr="00205C60" w:rsidRDefault="00BC7F54" w:rsidP="00225789">
            <w:pPr>
              <w:jc w:val="center"/>
              <w:rPr>
                <w:rFonts w:ascii="Verdana" w:hAnsi="Verdana" w:cs="Arial"/>
                <w:sz w:val="22"/>
                <w:szCs w:val="22"/>
              </w:rPr>
            </w:pPr>
            <w:r w:rsidRPr="00205C60">
              <w:rPr>
                <w:rFonts w:ascii="Verdana" w:hAnsi="Verdana" w:cs="Arial"/>
                <w:sz w:val="22"/>
                <w:szCs w:val="22"/>
              </w:rPr>
              <w:t>1,25</w:t>
            </w:r>
          </w:p>
        </w:tc>
      </w:tr>
      <w:tr w:rsidR="00CE5C8D" w:rsidRPr="00205C60" w14:paraId="3CA7EFCA" w14:textId="77777777" w:rsidTr="00A357CA">
        <w:trPr>
          <w:jc w:val="center"/>
        </w:trPr>
        <w:tc>
          <w:tcPr>
            <w:tcW w:w="2455" w:type="dxa"/>
            <w:vAlign w:val="center"/>
          </w:tcPr>
          <w:p w14:paraId="3CA7EFC7" w14:textId="77777777" w:rsidR="00CE5C8D" w:rsidRPr="00205C60" w:rsidRDefault="00CE5C8D" w:rsidP="00225789">
            <w:pPr>
              <w:jc w:val="center"/>
              <w:rPr>
                <w:rFonts w:ascii="Verdana" w:hAnsi="Verdana" w:cs="Arial"/>
                <w:sz w:val="22"/>
                <w:szCs w:val="22"/>
              </w:rPr>
            </w:pPr>
            <w:r w:rsidRPr="00205C60">
              <w:rPr>
                <w:rFonts w:ascii="Verdana" w:hAnsi="Verdana" w:cs="Arial"/>
                <w:sz w:val="22"/>
                <w:szCs w:val="22"/>
              </w:rPr>
              <w:t>Eólica Valle Central</w:t>
            </w:r>
          </w:p>
        </w:tc>
        <w:tc>
          <w:tcPr>
            <w:tcW w:w="1579" w:type="dxa"/>
            <w:vAlign w:val="center"/>
          </w:tcPr>
          <w:p w14:paraId="3CA7EFC8" w14:textId="77777777" w:rsidR="00CE5C8D" w:rsidRPr="00205C60" w:rsidRDefault="00CE5C8D" w:rsidP="00225789">
            <w:pPr>
              <w:jc w:val="center"/>
              <w:rPr>
                <w:rFonts w:ascii="Verdana" w:hAnsi="Verdana" w:cs="Arial"/>
                <w:sz w:val="22"/>
                <w:szCs w:val="22"/>
              </w:rPr>
            </w:pPr>
            <w:r w:rsidRPr="00205C60">
              <w:rPr>
                <w:rFonts w:ascii="Verdana" w:hAnsi="Verdana" w:cs="Arial"/>
                <w:sz w:val="22"/>
                <w:szCs w:val="22"/>
              </w:rPr>
              <w:t>San José</w:t>
            </w:r>
          </w:p>
        </w:tc>
        <w:tc>
          <w:tcPr>
            <w:tcW w:w="2694" w:type="dxa"/>
            <w:vAlign w:val="center"/>
          </w:tcPr>
          <w:p w14:paraId="3CA7EFC9" w14:textId="77777777" w:rsidR="00CE5C8D" w:rsidRPr="00205C60" w:rsidRDefault="00CE5C8D" w:rsidP="00225789">
            <w:pPr>
              <w:jc w:val="center"/>
              <w:rPr>
                <w:rFonts w:ascii="Verdana" w:hAnsi="Verdana" w:cs="Arial"/>
                <w:sz w:val="22"/>
                <w:szCs w:val="22"/>
              </w:rPr>
            </w:pPr>
            <w:r w:rsidRPr="00205C60">
              <w:rPr>
                <w:rFonts w:ascii="Verdana" w:hAnsi="Verdana" w:cs="Arial"/>
                <w:sz w:val="22"/>
                <w:szCs w:val="22"/>
              </w:rPr>
              <w:t>15,30</w:t>
            </w:r>
          </w:p>
        </w:tc>
      </w:tr>
      <w:tr w:rsidR="004A3F91" w:rsidRPr="00205C60" w14:paraId="3CA7EFCE" w14:textId="77777777" w:rsidTr="00A357CA">
        <w:trPr>
          <w:jc w:val="center"/>
        </w:trPr>
        <w:tc>
          <w:tcPr>
            <w:tcW w:w="2455" w:type="dxa"/>
            <w:vAlign w:val="center"/>
          </w:tcPr>
          <w:p w14:paraId="3CA7EFCB" w14:textId="77777777" w:rsidR="004A3F91" w:rsidRPr="00205C60" w:rsidRDefault="004A3F91" w:rsidP="00225789">
            <w:pPr>
              <w:jc w:val="center"/>
              <w:rPr>
                <w:rFonts w:ascii="Verdana" w:hAnsi="Verdana" w:cs="Arial"/>
                <w:sz w:val="22"/>
                <w:szCs w:val="22"/>
              </w:rPr>
            </w:pPr>
            <w:r w:rsidRPr="00205C60">
              <w:rPr>
                <w:rFonts w:ascii="Verdana" w:hAnsi="Verdana" w:cs="Arial"/>
                <w:sz w:val="22"/>
                <w:szCs w:val="22"/>
              </w:rPr>
              <w:t>Ventanas</w:t>
            </w:r>
          </w:p>
        </w:tc>
        <w:tc>
          <w:tcPr>
            <w:tcW w:w="1579" w:type="dxa"/>
            <w:vAlign w:val="center"/>
          </w:tcPr>
          <w:p w14:paraId="3CA7EFCC" w14:textId="77777777" w:rsidR="004A3F91" w:rsidRPr="00205C60" w:rsidRDefault="004A3F91" w:rsidP="00225789">
            <w:pPr>
              <w:jc w:val="center"/>
              <w:rPr>
                <w:rFonts w:ascii="Verdana" w:hAnsi="Verdana" w:cs="Arial"/>
                <w:sz w:val="22"/>
                <w:szCs w:val="22"/>
              </w:rPr>
            </w:pPr>
            <w:r w:rsidRPr="00205C60">
              <w:rPr>
                <w:rFonts w:ascii="Verdana" w:hAnsi="Verdana" w:cs="Arial"/>
                <w:sz w:val="22"/>
                <w:szCs w:val="22"/>
              </w:rPr>
              <w:t>Alajuela</w:t>
            </w:r>
          </w:p>
        </w:tc>
        <w:tc>
          <w:tcPr>
            <w:tcW w:w="2694" w:type="dxa"/>
            <w:vAlign w:val="center"/>
          </w:tcPr>
          <w:p w14:paraId="3CA7EFCD" w14:textId="77777777" w:rsidR="004A3F91" w:rsidRPr="00205C60" w:rsidRDefault="004A3F91" w:rsidP="00225789">
            <w:pPr>
              <w:jc w:val="center"/>
              <w:rPr>
                <w:rFonts w:ascii="Verdana" w:hAnsi="Verdana" w:cs="Arial"/>
                <w:sz w:val="22"/>
                <w:szCs w:val="22"/>
              </w:rPr>
            </w:pPr>
            <w:r w:rsidRPr="00205C60">
              <w:rPr>
                <w:rFonts w:ascii="Verdana" w:hAnsi="Verdana" w:cs="Arial"/>
                <w:sz w:val="22"/>
                <w:szCs w:val="22"/>
              </w:rPr>
              <w:t>11,27</w:t>
            </w:r>
          </w:p>
        </w:tc>
      </w:tr>
      <w:tr w:rsidR="000B4E6C" w:rsidRPr="00205C60" w14:paraId="3CA7EFD2" w14:textId="77777777" w:rsidTr="00A357CA">
        <w:trPr>
          <w:jc w:val="center"/>
        </w:trPr>
        <w:tc>
          <w:tcPr>
            <w:tcW w:w="2455" w:type="dxa"/>
            <w:vAlign w:val="center"/>
          </w:tcPr>
          <w:p w14:paraId="3CA7EFCF" w14:textId="77777777" w:rsidR="000B4E6C" w:rsidRPr="00205C60" w:rsidRDefault="000B4E6C" w:rsidP="00225789">
            <w:pPr>
              <w:jc w:val="center"/>
              <w:rPr>
                <w:rFonts w:ascii="Verdana" w:hAnsi="Verdana" w:cs="Arial"/>
                <w:b/>
                <w:sz w:val="22"/>
                <w:szCs w:val="22"/>
              </w:rPr>
            </w:pPr>
            <w:r w:rsidRPr="00205C60">
              <w:rPr>
                <w:rFonts w:ascii="Verdana" w:hAnsi="Verdana" w:cs="Arial"/>
                <w:b/>
                <w:sz w:val="22"/>
                <w:szCs w:val="22"/>
              </w:rPr>
              <w:t>TOTAL</w:t>
            </w:r>
          </w:p>
        </w:tc>
        <w:tc>
          <w:tcPr>
            <w:tcW w:w="1579" w:type="dxa"/>
            <w:vAlign w:val="center"/>
          </w:tcPr>
          <w:p w14:paraId="3CA7EFD0" w14:textId="77777777" w:rsidR="000B4E6C" w:rsidRPr="00205C60" w:rsidRDefault="000B4E6C" w:rsidP="00225789">
            <w:pPr>
              <w:jc w:val="center"/>
              <w:rPr>
                <w:rFonts w:ascii="Verdana" w:hAnsi="Verdana" w:cs="Arial"/>
                <w:b/>
                <w:sz w:val="22"/>
                <w:szCs w:val="22"/>
              </w:rPr>
            </w:pPr>
          </w:p>
        </w:tc>
        <w:tc>
          <w:tcPr>
            <w:tcW w:w="2694" w:type="dxa"/>
            <w:vAlign w:val="center"/>
          </w:tcPr>
          <w:p w14:paraId="3CA7EFD1" w14:textId="77777777" w:rsidR="000B4E6C" w:rsidRPr="00205C60" w:rsidRDefault="006745FA" w:rsidP="004A3F91">
            <w:pPr>
              <w:jc w:val="center"/>
              <w:rPr>
                <w:rFonts w:ascii="Verdana" w:hAnsi="Verdana" w:cs="Arial"/>
                <w:b/>
                <w:sz w:val="22"/>
                <w:szCs w:val="22"/>
              </w:rPr>
            </w:pPr>
            <w:r w:rsidRPr="00205C60">
              <w:rPr>
                <w:rFonts w:ascii="Verdana" w:hAnsi="Verdana" w:cs="Arial"/>
                <w:b/>
                <w:sz w:val="22"/>
                <w:szCs w:val="22"/>
              </w:rPr>
              <w:t>1</w:t>
            </w:r>
            <w:r w:rsidR="004A3F91" w:rsidRPr="00205C60">
              <w:rPr>
                <w:rFonts w:ascii="Verdana" w:hAnsi="Verdana" w:cs="Arial"/>
                <w:b/>
                <w:sz w:val="22"/>
                <w:szCs w:val="22"/>
              </w:rPr>
              <w:t>41</w:t>
            </w:r>
            <w:r w:rsidR="00692F58" w:rsidRPr="00205C60">
              <w:rPr>
                <w:rFonts w:ascii="Verdana" w:hAnsi="Verdana" w:cs="Arial"/>
                <w:b/>
                <w:sz w:val="22"/>
                <w:szCs w:val="22"/>
              </w:rPr>
              <w:t>,</w:t>
            </w:r>
            <w:r w:rsidR="004A3F91" w:rsidRPr="00205C60">
              <w:rPr>
                <w:rFonts w:ascii="Verdana" w:hAnsi="Verdana" w:cs="Arial"/>
                <w:b/>
                <w:sz w:val="22"/>
                <w:szCs w:val="22"/>
              </w:rPr>
              <w:t>64</w:t>
            </w:r>
          </w:p>
        </w:tc>
      </w:tr>
    </w:tbl>
    <w:bookmarkEnd w:id="131"/>
    <w:p w14:paraId="3CA7EFD4" w14:textId="4900C041" w:rsidR="00523D3D" w:rsidRPr="00205C60" w:rsidRDefault="00CF707D" w:rsidP="00A645C4">
      <w:pPr>
        <w:jc w:val="both"/>
        <w:rPr>
          <w:rFonts w:ascii="Verdana" w:hAnsi="Verdana" w:cs="Arial"/>
          <w:sz w:val="22"/>
          <w:szCs w:val="22"/>
          <w:lang w:val="pt-BR"/>
        </w:rPr>
      </w:pPr>
      <w:r w:rsidRPr="00205C60">
        <w:rPr>
          <w:rFonts w:ascii="Verdana" w:hAnsi="Verdana" w:cs="Arial"/>
          <w:sz w:val="22"/>
          <w:szCs w:val="22"/>
          <w:lang w:val="pt-BR"/>
        </w:rPr>
        <w:t xml:space="preserve">1/ </w:t>
      </w:r>
      <w:r w:rsidR="00523D3D" w:rsidRPr="00205C60">
        <w:rPr>
          <w:rFonts w:ascii="Verdana" w:hAnsi="Verdana" w:cs="Arial"/>
          <w:sz w:val="22"/>
          <w:szCs w:val="22"/>
          <w:lang w:val="pt-BR"/>
        </w:rPr>
        <w:t xml:space="preserve">Mega Watts, medida de </w:t>
      </w:r>
      <w:proofErr w:type="spellStart"/>
      <w:proofErr w:type="gramStart"/>
      <w:r w:rsidR="00523D3D" w:rsidRPr="00205C60">
        <w:rPr>
          <w:rFonts w:ascii="Verdana" w:hAnsi="Verdana" w:cs="Arial"/>
          <w:sz w:val="22"/>
          <w:szCs w:val="22"/>
          <w:lang w:val="pt-BR"/>
        </w:rPr>
        <w:t>potencia</w:t>
      </w:r>
      <w:proofErr w:type="spellEnd"/>
      <w:proofErr w:type="gramEnd"/>
      <w:r w:rsidR="00523D3D" w:rsidRPr="00205C60">
        <w:rPr>
          <w:rFonts w:ascii="Verdana" w:hAnsi="Verdana" w:cs="Arial"/>
          <w:sz w:val="22"/>
          <w:szCs w:val="22"/>
          <w:lang w:val="pt-BR"/>
        </w:rPr>
        <w:t xml:space="preserve"> equivalente a 1.000.000 watts o vatios.</w:t>
      </w:r>
    </w:p>
    <w:p w14:paraId="3CA7EFD5" w14:textId="2791C980" w:rsidR="00514ED0" w:rsidRPr="00205C60" w:rsidRDefault="0069722B" w:rsidP="00514ED0">
      <w:pPr>
        <w:jc w:val="both"/>
        <w:rPr>
          <w:rFonts w:ascii="Verdana" w:hAnsi="Verdana" w:cs="Arial"/>
          <w:sz w:val="22"/>
          <w:szCs w:val="22"/>
        </w:rPr>
      </w:pPr>
      <w:r w:rsidRPr="00205C60">
        <w:rPr>
          <w:rFonts w:ascii="Verdana" w:hAnsi="Verdana" w:cs="Arial"/>
          <w:sz w:val="22"/>
          <w:szCs w:val="22"/>
          <w:lang w:val="pt-BR"/>
        </w:rPr>
        <w:tab/>
      </w:r>
      <w:r w:rsidR="007E4F3B" w:rsidRPr="00205C60">
        <w:rPr>
          <w:rFonts w:ascii="Verdana" w:hAnsi="Verdana" w:cs="Arial"/>
          <w:sz w:val="22"/>
          <w:szCs w:val="22"/>
          <w:lang w:val="pt-BR"/>
        </w:rPr>
        <w:t xml:space="preserve">      </w:t>
      </w:r>
      <w:r w:rsidR="009E56F8" w:rsidRPr="00205C60">
        <w:rPr>
          <w:rFonts w:ascii="Verdana" w:hAnsi="Verdana" w:cs="Arial"/>
          <w:sz w:val="22"/>
          <w:szCs w:val="22"/>
          <w:lang w:val="pt-BR"/>
        </w:rPr>
        <w:t xml:space="preserve"> </w:t>
      </w:r>
      <w:r w:rsidR="007E4F3B" w:rsidRPr="00205C60">
        <w:rPr>
          <w:rFonts w:ascii="Verdana" w:hAnsi="Verdana" w:cs="Arial"/>
          <w:sz w:val="22"/>
          <w:szCs w:val="22"/>
          <w:lang w:val="pt-BR"/>
        </w:rPr>
        <w:t xml:space="preserve"> </w:t>
      </w:r>
      <w:r w:rsidR="00514ED0" w:rsidRPr="00205C60">
        <w:rPr>
          <w:rFonts w:ascii="Verdana" w:hAnsi="Verdana" w:cs="Arial"/>
          <w:sz w:val="22"/>
          <w:szCs w:val="22"/>
        </w:rPr>
        <w:t>Fuente</w:t>
      </w:r>
      <w:r w:rsidR="00113505" w:rsidRPr="00205C60">
        <w:rPr>
          <w:rFonts w:ascii="Verdana" w:hAnsi="Verdana" w:cs="Arial"/>
          <w:sz w:val="22"/>
          <w:szCs w:val="22"/>
        </w:rPr>
        <w:t>: Sistema de Información Gerencial (SIGE).</w:t>
      </w:r>
    </w:p>
    <w:p w14:paraId="3CA7EFD6" w14:textId="77777777" w:rsidR="00514ED0" w:rsidRPr="00205C60" w:rsidRDefault="00514ED0" w:rsidP="00514ED0">
      <w:pPr>
        <w:jc w:val="both"/>
        <w:rPr>
          <w:rFonts w:ascii="Verdana" w:hAnsi="Verdana" w:cs="Arial"/>
          <w:sz w:val="22"/>
          <w:szCs w:val="22"/>
        </w:rPr>
      </w:pPr>
    </w:p>
    <w:p w14:paraId="3A470C9F" w14:textId="77777777" w:rsidR="00E40500" w:rsidRDefault="00E40500" w:rsidP="002F5298">
      <w:pPr>
        <w:jc w:val="both"/>
        <w:rPr>
          <w:rFonts w:ascii="Verdana" w:hAnsi="Verdana" w:cs="Arial"/>
          <w:sz w:val="22"/>
          <w:szCs w:val="22"/>
        </w:rPr>
      </w:pPr>
    </w:p>
    <w:p w14:paraId="3CA7EFD7" w14:textId="7DEE4E84" w:rsidR="00B473DE" w:rsidRPr="00205C60" w:rsidRDefault="002F5298" w:rsidP="002F5298">
      <w:pPr>
        <w:jc w:val="both"/>
        <w:rPr>
          <w:rFonts w:ascii="Verdana" w:hAnsi="Verdana" w:cs="Arial"/>
          <w:sz w:val="22"/>
          <w:szCs w:val="22"/>
        </w:rPr>
      </w:pPr>
      <w:r w:rsidRPr="00205C60">
        <w:rPr>
          <w:rFonts w:ascii="Verdana" w:hAnsi="Verdana" w:cs="Arial"/>
          <w:sz w:val="22"/>
          <w:szCs w:val="22"/>
        </w:rPr>
        <w:t>Además, cuenta con un sistema de distribución c</w:t>
      </w:r>
      <w:r w:rsidR="006363B6" w:rsidRPr="00205C60">
        <w:rPr>
          <w:rFonts w:ascii="Verdana" w:hAnsi="Verdana" w:cs="Arial"/>
          <w:sz w:val="22"/>
          <w:szCs w:val="22"/>
        </w:rPr>
        <w:t>onstituido por 2</w:t>
      </w:r>
      <w:r w:rsidR="00D8579C" w:rsidRPr="00205C60">
        <w:rPr>
          <w:rFonts w:ascii="Verdana" w:hAnsi="Verdana" w:cs="Arial"/>
          <w:sz w:val="22"/>
          <w:szCs w:val="22"/>
        </w:rPr>
        <w:t>5</w:t>
      </w:r>
      <w:r w:rsidR="006363B6" w:rsidRPr="00205C60">
        <w:rPr>
          <w:rFonts w:ascii="Verdana" w:hAnsi="Verdana" w:cs="Arial"/>
          <w:sz w:val="22"/>
          <w:szCs w:val="22"/>
        </w:rPr>
        <w:t xml:space="preserve"> subestaciones </w:t>
      </w:r>
      <w:r w:rsidR="00314005" w:rsidRPr="00205C60">
        <w:rPr>
          <w:rFonts w:ascii="Verdana" w:hAnsi="Verdana" w:cs="Arial"/>
          <w:sz w:val="22"/>
          <w:szCs w:val="22"/>
        </w:rPr>
        <w:t>c</w:t>
      </w:r>
      <w:r w:rsidR="00D8279D" w:rsidRPr="00205C60">
        <w:rPr>
          <w:rFonts w:ascii="Verdana" w:hAnsi="Verdana" w:cs="Arial"/>
          <w:sz w:val="22"/>
          <w:szCs w:val="22"/>
        </w:rPr>
        <w:t xml:space="preserve">on un porcentaje de carga promedio entre un </w:t>
      </w:r>
      <w:r w:rsidR="000F759D" w:rsidRPr="00205C60">
        <w:rPr>
          <w:rFonts w:ascii="Verdana" w:hAnsi="Verdana" w:cs="Arial"/>
          <w:sz w:val="22"/>
          <w:szCs w:val="22"/>
        </w:rPr>
        <w:t>24</w:t>
      </w:r>
      <w:r w:rsidR="00D8279D" w:rsidRPr="00205C60">
        <w:rPr>
          <w:rFonts w:ascii="Verdana" w:hAnsi="Verdana" w:cs="Arial"/>
          <w:sz w:val="22"/>
          <w:szCs w:val="22"/>
        </w:rPr>
        <w:t xml:space="preserve">% y un </w:t>
      </w:r>
      <w:r w:rsidR="000F759D" w:rsidRPr="00205C60">
        <w:rPr>
          <w:rFonts w:ascii="Verdana" w:hAnsi="Verdana" w:cs="Arial"/>
          <w:sz w:val="22"/>
          <w:szCs w:val="22"/>
        </w:rPr>
        <w:t>88</w:t>
      </w:r>
      <w:r w:rsidR="00D8279D" w:rsidRPr="00205C60">
        <w:rPr>
          <w:rFonts w:ascii="Verdana" w:hAnsi="Verdana" w:cs="Arial"/>
          <w:sz w:val="22"/>
          <w:szCs w:val="22"/>
        </w:rPr>
        <w:t>%</w:t>
      </w:r>
      <w:r w:rsidR="000712E7" w:rsidRPr="00205C60">
        <w:rPr>
          <w:rFonts w:ascii="Verdana" w:hAnsi="Verdana" w:cs="Arial"/>
          <w:sz w:val="22"/>
          <w:szCs w:val="22"/>
        </w:rPr>
        <w:t xml:space="preserve">.  </w:t>
      </w:r>
    </w:p>
    <w:p w14:paraId="3CA7EFD8" w14:textId="77777777" w:rsidR="00B6375A" w:rsidRPr="00205C60" w:rsidRDefault="00B6375A" w:rsidP="002F5298">
      <w:pPr>
        <w:jc w:val="both"/>
        <w:rPr>
          <w:rFonts w:ascii="Verdana" w:hAnsi="Verdana" w:cs="Arial"/>
          <w:sz w:val="22"/>
          <w:szCs w:val="22"/>
        </w:rPr>
      </w:pPr>
    </w:p>
    <w:p w14:paraId="3CA7EFD9" w14:textId="368DF639" w:rsidR="00CF707D" w:rsidRPr="00205C60" w:rsidRDefault="00CF707D" w:rsidP="00CF707D">
      <w:pPr>
        <w:jc w:val="both"/>
        <w:rPr>
          <w:rFonts w:ascii="Verdana" w:hAnsi="Verdana" w:cs="Arial"/>
          <w:sz w:val="22"/>
          <w:szCs w:val="22"/>
        </w:rPr>
      </w:pPr>
      <w:r w:rsidRPr="00205C60">
        <w:rPr>
          <w:rFonts w:ascii="Verdana" w:hAnsi="Verdana" w:cs="Arial"/>
          <w:sz w:val="22"/>
          <w:szCs w:val="22"/>
        </w:rPr>
        <w:t xml:space="preserve">A </w:t>
      </w:r>
      <w:r w:rsidR="001C06AB" w:rsidRPr="00205C60">
        <w:rPr>
          <w:rFonts w:ascii="Verdana" w:hAnsi="Verdana" w:cs="Arial"/>
          <w:sz w:val="22"/>
          <w:szCs w:val="22"/>
        </w:rPr>
        <w:t>continuación,</w:t>
      </w:r>
      <w:r w:rsidRPr="00205C60">
        <w:rPr>
          <w:rFonts w:ascii="Verdana" w:hAnsi="Verdana" w:cs="Arial"/>
          <w:sz w:val="22"/>
          <w:szCs w:val="22"/>
        </w:rPr>
        <w:t xml:space="preserve"> se presenta una lista de las subestaciones y sus principales características en cuanto a potencia y voltaje:</w:t>
      </w:r>
    </w:p>
    <w:p w14:paraId="3CA7EFDA" w14:textId="77777777" w:rsidR="00CF707D" w:rsidRPr="00205C60" w:rsidRDefault="00CF707D" w:rsidP="00CF707D">
      <w:pPr>
        <w:jc w:val="both"/>
        <w:rPr>
          <w:rFonts w:ascii="Verdana" w:hAnsi="Verdana" w:cs="Arial"/>
          <w:sz w:val="22"/>
          <w:szCs w:val="22"/>
        </w:rPr>
      </w:pPr>
    </w:p>
    <w:tbl>
      <w:tblPr>
        <w:tblW w:w="7131" w:type="dxa"/>
        <w:tblInd w:w="779" w:type="dxa"/>
        <w:tblCellMar>
          <w:left w:w="0" w:type="dxa"/>
          <w:right w:w="0" w:type="dxa"/>
        </w:tblCellMar>
        <w:tblLook w:val="04A0" w:firstRow="1" w:lastRow="0" w:firstColumn="1" w:lastColumn="0" w:noHBand="0" w:noVBand="1"/>
      </w:tblPr>
      <w:tblGrid>
        <w:gridCol w:w="2015"/>
        <w:gridCol w:w="1572"/>
        <w:gridCol w:w="1843"/>
        <w:gridCol w:w="1701"/>
      </w:tblGrid>
      <w:tr w:rsidR="00CF707D" w:rsidRPr="00205C60" w14:paraId="3CA7EFDC" w14:textId="77777777" w:rsidTr="00CF63A6">
        <w:trPr>
          <w:trHeight w:val="346"/>
        </w:trPr>
        <w:tc>
          <w:tcPr>
            <w:tcW w:w="7131" w:type="dxa"/>
            <w:gridSpan w:val="4"/>
            <w:tcBorders>
              <w:top w:val="single" w:sz="8" w:space="0" w:color="auto"/>
              <w:left w:val="single" w:sz="8" w:space="0" w:color="auto"/>
              <w:bottom w:val="double" w:sz="6" w:space="0" w:color="auto"/>
              <w:right w:val="single" w:sz="8" w:space="0" w:color="000000"/>
            </w:tcBorders>
            <w:noWrap/>
            <w:tcMar>
              <w:top w:w="0" w:type="dxa"/>
              <w:left w:w="70" w:type="dxa"/>
              <w:bottom w:w="0" w:type="dxa"/>
              <w:right w:w="70" w:type="dxa"/>
            </w:tcMar>
            <w:vAlign w:val="center"/>
            <w:hideMark/>
          </w:tcPr>
          <w:p w14:paraId="3CA7EFDB"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SUBESTACIONES</w:t>
            </w:r>
          </w:p>
        </w:tc>
      </w:tr>
      <w:tr w:rsidR="00CF707D" w:rsidRPr="00205C60" w14:paraId="3CA7EFE1" w14:textId="77777777" w:rsidTr="00CF63A6">
        <w:trPr>
          <w:trHeight w:val="383"/>
        </w:trPr>
        <w:tc>
          <w:tcPr>
            <w:tcW w:w="2015" w:type="dxa"/>
            <w:tcBorders>
              <w:top w:val="nil"/>
              <w:left w:val="single" w:sz="8" w:space="0" w:color="auto"/>
              <w:bottom w:val="single" w:sz="8" w:space="0" w:color="auto"/>
              <w:right w:val="nil"/>
            </w:tcBorders>
            <w:noWrap/>
            <w:tcMar>
              <w:top w:w="0" w:type="dxa"/>
              <w:left w:w="70" w:type="dxa"/>
              <w:bottom w:w="0" w:type="dxa"/>
              <w:right w:w="70" w:type="dxa"/>
            </w:tcMar>
            <w:vAlign w:val="center"/>
            <w:hideMark/>
          </w:tcPr>
          <w:p w14:paraId="3CA7EFDD"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SUBESTACION</w:t>
            </w:r>
          </w:p>
        </w:tc>
        <w:tc>
          <w:tcPr>
            <w:tcW w:w="1572" w:type="dxa"/>
            <w:tcBorders>
              <w:top w:val="nil"/>
              <w:left w:val="nil"/>
              <w:bottom w:val="single" w:sz="8" w:space="0" w:color="auto"/>
              <w:right w:val="nil"/>
            </w:tcBorders>
            <w:noWrap/>
            <w:tcMar>
              <w:top w:w="0" w:type="dxa"/>
              <w:left w:w="70" w:type="dxa"/>
              <w:bottom w:w="0" w:type="dxa"/>
              <w:right w:w="70" w:type="dxa"/>
            </w:tcMar>
            <w:vAlign w:val="center"/>
            <w:hideMark/>
          </w:tcPr>
          <w:p w14:paraId="3CA7EFDE"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TRAFO</w:t>
            </w:r>
          </w:p>
        </w:tc>
        <w:tc>
          <w:tcPr>
            <w:tcW w:w="1843" w:type="dxa"/>
            <w:tcBorders>
              <w:top w:val="nil"/>
              <w:left w:val="nil"/>
              <w:bottom w:val="single" w:sz="8" w:space="0" w:color="auto"/>
              <w:right w:val="nil"/>
            </w:tcBorders>
            <w:noWrap/>
            <w:tcMar>
              <w:top w:w="0" w:type="dxa"/>
              <w:left w:w="70" w:type="dxa"/>
              <w:bottom w:w="0" w:type="dxa"/>
              <w:right w:w="70" w:type="dxa"/>
            </w:tcMar>
            <w:vAlign w:val="center"/>
            <w:hideMark/>
          </w:tcPr>
          <w:p w14:paraId="3CA7EFDF"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POTENCIA (MVA)</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CA7EFE0"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VOLTAJE (KV)</w:t>
            </w:r>
          </w:p>
        </w:tc>
      </w:tr>
      <w:tr w:rsidR="00CF707D" w:rsidRPr="00205C60" w14:paraId="3CA7EFE6" w14:textId="77777777" w:rsidTr="00CF63A6">
        <w:trPr>
          <w:trHeight w:val="255"/>
        </w:trPr>
        <w:tc>
          <w:tcPr>
            <w:tcW w:w="2015" w:type="dxa"/>
            <w:tcBorders>
              <w:top w:val="nil"/>
              <w:left w:val="single" w:sz="8" w:space="0" w:color="auto"/>
              <w:bottom w:val="nil"/>
              <w:right w:val="nil"/>
            </w:tcBorders>
            <w:noWrap/>
            <w:tcMar>
              <w:top w:w="0" w:type="dxa"/>
              <w:left w:w="70" w:type="dxa"/>
              <w:bottom w:w="0" w:type="dxa"/>
              <w:right w:w="70" w:type="dxa"/>
            </w:tcMar>
            <w:vAlign w:val="center"/>
            <w:hideMark/>
          </w:tcPr>
          <w:p w14:paraId="3CA7EFE2"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ALAJUELITA</w:t>
            </w:r>
          </w:p>
        </w:tc>
        <w:tc>
          <w:tcPr>
            <w:tcW w:w="1572" w:type="dxa"/>
            <w:noWrap/>
            <w:tcMar>
              <w:top w:w="0" w:type="dxa"/>
              <w:left w:w="70" w:type="dxa"/>
              <w:bottom w:w="0" w:type="dxa"/>
              <w:right w:w="70" w:type="dxa"/>
            </w:tcMar>
            <w:vAlign w:val="center"/>
            <w:hideMark/>
          </w:tcPr>
          <w:p w14:paraId="3CA7EFE3"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TRAFO 1</w:t>
            </w:r>
          </w:p>
        </w:tc>
        <w:tc>
          <w:tcPr>
            <w:tcW w:w="1843" w:type="dxa"/>
            <w:noWrap/>
            <w:tcMar>
              <w:top w:w="0" w:type="dxa"/>
              <w:left w:w="70" w:type="dxa"/>
              <w:bottom w:w="0" w:type="dxa"/>
              <w:right w:w="70" w:type="dxa"/>
            </w:tcMar>
            <w:vAlign w:val="center"/>
            <w:hideMark/>
          </w:tcPr>
          <w:p w14:paraId="3CA7EFE4"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45/75</w:t>
            </w:r>
          </w:p>
        </w:tc>
        <w:tc>
          <w:tcPr>
            <w:tcW w:w="1701" w:type="dxa"/>
            <w:tcBorders>
              <w:top w:val="nil"/>
              <w:left w:val="nil"/>
              <w:bottom w:val="nil"/>
              <w:right w:val="single" w:sz="8" w:space="0" w:color="auto"/>
            </w:tcBorders>
            <w:noWrap/>
            <w:tcMar>
              <w:top w:w="0" w:type="dxa"/>
              <w:left w:w="70" w:type="dxa"/>
              <w:bottom w:w="0" w:type="dxa"/>
              <w:right w:w="70" w:type="dxa"/>
            </w:tcMar>
            <w:vAlign w:val="center"/>
            <w:hideMark/>
          </w:tcPr>
          <w:p w14:paraId="3CA7EFE5"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138/34,5</w:t>
            </w:r>
          </w:p>
        </w:tc>
      </w:tr>
      <w:tr w:rsidR="00CF707D" w:rsidRPr="00205C60" w14:paraId="3CA7EFEB" w14:textId="77777777" w:rsidTr="00CF63A6">
        <w:trPr>
          <w:trHeight w:val="255"/>
        </w:trPr>
        <w:tc>
          <w:tcPr>
            <w:tcW w:w="2015" w:type="dxa"/>
            <w:tcBorders>
              <w:top w:val="nil"/>
              <w:left w:val="single" w:sz="8" w:space="0" w:color="auto"/>
              <w:bottom w:val="nil"/>
              <w:right w:val="nil"/>
            </w:tcBorders>
            <w:noWrap/>
            <w:tcMar>
              <w:top w:w="0" w:type="dxa"/>
              <w:left w:w="70" w:type="dxa"/>
              <w:bottom w:w="0" w:type="dxa"/>
              <w:right w:w="70" w:type="dxa"/>
            </w:tcMar>
            <w:vAlign w:val="center"/>
            <w:hideMark/>
          </w:tcPr>
          <w:p w14:paraId="3CA7EFE7"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ALAJUELITA</w:t>
            </w:r>
          </w:p>
        </w:tc>
        <w:tc>
          <w:tcPr>
            <w:tcW w:w="1572" w:type="dxa"/>
            <w:noWrap/>
            <w:tcMar>
              <w:top w:w="0" w:type="dxa"/>
              <w:left w:w="70" w:type="dxa"/>
              <w:bottom w:w="0" w:type="dxa"/>
              <w:right w:w="70" w:type="dxa"/>
            </w:tcMar>
            <w:vAlign w:val="center"/>
            <w:hideMark/>
          </w:tcPr>
          <w:p w14:paraId="3CA7EFE8"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TRAFO 2</w:t>
            </w:r>
          </w:p>
        </w:tc>
        <w:tc>
          <w:tcPr>
            <w:tcW w:w="1843" w:type="dxa"/>
            <w:noWrap/>
            <w:tcMar>
              <w:top w:w="0" w:type="dxa"/>
              <w:left w:w="70" w:type="dxa"/>
              <w:bottom w:w="0" w:type="dxa"/>
              <w:right w:w="70" w:type="dxa"/>
            </w:tcMar>
            <w:vAlign w:val="center"/>
            <w:hideMark/>
          </w:tcPr>
          <w:p w14:paraId="3CA7EFE9"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45/75</w:t>
            </w:r>
          </w:p>
        </w:tc>
        <w:tc>
          <w:tcPr>
            <w:tcW w:w="1701" w:type="dxa"/>
            <w:tcBorders>
              <w:top w:val="nil"/>
              <w:left w:val="nil"/>
              <w:bottom w:val="nil"/>
              <w:right w:val="single" w:sz="8" w:space="0" w:color="auto"/>
            </w:tcBorders>
            <w:noWrap/>
            <w:tcMar>
              <w:top w:w="0" w:type="dxa"/>
              <w:left w:w="70" w:type="dxa"/>
              <w:bottom w:w="0" w:type="dxa"/>
              <w:right w:w="70" w:type="dxa"/>
            </w:tcMar>
            <w:vAlign w:val="center"/>
            <w:hideMark/>
          </w:tcPr>
          <w:p w14:paraId="3CA7EFEA"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138/34,5</w:t>
            </w:r>
          </w:p>
        </w:tc>
      </w:tr>
      <w:tr w:rsidR="00CF707D" w:rsidRPr="00205C60" w14:paraId="3CA7EFF0" w14:textId="77777777" w:rsidTr="00CF63A6">
        <w:trPr>
          <w:trHeight w:val="255"/>
        </w:trPr>
        <w:tc>
          <w:tcPr>
            <w:tcW w:w="2015" w:type="dxa"/>
            <w:tcBorders>
              <w:top w:val="nil"/>
              <w:left w:val="single" w:sz="8" w:space="0" w:color="auto"/>
              <w:bottom w:val="nil"/>
              <w:right w:val="nil"/>
            </w:tcBorders>
            <w:noWrap/>
            <w:tcMar>
              <w:top w:w="0" w:type="dxa"/>
              <w:left w:w="70" w:type="dxa"/>
              <w:bottom w:w="0" w:type="dxa"/>
              <w:right w:w="70" w:type="dxa"/>
            </w:tcMar>
            <w:vAlign w:val="center"/>
            <w:hideMark/>
          </w:tcPr>
          <w:p w14:paraId="3CA7EFEC"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BALSA INFERIOR</w:t>
            </w:r>
          </w:p>
        </w:tc>
        <w:tc>
          <w:tcPr>
            <w:tcW w:w="1572" w:type="dxa"/>
            <w:noWrap/>
            <w:tcMar>
              <w:top w:w="0" w:type="dxa"/>
              <w:left w:w="70" w:type="dxa"/>
              <w:bottom w:w="0" w:type="dxa"/>
              <w:right w:w="70" w:type="dxa"/>
            </w:tcMar>
            <w:vAlign w:val="center"/>
            <w:hideMark/>
          </w:tcPr>
          <w:p w14:paraId="3CA7EFED"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TRAFO 1</w:t>
            </w:r>
          </w:p>
        </w:tc>
        <w:tc>
          <w:tcPr>
            <w:tcW w:w="1843" w:type="dxa"/>
            <w:noWrap/>
            <w:tcMar>
              <w:top w:w="0" w:type="dxa"/>
              <w:left w:w="70" w:type="dxa"/>
              <w:bottom w:w="0" w:type="dxa"/>
              <w:right w:w="70" w:type="dxa"/>
            </w:tcMar>
            <w:vAlign w:val="center"/>
            <w:hideMark/>
          </w:tcPr>
          <w:p w14:paraId="3CA7EFEE"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30/45</w:t>
            </w:r>
          </w:p>
        </w:tc>
        <w:tc>
          <w:tcPr>
            <w:tcW w:w="1701" w:type="dxa"/>
            <w:tcBorders>
              <w:top w:val="nil"/>
              <w:left w:val="nil"/>
              <w:bottom w:val="nil"/>
              <w:right w:val="single" w:sz="8" w:space="0" w:color="auto"/>
            </w:tcBorders>
            <w:noWrap/>
            <w:tcMar>
              <w:top w:w="0" w:type="dxa"/>
              <w:left w:w="70" w:type="dxa"/>
              <w:bottom w:w="0" w:type="dxa"/>
              <w:right w:w="70" w:type="dxa"/>
            </w:tcMar>
            <w:vAlign w:val="center"/>
            <w:hideMark/>
          </w:tcPr>
          <w:p w14:paraId="3CA7EFEF"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230/34,5</w:t>
            </w:r>
          </w:p>
        </w:tc>
      </w:tr>
      <w:tr w:rsidR="00CF707D" w:rsidRPr="00205C60" w14:paraId="3CA7EFF5" w14:textId="77777777" w:rsidTr="00CF63A6">
        <w:trPr>
          <w:trHeight w:val="255"/>
        </w:trPr>
        <w:tc>
          <w:tcPr>
            <w:tcW w:w="2015" w:type="dxa"/>
            <w:tcBorders>
              <w:top w:val="nil"/>
              <w:left w:val="single" w:sz="8" w:space="0" w:color="auto"/>
              <w:bottom w:val="nil"/>
              <w:right w:val="nil"/>
            </w:tcBorders>
            <w:noWrap/>
            <w:tcMar>
              <w:top w:w="0" w:type="dxa"/>
              <w:left w:w="70" w:type="dxa"/>
              <w:bottom w:w="0" w:type="dxa"/>
              <w:right w:w="70" w:type="dxa"/>
            </w:tcMar>
            <w:vAlign w:val="center"/>
            <w:hideMark/>
          </w:tcPr>
          <w:p w14:paraId="3CA7EFF1"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BALSA INFERIOR</w:t>
            </w:r>
          </w:p>
        </w:tc>
        <w:tc>
          <w:tcPr>
            <w:tcW w:w="1572" w:type="dxa"/>
            <w:noWrap/>
            <w:tcMar>
              <w:top w:w="0" w:type="dxa"/>
              <w:left w:w="70" w:type="dxa"/>
              <w:bottom w:w="0" w:type="dxa"/>
              <w:right w:w="70" w:type="dxa"/>
            </w:tcMar>
            <w:vAlign w:val="center"/>
            <w:hideMark/>
          </w:tcPr>
          <w:p w14:paraId="3CA7EFF2"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TRAFO 2</w:t>
            </w:r>
          </w:p>
        </w:tc>
        <w:tc>
          <w:tcPr>
            <w:tcW w:w="1843" w:type="dxa"/>
            <w:noWrap/>
            <w:tcMar>
              <w:top w:w="0" w:type="dxa"/>
              <w:left w:w="70" w:type="dxa"/>
              <w:bottom w:w="0" w:type="dxa"/>
              <w:right w:w="70" w:type="dxa"/>
            </w:tcMar>
            <w:vAlign w:val="center"/>
            <w:hideMark/>
          </w:tcPr>
          <w:p w14:paraId="3CA7EFF3"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30/45</w:t>
            </w:r>
          </w:p>
        </w:tc>
        <w:tc>
          <w:tcPr>
            <w:tcW w:w="1701" w:type="dxa"/>
            <w:tcBorders>
              <w:top w:val="nil"/>
              <w:left w:val="nil"/>
              <w:bottom w:val="nil"/>
              <w:right w:val="single" w:sz="8" w:space="0" w:color="auto"/>
            </w:tcBorders>
            <w:noWrap/>
            <w:tcMar>
              <w:top w:w="0" w:type="dxa"/>
              <w:left w:w="70" w:type="dxa"/>
              <w:bottom w:w="0" w:type="dxa"/>
              <w:right w:w="70" w:type="dxa"/>
            </w:tcMar>
            <w:vAlign w:val="center"/>
            <w:hideMark/>
          </w:tcPr>
          <w:p w14:paraId="3CA7EFF4"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230/34,5</w:t>
            </w:r>
          </w:p>
        </w:tc>
      </w:tr>
      <w:tr w:rsidR="00CF707D" w:rsidRPr="00205C60" w14:paraId="3CA7EFFA" w14:textId="77777777" w:rsidTr="00CF63A6">
        <w:trPr>
          <w:trHeight w:val="255"/>
        </w:trPr>
        <w:tc>
          <w:tcPr>
            <w:tcW w:w="2015" w:type="dxa"/>
            <w:tcBorders>
              <w:top w:val="nil"/>
              <w:left w:val="single" w:sz="8" w:space="0" w:color="auto"/>
              <w:bottom w:val="nil"/>
              <w:right w:val="nil"/>
            </w:tcBorders>
            <w:noWrap/>
            <w:tcMar>
              <w:top w:w="0" w:type="dxa"/>
              <w:left w:w="70" w:type="dxa"/>
              <w:bottom w:w="0" w:type="dxa"/>
              <w:right w:w="70" w:type="dxa"/>
            </w:tcMar>
            <w:vAlign w:val="center"/>
            <w:hideMark/>
          </w:tcPr>
          <w:p w14:paraId="3CA7EFF6"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COLIMA</w:t>
            </w:r>
          </w:p>
        </w:tc>
        <w:tc>
          <w:tcPr>
            <w:tcW w:w="1572" w:type="dxa"/>
            <w:noWrap/>
            <w:tcMar>
              <w:top w:w="0" w:type="dxa"/>
              <w:left w:w="70" w:type="dxa"/>
              <w:bottom w:w="0" w:type="dxa"/>
              <w:right w:w="70" w:type="dxa"/>
            </w:tcMar>
            <w:vAlign w:val="center"/>
            <w:hideMark/>
          </w:tcPr>
          <w:p w14:paraId="3CA7EFF7"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BLOQUE 1</w:t>
            </w:r>
          </w:p>
        </w:tc>
        <w:tc>
          <w:tcPr>
            <w:tcW w:w="1843" w:type="dxa"/>
            <w:noWrap/>
            <w:tcMar>
              <w:top w:w="0" w:type="dxa"/>
              <w:left w:w="70" w:type="dxa"/>
              <w:bottom w:w="0" w:type="dxa"/>
              <w:right w:w="70" w:type="dxa"/>
            </w:tcMar>
            <w:vAlign w:val="center"/>
            <w:hideMark/>
          </w:tcPr>
          <w:p w14:paraId="3CA7EFF8"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30/45,30/45</w:t>
            </w:r>
          </w:p>
        </w:tc>
        <w:tc>
          <w:tcPr>
            <w:tcW w:w="1701" w:type="dxa"/>
            <w:tcBorders>
              <w:top w:val="nil"/>
              <w:left w:val="nil"/>
              <w:bottom w:val="nil"/>
              <w:right w:val="single" w:sz="8" w:space="0" w:color="auto"/>
            </w:tcBorders>
            <w:noWrap/>
            <w:tcMar>
              <w:top w:w="0" w:type="dxa"/>
              <w:left w:w="70" w:type="dxa"/>
              <w:bottom w:w="0" w:type="dxa"/>
              <w:right w:w="70" w:type="dxa"/>
            </w:tcMar>
            <w:vAlign w:val="center"/>
            <w:hideMark/>
          </w:tcPr>
          <w:p w14:paraId="3CA7EFF9"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138/34,5</w:t>
            </w:r>
          </w:p>
        </w:tc>
      </w:tr>
      <w:tr w:rsidR="00CF707D" w:rsidRPr="00205C60" w14:paraId="3CA7EFFF" w14:textId="77777777" w:rsidTr="00CF63A6">
        <w:trPr>
          <w:trHeight w:val="255"/>
        </w:trPr>
        <w:tc>
          <w:tcPr>
            <w:tcW w:w="2015" w:type="dxa"/>
            <w:tcBorders>
              <w:top w:val="nil"/>
              <w:left w:val="single" w:sz="8" w:space="0" w:color="auto"/>
              <w:bottom w:val="nil"/>
              <w:right w:val="nil"/>
            </w:tcBorders>
            <w:noWrap/>
            <w:tcMar>
              <w:top w:w="0" w:type="dxa"/>
              <w:left w:w="70" w:type="dxa"/>
              <w:bottom w:w="0" w:type="dxa"/>
              <w:right w:w="70" w:type="dxa"/>
            </w:tcMar>
            <w:vAlign w:val="center"/>
            <w:hideMark/>
          </w:tcPr>
          <w:p w14:paraId="3CA7EFFB"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COLIMA</w:t>
            </w:r>
          </w:p>
        </w:tc>
        <w:tc>
          <w:tcPr>
            <w:tcW w:w="1572" w:type="dxa"/>
            <w:noWrap/>
            <w:tcMar>
              <w:top w:w="0" w:type="dxa"/>
              <w:left w:w="70" w:type="dxa"/>
              <w:bottom w:w="0" w:type="dxa"/>
              <w:right w:w="70" w:type="dxa"/>
            </w:tcMar>
            <w:vAlign w:val="center"/>
            <w:hideMark/>
          </w:tcPr>
          <w:p w14:paraId="3CA7EFFC"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BLOQUE 2</w:t>
            </w:r>
          </w:p>
        </w:tc>
        <w:tc>
          <w:tcPr>
            <w:tcW w:w="1843" w:type="dxa"/>
            <w:noWrap/>
            <w:tcMar>
              <w:top w:w="0" w:type="dxa"/>
              <w:left w:w="70" w:type="dxa"/>
              <w:bottom w:w="0" w:type="dxa"/>
              <w:right w:w="70" w:type="dxa"/>
            </w:tcMar>
            <w:vAlign w:val="center"/>
            <w:hideMark/>
          </w:tcPr>
          <w:p w14:paraId="3CA7EFFD"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20/30,20/30</w:t>
            </w:r>
          </w:p>
        </w:tc>
        <w:tc>
          <w:tcPr>
            <w:tcW w:w="1701" w:type="dxa"/>
            <w:tcBorders>
              <w:top w:val="nil"/>
              <w:left w:val="nil"/>
              <w:bottom w:val="nil"/>
              <w:right w:val="single" w:sz="8" w:space="0" w:color="auto"/>
            </w:tcBorders>
            <w:noWrap/>
            <w:tcMar>
              <w:top w:w="0" w:type="dxa"/>
              <w:left w:w="70" w:type="dxa"/>
              <w:bottom w:w="0" w:type="dxa"/>
              <w:right w:w="70" w:type="dxa"/>
            </w:tcMar>
            <w:vAlign w:val="center"/>
            <w:hideMark/>
          </w:tcPr>
          <w:p w14:paraId="3CA7EFFE"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138/34,5</w:t>
            </w:r>
          </w:p>
        </w:tc>
      </w:tr>
      <w:tr w:rsidR="005C7694" w:rsidRPr="00205C60" w14:paraId="0F943A0E" w14:textId="77777777" w:rsidTr="00CF63A6">
        <w:trPr>
          <w:trHeight w:val="255"/>
        </w:trPr>
        <w:tc>
          <w:tcPr>
            <w:tcW w:w="2015" w:type="dxa"/>
            <w:tcBorders>
              <w:top w:val="nil"/>
              <w:left w:val="single" w:sz="8" w:space="0" w:color="auto"/>
              <w:bottom w:val="nil"/>
              <w:right w:val="nil"/>
            </w:tcBorders>
            <w:noWrap/>
            <w:tcMar>
              <w:top w:w="0" w:type="dxa"/>
              <w:left w:w="70" w:type="dxa"/>
              <w:bottom w:w="0" w:type="dxa"/>
              <w:right w:w="70" w:type="dxa"/>
            </w:tcMar>
            <w:vAlign w:val="center"/>
          </w:tcPr>
          <w:p w14:paraId="54C098DF" w14:textId="1284E2D6" w:rsidR="005C7694" w:rsidRPr="00205C60" w:rsidRDefault="005C7694" w:rsidP="00CE0622">
            <w:pPr>
              <w:jc w:val="center"/>
              <w:rPr>
                <w:rFonts w:ascii="Verdana" w:hAnsi="Verdana" w:cs="Arial"/>
                <w:sz w:val="22"/>
                <w:szCs w:val="22"/>
              </w:rPr>
            </w:pPr>
            <w:r w:rsidRPr="00205C60">
              <w:rPr>
                <w:rFonts w:ascii="Verdana" w:hAnsi="Verdana" w:cs="Arial"/>
                <w:sz w:val="22"/>
                <w:szCs w:val="22"/>
              </w:rPr>
              <w:t>CORONADO</w:t>
            </w:r>
          </w:p>
        </w:tc>
        <w:tc>
          <w:tcPr>
            <w:tcW w:w="1572" w:type="dxa"/>
            <w:noWrap/>
            <w:tcMar>
              <w:top w:w="0" w:type="dxa"/>
              <w:left w:w="70" w:type="dxa"/>
              <w:bottom w:w="0" w:type="dxa"/>
              <w:right w:w="70" w:type="dxa"/>
            </w:tcMar>
            <w:vAlign w:val="center"/>
          </w:tcPr>
          <w:p w14:paraId="7BB57C3F" w14:textId="474D792B" w:rsidR="005C7694" w:rsidRPr="00205C60" w:rsidRDefault="005C7694" w:rsidP="00CE0622">
            <w:pPr>
              <w:jc w:val="center"/>
              <w:rPr>
                <w:rFonts w:ascii="Verdana" w:hAnsi="Verdana" w:cs="Arial"/>
                <w:sz w:val="22"/>
                <w:szCs w:val="22"/>
              </w:rPr>
            </w:pPr>
            <w:r w:rsidRPr="00205C60">
              <w:rPr>
                <w:rFonts w:ascii="Verdana" w:hAnsi="Verdana" w:cs="Arial"/>
                <w:sz w:val="22"/>
                <w:szCs w:val="22"/>
              </w:rPr>
              <w:t>TRAFO 1</w:t>
            </w:r>
          </w:p>
        </w:tc>
        <w:tc>
          <w:tcPr>
            <w:tcW w:w="1843" w:type="dxa"/>
            <w:noWrap/>
            <w:tcMar>
              <w:top w:w="0" w:type="dxa"/>
              <w:left w:w="70" w:type="dxa"/>
              <w:bottom w:w="0" w:type="dxa"/>
              <w:right w:w="70" w:type="dxa"/>
            </w:tcMar>
            <w:vAlign w:val="center"/>
          </w:tcPr>
          <w:p w14:paraId="7C6C89E6" w14:textId="46FA1E3A" w:rsidR="005C7694" w:rsidRPr="00205C60" w:rsidRDefault="005B6E40" w:rsidP="00CE0622">
            <w:pPr>
              <w:jc w:val="center"/>
              <w:rPr>
                <w:rFonts w:ascii="Verdana" w:hAnsi="Verdana" w:cs="Arial"/>
                <w:sz w:val="22"/>
                <w:szCs w:val="22"/>
              </w:rPr>
            </w:pPr>
            <w:r w:rsidRPr="00205C60">
              <w:rPr>
                <w:rFonts w:ascii="Verdana" w:hAnsi="Verdana" w:cs="Arial"/>
                <w:sz w:val="22"/>
                <w:szCs w:val="22"/>
              </w:rPr>
              <w:t>30/45</w:t>
            </w:r>
          </w:p>
        </w:tc>
        <w:tc>
          <w:tcPr>
            <w:tcW w:w="1701" w:type="dxa"/>
            <w:tcBorders>
              <w:top w:val="nil"/>
              <w:left w:val="nil"/>
              <w:bottom w:val="nil"/>
              <w:right w:val="single" w:sz="8" w:space="0" w:color="auto"/>
            </w:tcBorders>
            <w:noWrap/>
            <w:tcMar>
              <w:top w:w="0" w:type="dxa"/>
              <w:left w:w="70" w:type="dxa"/>
              <w:bottom w:w="0" w:type="dxa"/>
              <w:right w:w="70" w:type="dxa"/>
            </w:tcMar>
            <w:vAlign w:val="center"/>
          </w:tcPr>
          <w:p w14:paraId="6AF3370F" w14:textId="163173C4" w:rsidR="005C7694" w:rsidRPr="00205C60" w:rsidRDefault="005B6E40" w:rsidP="00CE0622">
            <w:pPr>
              <w:jc w:val="center"/>
              <w:rPr>
                <w:rFonts w:ascii="Verdana" w:hAnsi="Verdana" w:cs="Arial"/>
                <w:sz w:val="22"/>
                <w:szCs w:val="22"/>
              </w:rPr>
            </w:pPr>
            <w:r w:rsidRPr="00205C60">
              <w:rPr>
                <w:rFonts w:ascii="Verdana" w:hAnsi="Verdana" w:cs="Arial"/>
                <w:sz w:val="22"/>
                <w:szCs w:val="22"/>
              </w:rPr>
              <w:t>230/34.5</w:t>
            </w:r>
          </w:p>
        </w:tc>
      </w:tr>
      <w:tr w:rsidR="00CF707D" w:rsidRPr="00205C60" w14:paraId="3CA7F004" w14:textId="77777777" w:rsidTr="00CF63A6">
        <w:trPr>
          <w:trHeight w:val="255"/>
        </w:trPr>
        <w:tc>
          <w:tcPr>
            <w:tcW w:w="2015" w:type="dxa"/>
            <w:tcBorders>
              <w:top w:val="nil"/>
              <w:left w:val="single" w:sz="8" w:space="0" w:color="auto"/>
              <w:bottom w:val="nil"/>
              <w:right w:val="nil"/>
            </w:tcBorders>
            <w:noWrap/>
            <w:tcMar>
              <w:top w:w="0" w:type="dxa"/>
              <w:left w:w="70" w:type="dxa"/>
              <w:bottom w:w="0" w:type="dxa"/>
              <w:right w:w="70" w:type="dxa"/>
            </w:tcMar>
            <w:vAlign w:val="center"/>
            <w:hideMark/>
          </w:tcPr>
          <w:p w14:paraId="3CA7F000"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CORONADO</w:t>
            </w:r>
          </w:p>
        </w:tc>
        <w:tc>
          <w:tcPr>
            <w:tcW w:w="1572" w:type="dxa"/>
            <w:noWrap/>
            <w:tcMar>
              <w:top w:w="0" w:type="dxa"/>
              <w:left w:w="70" w:type="dxa"/>
              <w:bottom w:w="0" w:type="dxa"/>
              <w:right w:w="70" w:type="dxa"/>
            </w:tcMar>
            <w:vAlign w:val="center"/>
            <w:hideMark/>
          </w:tcPr>
          <w:p w14:paraId="3CA7F001"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TRAFO 2</w:t>
            </w:r>
          </w:p>
        </w:tc>
        <w:tc>
          <w:tcPr>
            <w:tcW w:w="1843" w:type="dxa"/>
            <w:noWrap/>
            <w:tcMar>
              <w:top w:w="0" w:type="dxa"/>
              <w:left w:w="70" w:type="dxa"/>
              <w:bottom w:w="0" w:type="dxa"/>
              <w:right w:w="70" w:type="dxa"/>
            </w:tcMar>
            <w:vAlign w:val="center"/>
            <w:hideMark/>
          </w:tcPr>
          <w:p w14:paraId="3CA7F002"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30/45</w:t>
            </w:r>
          </w:p>
        </w:tc>
        <w:tc>
          <w:tcPr>
            <w:tcW w:w="1701" w:type="dxa"/>
            <w:tcBorders>
              <w:top w:val="nil"/>
              <w:left w:val="nil"/>
              <w:bottom w:val="nil"/>
              <w:right w:val="single" w:sz="8" w:space="0" w:color="auto"/>
            </w:tcBorders>
            <w:noWrap/>
            <w:tcMar>
              <w:top w:w="0" w:type="dxa"/>
              <w:left w:w="70" w:type="dxa"/>
              <w:bottom w:w="0" w:type="dxa"/>
              <w:right w:w="70" w:type="dxa"/>
            </w:tcMar>
            <w:vAlign w:val="center"/>
            <w:hideMark/>
          </w:tcPr>
          <w:p w14:paraId="3CA7F003"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230/34,5</w:t>
            </w:r>
          </w:p>
        </w:tc>
      </w:tr>
      <w:tr w:rsidR="00CF707D" w:rsidRPr="00205C60" w14:paraId="3CA7F009" w14:textId="77777777" w:rsidTr="00CF63A6">
        <w:trPr>
          <w:trHeight w:val="255"/>
        </w:trPr>
        <w:tc>
          <w:tcPr>
            <w:tcW w:w="2015" w:type="dxa"/>
            <w:tcBorders>
              <w:top w:val="nil"/>
              <w:left w:val="single" w:sz="8" w:space="0" w:color="auto"/>
              <w:bottom w:val="nil"/>
              <w:right w:val="nil"/>
            </w:tcBorders>
            <w:noWrap/>
            <w:tcMar>
              <w:top w:w="0" w:type="dxa"/>
              <w:left w:w="70" w:type="dxa"/>
              <w:bottom w:w="0" w:type="dxa"/>
              <w:right w:w="70" w:type="dxa"/>
            </w:tcMar>
            <w:vAlign w:val="center"/>
            <w:hideMark/>
          </w:tcPr>
          <w:p w14:paraId="3CA7F005"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CAJA A</w:t>
            </w:r>
          </w:p>
        </w:tc>
        <w:tc>
          <w:tcPr>
            <w:tcW w:w="1572" w:type="dxa"/>
            <w:noWrap/>
            <w:tcMar>
              <w:top w:w="0" w:type="dxa"/>
              <w:left w:w="70" w:type="dxa"/>
              <w:bottom w:w="0" w:type="dxa"/>
              <w:right w:w="70" w:type="dxa"/>
            </w:tcMar>
            <w:vAlign w:val="center"/>
            <w:hideMark/>
          </w:tcPr>
          <w:p w14:paraId="3CA7F006"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TRAFO 1</w:t>
            </w:r>
          </w:p>
        </w:tc>
        <w:tc>
          <w:tcPr>
            <w:tcW w:w="1843" w:type="dxa"/>
            <w:noWrap/>
            <w:tcMar>
              <w:top w:w="0" w:type="dxa"/>
              <w:left w:w="70" w:type="dxa"/>
              <w:bottom w:w="0" w:type="dxa"/>
              <w:right w:w="70" w:type="dxa"/>
            </w:tcMar>
            <w:vAlign w:val="center"/>
            <w:hideMark/>
          </w:tcPr>
          <w:p w14:paraId="3CA7F007"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30/45</w:t>
            </w:r>
          </w:p>
        </w:tc>
        <w:tc>
          <w:tcPr>
            <w:tcW w:w="1701" w:type="dxa"/>
            <w:tcBorders>
              <w:top w:val="nil"/>
              <w:left w:val="nil"/>
              <w:bottom w:val="nil"/>
              <w:right w:val="single" w:sz="8" w:space="0" w:color="auto"/>
            </w:tcBorders>
            <w:noWrap/>
            <w:tcMar>
              <w:top w:w="0" w:type="dxa"/>
              <w:left w:w="70" w:type="dxa"/>
              <w:bottom w:w="0" w:type="dxa"/>
              <w:right w:w="70" w:type="dxa"/>
            </w:tcMar>
            <w:vAlign w:val="center"/>
            <w:hideMark/>
          </w:tcPr>
          <w:p w14:paraId="3CA7F008"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230/34,5</w:t>
            </w:r>
          </w:p>
        </w:tc>
      </w:tr>
      <w:tr w:rsidR="00CF707D" w:rsidRPr="00205C60" w14:paraId="3CA7F00E" w14:textId="77777777" w:rsidTr="00CF63A6">
        <w:trPr>
          <w:trHeight w:val="255"/>
        </w:trPr>
        <w:tc>
          <w:tcPr>
            <w:tcW w:w="2015" w:type="dxa"/>
            <w:tcBorders>
              <w:top w:val="nil"/>
              <w:left w:val="single" w:sz="8" w:space="0" w:color="auto"/>
              <w:bottom w:val="nil"/>
              <w:right w:val="nil"/>
            </w:tcBorders>
            <w:noWrap/>
            <w:tcMar>
              <w:top w:w="0" w:type="dxa"/>
              <w:left w:w="70" w:type="dxa"/>
              <w:bottom w:w="0" w:type="dxa"/>
              <w:right w:w="70" w:type="dxa"/>
            </w:tcMar>
            <w:vAlign w:val="center"/>
            <w:hideMark/>
          </w:tcPr>
          <w:p w14:paraId="3CA7F00A" w14:textId="36DA36A3"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CAJA B</w:t>
            </w:r>
            <w:r w:rsidR="00595E48" w:rsidRPr="00205C60">
              <w:rPr>
                <w:rFonts w:ascii="Verdana" w:hAnsi="Verdana" w:cs="Arial"/>
                <w:sz w:val="22"/>
                <w:szCs w:val="22"/>
              </w:rPr>
              <w:t xml:space="preserve"> </w:t>
            </w:r>
          </w:p>
        </w:tc>
        <w:tc>
          <w:tcPr>
            <w:tcW w:w="1572" w:type="dxa"/>
            <w:noWrap/>
            <w:tcMar>
              <w:top w:w="0" w:type="dxa"/>
              <w:left w:w="70" w:type="dxa"/>
              <w:bottom w:w="0" w:type="dxa"/>
              <w:right w:w="70" w:type="dxa"/>
            </w:tcMar>
            <w:vAlign w:val="center"/>
            <w:hideMark/>
          </w:tcPr>
          <w:p w14:paraId="3CA7F00B" w14:textId="66542F45"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TRAFO 3</w:t>
            </w:r>
            <w:r w:rsidR="00595E48" w:rsidRPr="00205C60">
              <w:rPr>
                <w:rFonts w:ascii="Verdana" w:hAnsi="Verdana" w:cs="Arial"/>
                <w:sz w:val="22"/>
                <w:szCs w:val="22"/>
              </w:rPr>
              <w:t xml:space="preserve"> (</w:t>
            </w:r>
            <w:r w:rsidR="00D137DC" w:rsidRPr="00205C60">
              <w:rPr>
                <w:rFonts w:ascii="Verdana" w:hAnsi="Verdana" w:cs="Arial"/>
                <w:sz w:val="22"/>
                <w:szCs w:val="22"/>
              </w:rPr>
              <w:t>a</w:t>
            </w:r>
            <w:r w:rsidR="00595E48" w:rsidRPr="00205C60">
              <w:rPr>
                <w:rFonts w:ascii="Verdana" w:hAnsi="Verdana" w:cs="Arial"/>
                <w:sz w:val="22"/>
                <w:szCs w:val="22"/>
              </w:rPr>
              <w:t>)</w:t>
            </w:r>
          </w:p>
        </w:tc>
        <w:tc>
          <w:tcPr>
            <w:tcW w:w="1843" w:type="dxa"/>
            <w:noWrap/>
            <w:tcMar>
              <w:top w:w="0" w:type="dxa"/>
              <w:left w:w="70" w:type="dxa"/>
              <w:bottom w:w="0" w:type="dxa"/>
              <w:right w:w="70" w:type="dxa"/>
            </w:tcMar>
            <w:vAlign w:val="center"/>
            <w:hideMark/>
          </w:tcPr>
          <w:p w14:paraId="3CA7F00C"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30/45</w:t>
            </w:r>
          </w:p>
        </w:tc>
        <w:tc>
          <w:tcPr>
            <w:tcW w:w="1701" w:type="dxa"/>
            <w:tcBorders>
              <w:top w:val="nil"/>
              <w:left w:val="nil"/>
              <w:bottom w:val="nil"/>
              <w:right w:val="single" w:sz="8" w:space="0" w:color="auto"/>
            </w:tcBorders>
            <w:noWrap/>
            <w:tcMar>
              <w:top w:w="0" w:type="dxa"/>
              <w:left w:w="70" w:type="dxa"/>
              <w:bottom w:w="0" w:type="dxa"/>
              <w:right w:w="70" w:type="dxa"/>
            </w:tcMar>
            <w:vAlign w:val="center"/>
            <w:hideMark/>
          </w:tcPr>
          <w:p w14:paraId="3CA7F00D"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230/34,5</w:t>
            </w:r>
          </w:p>
        </w:tc>
      </w:tr>
      <w:tr w:rsidR="00CF707D" w:rsidRPr="00205C60" w14:paraId="3CA7F013" w14:textId="77777777" w:rsidTr="00CF63A6">
        <w:trPr>
          <w:trHeight w:val="255"/>
        </w:trPr>
        <w:tc>
          <w:tcPr>
            <w:tcW w:w="2015" w:type="dxa"/>
            <w:tcBorders>
              <w:top w:val="nil"/>
              <w:left w:val="single" w:sz="8" w:space="0" w:color="auto"/>
              <w:bottom w:val="nil"/>
              <w:right w:val="nil"/>
            </w:tcBorders>
            <w:noWrap/>
            <w:tcMar>
              <w:top w:w="0" w:type="dxa"/>
              <w:left w:w="70" w:type="dxa"/>
              <w:bottom w:w="0" w:type="dxa"/>
              <w:right w:w="70" w:type="dxa"/>
            </w:tcMar>
            <w:vAlign w:val="center"/>
            <w:hideMark/>
          </w:tcPr>
          <w:p w14:paraId="3CA7F00F"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CAJA B</w:t>
            </w:r>
          </w:p>
        </w:tc>
        <w:tc>
          <w:tcPr>
            <w:tcW w:w="1572" w:type="dxa"/>
            <w:noWrap/>
            <w:tcMar>
              <w:top w:w="0" w:type="dxa"/>
              <w:left w:w="70" w:type="dxa"/>
              <w:bottom w:w="0" w:type="dxa"/>
              <w:right w:w="70" w:type="dxa"/>
            </w:tcMar>
            <w:vAlign w:val="center"/>
            <w:hideMark/>
          </w:tcPr>
          <w:p w14:paraId="3CA7F010"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TRAFO 4</w:t>
            </w:r>
          </w:p>
        </w:tc>
        <w:tc>
          <w:tcPr>
            <w:tcW w:w="1843" w:type="dxa"/>
            <w:noWrap/>
            <w:tcMar>
              <w:top w:w="0" w:type="dxa"/>
              <w:left w:w="70" w:type="dxa"/>
              <w:bottom w:w="0" w:type="dxa"/>
              <w:right w:w="70" w:type="dxa"/>
            </w:tcMar>
            <w:vAlign w:val="center"/>
            <w:hideMark/>
          </w:tcPr>
          <w:p w14:paraId="3CA7F011"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30/45</w:t>
            </w:r>
          </w:p>
        </w:tc>
        <w:tc>
          <w:tcPr>
            <w:tcW w:w="1701" w:type="dxa"/>
            <w:tcBorders>
              <w:top w:val="nil"/>
              <w:left w:val="nil"/>
              <w:bottom w:val="nil"/>
              <w:right w:val="single" w:sz="8" w:space="0" w:color="auto"/>
            </w:tcBorders>
            <w:noWrap/>
            <w:tcMar>
              <w:top w:w="0" w:type="dxa"/>
              <w:left w:w="70" w:type="dxa"/>
              <w:bottom w:w="0" w:type="dxa"/>
              <w:right w:w="70" w:type="dxa"/>
            </w:tcMar>
            <w:vAlign w:val="center"/>
            <w:hideMark/>
          </w:tcPr>
          <w:p w14:paraId="3CA7F012"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230/34,5</w:t>
            </w:r>
          </w:p>
        </w:tc>
      </w:tr>
      <w:tr w:rsidR="00CF707D" w:rsidRPr="00205C60" w14:paraId="3CA7F018" w14:textId="77777777" w:rsidTr="00CF63A6">
        <w:trPr>
          <w:trHeight w:val="255"/>
        </w:trPr>
        <w:tc>
          <w:tcPr>
            <w:tcW w:w="2015" w:type="dxa"/>
            <w:tcBorders>
              <w:top w:val="nil"/>
              <w:left w:val="single" w:sz="8" w:space="0" w:color="auto"/>
              <w:bottom w:val="nil"/>
              <w:right w:val="nil"/>
            </w:tcBorders>
            <w:noWrap/>
            <w:tcMar>
              <w:top w:w="0" w:type="dxa"/>
              <w:left w:w="70" w:type="dxa"/>
              <w:bottom w:w="0" w:type="dxa"/>
              <w:right w:w="70" w:type="dxa"/>
            </w:tcMar>
            <w:vAlign w:val="center"/>
            <w:hideMark/>
          </w:tcPr>
          <w:p w14:paraId="3CA7F014"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DESAMPARADOS</w:t>
            </w:r>
          </w:p>
        </w:tc>
        <w:tc>
          <w:tcPr>
            <w:tcW w:w="1572" w:type="dxa"/>
            <w:noWrap/>
            <w:tcMar>
              <w:top w:w="0" w:type="dxa"/>
              <w:left w:w="70" w:type="dxa"/>
              <w:bottom w:w="0" w:type="dxa"/>
              <w:right w:w="70" w:type="dxa"/>
            </w:tcMar>
            <w:vAlign w:val="center"/>
            <w:hideMark/>
          </w:tcPr>
          <w:p w14:paraId="3CA7F015"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TRAFO 1</w:t>
            </w:r>
          </w:p>
        </w:tc>
        <w:tc>
          <w:tcPr>
            <w:tcW w:w="1843" w:type="dxa"/>
            <w:noWrap/>
            <w:tcMar>
              <w:top w:w="0" w:type="dxa"/>
              <w:left w:w="70" w:type="dxa"/>
              <w:bottom w:w="0" w:type="dxa"/>
              <w:right w:w="70" w:type="dxa"/>
            </w:tcMar>
            <w:vAlign w:val="center"/>
            <w:hideMark/>
          </w:tcPr>
          <w:p w14:paraId="3CA7F016" w14:textId="135213FD" w:rsidR="00CF707D" w:rsidRPr="00205C60" w:rsidRDefault="00E6000B" w:rsidP="00106B5A">
            <w:pPr>
              <w:jc w:val="center"/>
              <w:rPr>
                <w:rFonts w:ascii="Verdana" w:eastAsiaTheme="minorHAnsi" w:hAnsi="Verdana" w:cs="Arial"/>
                <w:sz w:val="22"/>
                <w:szCs w:val="22"/>
              </w:rPr>
            </w:pPr>
            <w:r w:rsidRPr="00205C60">
              <w:rPr>
                <w:rFonts w:ascii="Verdana" w:hAnsi="Verdana" w:cs="Arial"/>
                <w:sz w:val="22"/>
                <w:szCs w:val="22"/>
              </w:rPr>
              <w:t>45</w:t>
            </w:r>
            <w:r w:rsidR="00CF707D" w:rsidRPr="00205C60">
              <w:rPr>
                <w:rFonts w:ascii="Verdana" w:hAnsi="Verdana" w:cs="Arial"/>
                <w:sz w:val="22"/>
                <w:szCs w:val="22"/>
              </w:rPr>
              <w:t>/</w:t>
            </w:r>
            <w:r w:rsidRPr="00205C60">
              <w:rPr>
                <w:rFonts w:ascii="Verdana" w:hAnsi="Verdana" w:cs="Arial"/>
                <w:sz w:val="22"/>
                <w:szCs w:val="22"/>
              </w:rPr>
              <w:t>7</w:t>
            </w:r>
            <w:r w:rsidR="00CF707D" w:rsidRPr="00205C60">
              <w:rPr>
                <w:rFonts w:ascii="Verdana" w:hAnsi="Verdana" w:cs="Arial"/>
                <w:sz w:val="22"/>
                <w:szCs w:val="22"/>
              </w:rPr>
              <w:t>5</w:t>
            </w:r>
          </w:p>
        </w:tc>
        <w:tc>
          <w:tcPr>
            <w:tcW w:w="1701" w:type="dxa"/>
            <w:tcBorders>
              <w:top w:val="nil"/>
              <w:left w:val="nil"/>
              <w:bottom w:val="nil"/>
              <w:right w:val="single" w:sz="8" w:space="0" w:color="auto"/>
            </w:tcBorders>
            <w:noWrap/>
            <w:tcMar>
              <w:top w:w="0" w:type="dxa"/>
              <w:left w:w="70" w:type="dxa"/>
              <w:bottom w:w="0" w:type="dxa"/>
              <w:right w:w="70" w:type="dxa"/>
            </w:tcMar>
            <w:vAlign w:val="center"/>
            <w:hideMark/>
          </w:tcPr>
          <w:p w14:paraId="3CA7F017"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138/34,5</w:t>
            </w:r>
          </w:p>
        </w:tc>
      </w:tr>
      <w:tr w:rsidR="00CF707D" w:rsidRPr="00205C60" w14:paraId="3CA7F01D" w14:textId="77777777" w:rsidTr="00CF63A6">
        <w:trPr>
          <w:trHeight w:val="255"/>
        </w:trPr>
        <w:tc>
          <w:tcPr>
            <w:tcW w:w="2015" w:type="dxa"/>
            <w:tcBorders>
              <w:top w:val="nil"/>
              <w:left w:val="single" w:sz="8" w:space="0" w:color="auto"/>
              <w:bottom w:val="nil"/>
              <w:right w:val="nil"/>
            </w:tcBorders>
            <w:noWrap/>
            <w:tcMar>
              <w:top w:w="0" w:type="dxa"/>
              <w:left w:w="70" w:type="dxa"/>
              <w:bottom w:w="0" w:type="dxa"/>
              <w:right w:w="70" w:type="dxa"/>
            </w:tcMar>
            <w:vAlign w:val="center"/>
            <w:hideMark/>
          </w:tcPr>
          <w:p w14:paraId="3CA7F019"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DESAMPARADOS</w:t>
            </w:r>
          </w:p>
        </w:tc>
        <w:tc>
          <w:tcPr>
            <w:tcW w:w="1572" w:type="dxa"/>
            <w:noWrap/>
            <w:tcMar>
              <w:top w:w="0" w:type="dxa"/>
              <w:left w:w="70" w:type="dxa"/>
              <w:bottom w:w="0" w:type="dxa"/>
              <w:right w:w="70" w:type="dxa"/>
            </w:tcMar>
            <w:vAlign w:val="center"/>
            <w:hideMark/>
          </w:tcPr>
          <w:p w14:paraId="3CA7F01A"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TRAFO 2</w:t>
            </w:r>
          </w:p>
        </w:tc>
        <w:tc>
          <w:tcPr>
            <w:tcW w:w="1843" w:type="dxa"/>
            <w:noWrap/>
            <w:tcMar>
              <w:top w:w="0" w:type="dxa"/>
              <w:left w:w="70" w:type="dxa"/>
              <w:bottom w:w="0" w:type="dxa"/>
              <w:right w:w="70" w:type="dxa"/>
            </w:tcMar>
            <w:vAlign w:val="center"/>
            <w:hideMark/>
          </w:tcPr>
          <w:p w14:paraId="3CA7F01B" w14:textId="27EF5B35" w:rsidR="00CF707D" w:rsidRPr="00205C60" w:rsidRDefault="00E6000B" w:rsidP="00106B5A">
            <w:pPr>
              <w:jc w:val="center"/>
              <w:rPr>
                <w:rFonts w:ascii="Verdana" w:eastAsiaTheme="minorHAnsi" w:hAnsi="Verdana" w:cs="Arial"/>
                <w:sz w:val="22"/>
                <w:szCs w:val="22"/>
              </w:rPr>
            </w:pPr>
            <w:r w:rsidRPr="00205C60">
              <w:rPr>
                <w:rFonts w:ascii="Verdana" w:hAnsi="Verdana" w:cs="Arial"/>
                <w:sz w:val="22"/>
                <w:szCs w:val="22"/>
              </w:rPr>
              <w:t>45</w:t>
            </w:r>
            <w:r w:rsidR="00CF707D" w:rsidRPr="00205C60">
              <w:rPr>
                <w:rFonts w:ascii="Verdana" w:hAnsi="Verdana" w:cs="Arial"/>
                <w:sz w:val="22"/>
                <w:szCs w:val="22"/>
              </w:rPr>
              <w:t>/</w:t>
            </w:r>
            <w:r w:rsidRPr="00205C60">
              <w:rPr>
                <w:rFonts w:ascii="Verdana" w:hAnsi="Verdana" w:cs="Arial"/>
                <w:sz w:val="22"/>
                <w:szCs w:val="22"/>
              </w:rPr>
              <w:t>7</w:t>
            </w:r>
            <w:r w:rsidR="00106B5A" w:rsidRPr="00205C60">
              <w:rPr>
                <w:rFonts w:ascii="Verdana" w:hAnsi="Verdana" w:cs="Arial"/>
                <w:sz w:val="22"/>
                <w:szCs w:val="22"/>
              </w:rPr>
              <w:t>5</w:t>
            </w:r>
          </w:p>
        </w:tc>
        <w:tc>
          <w:tcPr>
            <w:tcW w:w="1701" w:type="dxa"/>
            <w:tcBorders>
              <w:top w:val="nil"/>
              <w:left w:val="nil"/>
              <w:bottom w:val="nil"/>
              <w:right w:val="single" w:sz="8" w:space="0" w:color="auto"/>
            </w:tcBorders>
            <w:noWrap/>
            <w:tcMar>
              <w:top w:w="0" w:type="dxa"/>
              <w:left w:w="70" w:type="dxa"/>
              <w:bottom w:w="0" w:type="dxa"/>
              <w:right w:w="70" w:type="dxa"/>
            </w:tcMar>
            <w:vAlign w:val="center"/>
            <w:hideMark/>
          </w:tcPr>
          <w:p w14:paraId="3CA7F01C"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138/34,5</w:t>
            </w:r>
          </w:p>
        </w:tc>
      </w:tr>
      <w:tr w:rsidR="00D8579C" w:rsidRPr="00205C60" w14:paraId="3CA7F022" w14:textId="77777777" w:rsidTr="00CF63A6">
        <w:trPr>
          <w:trHeight w:val="255"/>
        </w:trPr>
        <w:tc>
          <w:tcPr>
            <w:tcW w:w="2015" w:type="dxa"/>
            <w:tcBorders>
              <w:top w:val="nil"/>
              <w:left w:val="single" w:sz="8" w:space="0" w:color="auto"/>
              <w:bottom w:val="nil"/>
              <w:right w:val="nil"/>
            </w:tcBorders>
            <w:noWrap/>
            <w:tcMar>
              <w:top w:w="0" w:type="dxa"/>
              <w:left w:w="70" w:type="dxa"/>
              <w:bottom w:w="0" w:type="dxa"/>
              <w:right w:w="70" w:type="dxa"/>
            </w:tcMar>
            <w:vAlign w:val="center"/>
          </w:tcPr>
          <w:p w14:paraId="3CA7F01E" w14:textId="77777777" w:rsidR="00D8579C" w:rsidRPr="00205C60" w:rsidRDefault="00D8579C" w:rsidP="00CE0622">
            <w:pPr>
              <w:jc w:val="center"/>
              <w:rPr>
                <w:rFonts w:ascii="Verdana" w:hAnsi="Verdana" w:cs="Arial"/>
                <w:sz w:val="22"/>
                <w:szCs w:val="22"/>
              </w:rPr>
            </w:pPr>
            <w:r w:rsidRPr="00205C60">
              <w:rPr>
                <w:rFonts w:ascii="Verdana" w:hAnsi="Verdana" w:cs="Arial"/>
                <w:sz w:val="22"/>
                <w:szCs w:val="22"/>
              </w:rPr>
              <w:t>HIGUITO</w:t>
            </w:r>
          </w:p>
        </w:tc>
        <w:tc>
          <w:tcPr>
            <w:tcW w:w="1572" w:type="dxa"/>
            <w:noWrap/>
            <w:tcMar>
              <w:top w:w="0" w:type="dxa"/>
              <w:left w:w="70" w:type="dxa"/>
              <w:bottom w:w="0" w:type="dxa"/>
              <w:right w:w="70" w:type="dxa"/>
            </w:tcMar>
            <w:vAlign w:val="center"/>
          </w:tcPr>
          <w:p w14:paraId="3CA7F01F" w14:textId="77777777" w:rsidR="00D8579C" w:rsidRPr="00205C60" w:rsidRDefault="00D8579C" w:rsidP="00CE0622">
            <w:pPr>
              <w:jc w:val="center"/>
              <w:rPr>
                <w:rFonts w:ascii="Verdana" w:hAnsi="Verdana" w:cs="Arial"/>
                <w:sz w:val="22"/>
                <w:szCs w:val="22"/>
              </w:rPr>
            </w:pPr>
            <w:r w:rsidRPr="00205C60">
              <w:rPr>
                <w:rFonts w:ascii="Verdana" w:hAnsi="Verdana" w:cs="Arial"/>
                <w:sz w:val="22"/>
                <w:szCs w:val="22"/>
              </w:rPr>
              <w:t>TRAFO 1</w:t>
            </w:r>
          </w:p>
        </w:tc>
        <w:tc>
          <w:tcPr>
            <w:tcW w:w="1843" w:type="dxa"/>
            <w:noWrap/>
            <w:tcMar>
              <w:top w:w="0" w:type="dxa"/>
              <w:left w:w="70" w:type="dxa"/>
              <w:bottom w:w="0" w:type="dxa"/>
              <w:right w:w="70" w:type="dxa"/>
            </w:tcMar>
            <w:vAlign w:val="center"/>
          </w:tcPr>
          <w:p w14:paraId="3CA7F020" w14:textId="77777777" w:rsidR="00D8579C" w:rsidRPr="00205C60" w:rsidRDefault="00D8579C" w:rsidP="00106B5A">
            <w:pPr>
              <w:jc w:val="center"/>
              <w:rPr>
                <w:rFonts w:ascii="Verdana" w:hAnsi="Verdana" w:cs="Arial"/>
                <w:sz w:val="22"/>
                <w:szCs w:val="22"/>
              </w:rPr>
            </w:pPr>
            <w:r w:rsidRPr="00205C60">
              <w:rPr>
                <w:rFonts w:ascii="Verdana" w:hAnsi="Verdana" w:cs="Arial"/>
                <w:sz w:val="22"/>
                <w:szCs w:val="22"/>
              </w:rPr>
              <w:t>30/45</w:t>
            </w:r>
          </w:p>
        </w:tc>
        <w:tc>
          <w:tcPr>
            <w:tcW w:w="1701" w:type="dxa"/>
            <w:tcBorders>
              <w:top w:val="nil"/>
              <w:left w:val="nil"/>
              <w:bottom w:val="nil"/>
              <w:right w:val="single" w:sz="8" w:space="0" w:color="auto"/>
            </w:tcBorders>
            <w:noWrap/>
            <w:tcMar>
              <w:top w:w="0" w:type="dxa"/>
              <w:left w:w="70" w:type="dxa"/>
              <w:bottom w:w="0" w:type="dxa"/>
              <w:right w:w="70" w:type="dxa"/>
            </w:tcMar>
            <w:vAlign w:val="center"/>
          </w:tcPr>
          <w:p w14:paraId="3CA7F021" w14:textId="77777777" w:rsidR="00D8579C" w:rsidRPr="00205C60" w:rsidRDefault="00D8579C" w:rsidP="00CE0622">
            <w:pPr>
              <w:jc w:val="center"/>
              <w:rPr>
                <w:rFonts w:ascii="Verdana" w:hAnsi="Verdana" w:cs="Arial"/>
                <w:sz w:val="22"/>
                <w:szCs w:val="22"/>
              </w:rPr>
            </w:pPr>
            <w:r w:rsidRPr="00205C60">
              <w:rPr>
                <w:rFonts w:ascii="Verdana" w:hAnsi="Verdana" w:cs="Arial"/>
                <w:sz w:val="22"/>
                <w:szCs w:val="22"/>
              </w:rPr>
              <w:t>230/34,5</w:t>
            </w:r>
          </w:p>
        </w:tc>
      </w:tr>
      <w:tr w:rsidR="00CF707D" w:rsidRPr="00205C60" w14:paraId="3CA7F027" w14:textId="77777777" w:rsidTr="00CF63A6">
        <w:trPr>
          <w:trHeight w:val="255"/>
        </w:trPr>
        <w:tc>
          <w:tcPr>
            <w:tcW w:w="2015" w:type="dxa"/>
            <w:tcBorders>
              <w:top w:val="nil"/>
              <w:left w:val="single" w:sz="8" w:space="0" w:color="auto"/>
              <w:bottom w:val="nil"/>
              <w:right w:val="nil"/>
            </w:tcBorders>
            <w:noWrap/>
            <w:tcMar>
              <w:top w:w="0" w:type="dxa"/>
              <w:left w:w="70" w:type="dxa"/>
              <w:bottom w:w="0" w:type="dxa"/>
              <w:right w:w="70" w:type="dxa"/>
            </w:tcMar>
            <w:vAlign w:val="center"/>
            <w:hideMark/>
          </w:tcPr>
          <w:p w14:paraId="3CA7F023"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SAN MIGUEL</w:t>
            </w:r>
          </w:p>
        </w:tc>
        <w:tc>
          <w:tcPr>
            <w:tcW w:w="1572" w:type="dxa"/>
            <w:noWrap/>
            <w:tcMar>
              <w:top w:w="0" w:type="dxa"/>
              <w:left w:w="70" w:type="dxa"/>
              <w:bottom w:w="0" w:type="dxa"/>
              <w:right w:w="70" w:type="dxa"/>
            </w:tcMar>
            <w:vAlign w:val="center"/>
            <w:hideMark/>
          </w:tcPr>
          <w:p w14:paraId="3CA7F024"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TRAFO 1</w:t>
            </w:r>
          </w:p>
        </w:tc>
        <w:tc>
          <w:tcPr>
            <w:tcW w:w="1843" w:type="dxa"/>
            <w:noWrap/>
            <w:tcMar>
              <w:top w:w="0" w:type="dxa"/>
              <w:left w:w="70" w:type="dxa"/>
              <w:bottom w:w="0" w:type="dxa"/>
              <w:right w:w="70" w:type="dxa"/>
            </w:tcMar>
            <w:vAlign w:val="center"/>
            <w:hideMark/>
          </w:tcPr>
          <w:p w14:paraId="3CA7F025"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30/45</w:t>
            </w:r>
          </w:p>
        </w:tc>
        <w:tc>
          <w:tcPr>
            <w:tcW w:w="1701" w:type="dxa"/>
            <w:tcBorders>
              <w:top w:val="nil"/>
              <w:left w:val="nil"/>
              <w:bottom w:val="nil"/>
              <w:right w:val="single" w:sz="8" w:space="0" w:color="auto"/>
            </w:tcBorders>
            <w:noWrap/>
            <w:tcMar>
              <w:top w:w="0" w:type="dxa"/>
              <w:left w:w="70" w:type="dxa"/>
              <w:bottom w:w="0" w:type="dxa"/>
              <w:right w:w="70" w:type="dxa"/>
            </w:tcMar>
            <w:vAlign w:val="center"/>
            <w:hideMark/>
          </w:tcPr>
          <w:p w14:paraId="3CA7F026"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230/34,5</w:t>
            </w:r>
          </w:p>
        </w:tc>
      </w:tr>
      <w:tr w:rsidR="00CF707D" w:rsidRPr="00205C60" w14:paraId="3CA7F02C" w14:textId="77777777" w:rsidTr="00CF63A6">
        <w:trPr>
          <w:trHeight w:val="255"/>
        </w:trPr>
        <w:tc>
          <w:tcPr>
            <w:tcW w:w="2015" w:type="dxa"/>
            <w:tcBorders>
              <w:top w:val="nil"/>
              <w:left w:val="single" w:sz="8" w:space="0" w:color="auto"/>
              <w:bottom w:val="nil"/>
              <w:right w:val="nil"/>
            </w:tcBorders>
            <w:noWrap/>
            <w:tcMar>
              <w:top w:w="0" w:type="dxa"/>
              <w:left w:w="70" w:type="dxa"/>
              <w:bottom w:w="0" w:type="dxa"/>
              <w:right w:w="70" w:type="dxa"/>
            </w:tcMar>
            <w:vAlign w:val="center"/>
            <w:hideMark/>
          </w:tcPr>
          <w:p w14:paraId="3CA7F028"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SAN MIGUEL</w:t>
            </w:r>
          </w:p>
        </w:tc>
        <w:tc>
          <w:tcPr>
            <w:tcW w:w="1572" w:type="dxa"/>
            <w:noWrap/>
            <w:tcMar>
              <w:top w:w="0" w:type="dxa"/>
              <w:left w:w="70" w:type="dxa"/>
              <w:bottom w:w="0" w:type="dxa"/>
              <w:right w:w="70" w:type="dxa"/>
            </w:tcMar>
            <w:vAlign w:val="center"/>
            <w:hideMark/>
          </w:tcPr>
          <w:p w14:paraId="3CA7F029"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TRAFO 2</w:t>
            </w:r>
          </w:p>
        </w:tc>
        <w:tc>
          <w:tcPr>
            <w:tcW w:w="1843" w:type="dxa"/>
            <w:noWrap/>
            <w:tcMar>
              <w:top w:w="0" w:type="dxa"/>
              <w:left w:w="70" w:type="dxa"/>
              <w:bottom w:w="0" w:type="dxa"/>
              <w:right w:w="70" w:type="dxa"/>
            </w:tcMar>
            <w:vAlign w:val="center"/>
            <w:hideMark/>
          </w:tcPr>
          <w:p w14:paraId="3CA7F02A"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30/45</w:t>
            </w:r>
          </w:p>
        </w:tc>
        <w:tc>
          <w:tcPr>
            <w:tcW w:w="1701" w:type="dxa"/>
            <w:tcBorders>
              <w:top w:val="nil"/>
              <w:left w:val="nil"/>
              <w:bottom w:val="nil"/>
              <w:right w:val="single" w:sz="8" w:space="0" w:color="auto"/>
            </w:tcBorders>
            <w:noWrap/>
            <w:tcMar>
              <w:top w:w="0" w:type="dxa"/>
              <w:left w:w="70" w:type="dxa"/>
              <w:bottom w:w="0" w:type="dxa"/>
              <w:right w:w="70" w:type="dxa"/>
            </w:tcMar>
            <w:vAlign w:val="center"/>
            <w:hideMark/>
          </w:tcPr>
          <w:p w14:paraId="3CA7F02B"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230/34.5</w:t>
            </w:r>
          </w:p>
        </w:tc>
      </w:tr>
      <w:tr w:rsidR="00CF707D" w:rsidRPr="00205C60" w14:paraId="3CA7F031" w14:textId="77777777" w:rsidTr="00CF63A6">
        <w:trPr>
          <w:trHeight w:val="255"/>
        </w:trPr>
        <w:tc>
          <w:tcPr>
            <w:tcW w:w="2015" w:type="dxa"/>
            <w:tcBorders>
              <w:top w:val="nil"/>
              <w:left w:val="single" w:sz="8" w:space="0" w:color="auto"/>
              <w:bottom w:val="nil"/>
              <w:right w:val="nil"/>
            </w:tcBorders>
            <w:noWrap/>
            <w:tcMar>
              <w:top w:w="0" w:type="dxa"/>
              <w:left w:w="70" w:type="dxa"/>
              <w:bottom w:w="0" w:type="dxa"/>
              <w:right w:w="70" w:type="dxa"/>
            </w:tcMar>
            <w:vAlign w:val="center"/>
            <w:hideMark/>
          </w:tcPr>
          <w:p w14:paraId="3CA7F02D"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ESTE</w:t>
            </w:r>
          </w:p>
        </w:tc>
        <w:tc>
          <w:tcPr>
            <w:tcW w:w="1572" w:type="dxa"/>
            <w:noWrap/>
            <w:tcMar>
              <w:top w:w="0" w:type="dxa"/>
              <w:left w:w="70" w:type="dxa"/>
              <w:bottom w:w="0" w:type="dxa"/>
              <w:right w:w="70" w:type="dxa"/>
            </w:tcMar>
            <w:vAlign w:val="center"/>
            <w:hideMark/>
          </w:tcPr>
          <w:p w14:paraId="3CA7F02E"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TRAFO 1</w:t>
            </w:r>
          </w:p>
        </w:tc>
        <w:tc>
          <w:tcPr>
            <w:tcW w:w="1843" w:type="dxa"/>
            <w:noWrap/>
            <w:tcMar>
              <w:top w:w="0" w:type="dxa"/>
              <w:left w:w="70" w:type="dxa"/>
              <w:bottom w:w="0" w:type="dxa"/>
              <w:right w:w="70" w:type="dxa"/>
            </w:tcMar>
            <w:vAlign w:val="center"/>
            <w:hideMark/>
          </w:tcPr>
          <w:p w14:paraId="3CA7F02F" w14:textId="18405291" w:rsidR="00CF707D" w:rsidRPr="00205C60" w:rsidRDefault="00E6000B" w:rsidP="00CE0622">
            <w:pPr>
              <w:jc w:val="center"/>
              <w:rPr>
                <w:rFonts w:ascii="Verdana" w:eastAsiaTheme="minorHAnsi" w:hAnsi="Verdana" w:cs="Arial"/>
                <w:sz w:val="22"/>
                <w:szCs w:val="22"/>
              </w:rPr>
            </w:pPr>
            <w:r w:rsidRPr="00205C60">
              <w:rPr>
                <w:rFonts w:ascii="Verdana" w:hAnsi="Verdana" w:cs="Arial"/>
                <w:sz w:val="22"/>
                <w:szCs w:val="22"/>
              </w:rPr>
              <w:t>30</w:t>
            </w:r>
            <w:r w:rsidR="00CF707D" w:rsidRPr="00205C60">
              <w:rPr>
                <w:rFonts w:ascii="Verdana" w:hAnsi="Verdana" w:cs="Arial"/>
                <w:sz w:val="22"/>
                <w:szCs w:val="22"/>
              </w:rPr>
              <w:t>/</w:t>
            </w:r>
            <w:r w:rsidRPr="00205C60">
              <w:rPr>
                <w:rFonts w:ascii="Verdana" w:hAnsi="Verdana" w:cs="Arial"/>
                <w:sz w:val="22"/>
                <w:szCs w:val="22"/>
              </w:rPr>
              <w:t>45</w:t>
            </w:r>
          </w:p>
        </w:tc>
        <w:tc>
          <w:tcPr>
            <w:tcW w:w="1701" w:type="dxa"/>
            <w:tcBorders>
              <w:top w:val="nil"/>
              <w:left w:val="nil"/>
              <w:bottom w:val="nil"/>
              <w:right w:val="single" w:sz="8" w:space="0" w:color="auto"/>
            </w:tcBorders>
            <w:noWrap/>
            <w:tcMar>
              <w:top w:w="0" w:type="dxa"/>
              <w:left w:w="70" w:type="dxa"/>
              <w:bottom w:w="0" w:type="dxa"/>
              <w:right w:w="70" w:type="dxa"/>
            </w:tcMar>
            <w:vAlign w:val="center"/>
            <w:hideMark/>
          </w:tcPr>
          <w:p w14:paraId="3CA7F030" w14:textId="6DA6085A" w:rsidR="00CF707D" w:rsidRPr="00205C60" w:rsidRDefault="00755CF9" w:rsidP="00CE0622">
            <w:pPr>
              <w:jc w:val="center"/>
              <w:rPr>
                <w:rFonts w:ascii="Verdana" w:eastAsiaTheme="minorHAnsi" w:hAnsi="Verdana" w:cs="Arial"/>
                <w:sz w:val="22"/>
                <w:szCs w:val="22"/>
              </w:rPr>
            </w:pPr>
            <w:r w:rsidRPr="00205C60">
              <w:rPr>
                <w:rFonts w:ascii="Verdana" w:hAnsi="Verdana" w:cs="Arial"/>
                <w:sz w:val="22"/>
                <w:szCs w:val="22"/>
              </w:rPr>
              <w:t>230</w:t>
            </w:r>
            <w:r w:rsidR="00CF707D" w:rsidRPr="00205C60">
              <w:rPr>
                <w:rFonts w:ascii="Verdana" w:hAnsi="Verdana" w:cs="Arial"/>
                <w:sz w:val="22"/>
                <w:szCs w:val="22"/>
              </w:rPr>
              <w:t>/34,5</w:t>
            </w:r>
          </w:p>
        </w:tc>
      </w:tr>
      <w:tr w:rsidR="00CF707D" w:rsidRPr="00205C60" w14:paraId="3CA7F036" w14:textId="77777777" w:rsidTr="00CF63A6">
        <w:trPr>
          <w:trHeight w:val="255"/>
        </w:trPr>
        <w:tc>
          <w:tcPr>
            <w:tcW w:w="2015" w:type="dxa"/>
            <w:tcBorders>
              <w:top w:val="nil"/>
              <w:left w:val="single" w:sz="8" w:space="0" w:color="auto"/>
              <w:bottom w:val="nil"/>
              <w:right w:val="nil"/>
            </w:tcBorders>
            <w:noWrap/>
            <w:tcMar>
              <w:top w:w="0" w:type="dxa"/>
              <w:left w:w="70" w:type="dxa"/>
              <w:bottom w:w="0" w:type="dxa"/>
              <w:right w:w="70" w:type="dxa"/>
            </w:tcMar>
            <w:vAlign w:val="center"/>
            <w:hideMark/>
          </w:tcPr>
          <w:p w14:paraId="3CA7F032"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ESTE</w:t>
            </w:r>
          </w:p>
        </w:tc>
        <w:tc>
          <w:tcPr>
            <w:tcW w:w="1572" w:type="dxa"/>
            <w:noWrap/>
            <w:tcMar>
              <w:top w:w="0" w:type="dxa"/>
              <w:left w:w="70" w:type="dxa"/>
              <w:bottom w:w="0" w:type="dxa"/>
              <w:right w:w="70" w:type="dxa"/>
            </w:tcMar>
            <w:vAlign w:val="center"/>
            <w:hideMark/>
          </w:tcPr>
          <w:p w14:paraId="3CA7F033"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TRAFO 2</w:t>
            </w:r>
          </w:p>
        </w:tc>
        <w:tc>
          <w:tcPr>
            <w:tcW w:w="1843" w:type="dxa"/>
            <w:noWrap/>
            <w:tcMar>
              <w:top w:w="0" w:type="dxa"/>
              <w:left w:w="70" w:type="dxa"/>
              <w:bottom w:w="0" w:type="dxa"/>
              <w:right w:w="70" w:type="dxa"/>
            </w:tcMar>
            <w:vAlign w:val="center"/>
            <w:hideMark/>
          </w:tcPr>
          <w:p w14:paraId="3CA7F034" w14:textId="3DEE0292" w:rsidR="00CF707D" w:rsidRPr="00205C60" w:rsidRDefault="00E6000B" w:rsidP="00CE0622">
            <w:pPr>
              <w:jc w:val="center"/>
              <w:rPr>
                <w:rFonts w:ascii="Verdana" w:eastAsiaTheme="minorHAnsi" w:hAnsi="Verdana" w:cs="Arial"/>
                <w:sz w:val="22"/>
                <w:szCs w:val="22"/>
              </w:rPr>
            </w:pPr>
            <w:r w:rsidRPr="00205C60">
              <w:rPr>
                <w:rFonts w:ascii="Verdana" w:hAnsi="Verdana" w:cs="Arial"/>
                <w:sz w:val="22"/>
                <w:szCs w:val="22"/>
              </w:rPr>
              <w:t>30</w:t>
            </w:r>
            <w:r w:rsidR="00CF707D" w:rsidRPr="00205C60">
              <w:rPr>
                <w:rFonts w:ascii="Verdana" w:hAnsi="Verdana" w:cs="Arial"/>
                <w:sz w:val="22"/>
                <w:szCs w:val="22"/>
              </w:rPr>
              <w:t>/</w:t>
            </w:r>
            <w:r w:rsidRPr="00205C60">
              <w:rPr>
                <w:rFonts w:ascii="Verdana" w:hAnsi="Verdana" w:cs="Arial"/>
                <w:sz w:val="22"/>
                <w:szCs w:val="22"/>
              </w:rPr>
              <w:t>45</w:t>
            </w:r>
          </w:p>
        </w:tc>
        <w:tc>
          <w:tcPr>
            <w:tcW w:w="1701" w:type="dxa"/>
            <w:tcBorders>
              <w:top w:val="nil"/>
              <w:left w:val="nil"/>
              <w:bottom w:val="nil"/>
              <w:right w:val="single" w:sz="8" w:space="0" w:color="auto"/>
            </w:tcBorders>
            <w:noWrap/>
            <w:tcMar>
              <w:top w:w="0" w:type="dxa"/>
              <w:left w:w="70" w:type="dxa"/>
              <w:bottom w:w="0" w:type="dxa"/>
              <w:right w:w="70" w:type="dxa"/>
            </w:tcMar>
            <w:vAlign w:val="center"/>
            <w:hideMark/>
          </w:tcPr>
          <w:p w14:paraId="3CA7F035" w14:textId="2BA785F0" w:rsidR="00CF707D" w:rsidRPr="00205C60" w:rsidRDefault="00755CF9" w:rsidP="00CE0622">
            <w:pPr>
              <w:jc w:val="center"/>
              <w:rPr>
                <w:rFonts w:ascii="Verdana" w:eastAsiaTheme="minorHAnsi" w:hAnsi="Verdana" w:cs="Arial"/>
                <w:sz w:val="22"/>
                <w:szCs w:val="22"/>
              </w:rPr>
            </w:pPr>
            <w:r w:rsidRPr="00205C60">
              <w:rPr>
                <w:rFonts w:ascii="Verdana" w:hAnsi="Verdana" w:cs="Arial"/>
                <w:sz w:val="22"/>
                <w:szCs w:val="22"/>
              </w:rPr>
              <w:t>230</w:t>
            </w:r>
            <w:r w:rsidR="00CF707D" w:rsidRPr="00205C60">
              <w:rPr>
                <w:rFonts w:ascii="Verdana" w:hAnsi="Verdana" w:cs="Arial"/>
                <w:sz w:val="22"/>
                <w:szCs w:val="22"/>
              </w:rPr>
              <w:t>/34,5</w:t>
            </w:r>
          </w:p>
        </w:tc>
      </w:tr>
      <w:tr w:rsidR="00CF707D" w:rsidRPr="00205C60" w14:paraId="3CA7F03B" w14:textId="77777777" w:rsidTr="00CF63A6">
        <w:trPr>
          <w:trHeight w:val="255"/>
        </w:trPr>
        <w:tc>
          <w:tcPr>
            <w:tcW w:w="2015" w:type="dxa"/>
            <w:tcBorders>
              <w:top w:val="nil"/>
              <w:left w:val="single" w:sz="8" w:space="0" w:color="auto"/>
              <w:bottom w:val="nil"/>
              <w:right w:val="nil"/>
            </w:tcBorders>
            <w:noWrap/>
            <w:tcMar>
              <w:top w:w="0" w:type="dxa"/>
              <w:left w:w="70" w:type="dxa"/>
              <w:bottom w:w="0" w:type="dxa"/>
              <w:right w:w="70" w:type="dxa"/>
            </w:tcMar>
            <w:vAlign w:val="center"/>
            <w:hideMark/>
          </w:tcPr>
          <w:p w14:paraId="3CA7F037"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SABANILLA</w:t>
            </w:r>
          </w:p>
        </w:tc>
        <w:tc>
          <w:tcPr>
            <w:tcW w:w="1572" w:type="dxa"/>
            <w:noWrap/>
            <w:tcMar>
              <w:top w:w="0" w:type="dxa"/>
              <w:left w:w="70" w:type="dxa"/>
              <w:bottom w:w="0" w:type="dxa"/>
              <w:right w:w="70" w:type="dxa"/>
            </w:tcMar>
            <w:vAlign w:val="center"/>
            <w:hideMark/>
          </w:tcPr>
          <w:p w14:paraId="3CA7F038"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TRAFO 1</w:t>
            </w:r>
          </w:p>
        </w:tc>
        <w:tc>
          <w:tcPr>
            <w:tcW w:w="1843" w:type="dxa"/>
            <w:noWrap/>
            <w:tcMar>
              <w:top w:w="0" w:type="dxa"/>
              <w:left w:w="70" w:type="dxa"/>
              <w:bottom w:w="0" w:type="dxa"/>
              <w:right w:w="70" w:type="dxa"/>
            </w:tcMar>
            <w:vAlign w:val="center"/>
            <w:hideMark/>
          </w:tcPr>
          <w:p w14:paraId="3CA7F039"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20/30</w:t>
            </w:r>
          </w:p>
        </w:tc>
        <w:tc>
          <w:tcPr>
            <w:tcW w:w="1701" w:type="dxa"/>
            <w:tcBorders>
              <w:top w:val="nil"/>
              <w:left w:val="nil"/>
              <w:bottom w:val="nil"/>
              <w:right w:val="single" w:sz="8" w:space="0" w:color="auto"/>
            </w:tcBorders>
            <w:noWrap/>
            <w:tcMar>
              <w:top w:w="0" w:type="dxa"/>
              <w:left w:w="70" w:type="dxa"/>
              <w:bottom w:w="0" w:type="dxa"/>
              <w:right w:w="70" w:type="dxa"/>
            </w:tcMar>
            <w:vAlign w:val="center"/>
            <w:hideMark/>
          </w:tcPr>
          <w:p w14:paraId="3CA7F03A"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138/13,8</w:t>
            </w:r>
          </w:p>
        </w:tc>
      </w:tr>
      <w:tr w:rsidR="00CF707D" w:rsidRPr="00205C60" w14:paraId="3CA7F040" w14:textId="77777777" w:rsidTr="00CF63A6">
        <w:trPr>
          <w:trHeight w:val="255"/>
        </w:trPr>
        <w:tc>
          <w:tcPr>
            <w:tcW w:w="2015" w:type="dxa"/>
            <w:tcBorders>
              <w:top w:val="nil"/>
              <w:left w:val="single" w:sz="8" w:space="0" w:color="auto"/>
              <w:bottom w:val="nil"/>
              <w:right w:val="nil"/>
            </w:tcBorders>
            <w:noWrap/>
            <w:tcMar>
              <w:top w:w="0" w:type="dxa"/>
              <w:left w:w="70" w:type="dxa"/>
              <w:bottom w:w="0" w:type="dxa"/>
              <w:right w:w="70" w:type="dxa"/>
            </w:tcMar>
            <w:vAlign w:val="center"/>
            <w:hideMark/>
          </w:tcPr>
          <w:p w14:paraId="3CA7F03C"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SABANILLA</w:t>
            </w:r>
          </w:p>
        </w:tc>
        <w:tc>
          <w:tcPr>
            <w:tcW w:w="1572" w:type="dxa"/>
            <w:noWrap/>
            <w:tcMar>
              <w:top w:w="0" w:type="dxa"/>
              <w:left w:w="70" w:type="dxa"/>
              <w:bottom w:w="0" w:type="dxa"/>
              <w:right w:w="70" w:type="dxa"/>
            </w:tcMar>
            <w:vAlign w:val="center"/>
            <w:hideMark/>
          </w:tcPr>
          <w:p w14:paraId="3CA7F03D"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TRAFO 2</w:t>
            </w:r>
          </w:p>
        </w:tc>
        <w:tc>
          <w:tcPr>
            <w:tcW w:w="1843" w:type="dxa"/>
            <w:noWrap/>
            <w:tcMar>
              <w:top w:w="0" w:type="dxa"/>
              <w:left w:w="70" w:type="dxa"/>
              <w:bottom w:w="0" w:type="dxa"/>
              <w:right w:w="70" w:type="dxa"/>
            </w:tcMar>
            <w:vAlign w:val="center"/>
            <w:hideMark/>
          </w:tcPr>
          <w:p w14:paraId="3CA7F03E"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20/30</w:t>
            </w:r>
          </w:p>
        </w:tc>
        <w:tc>
          <w:tcPr>
            <w:tcW w:w="1701" w:type="dxa"/>
            <w:tcBorders>
              <w:top w:val="nil"/>
              <w:left w:val="nil"/>
              <w:bottom w:val="nil"/>
              <w:right w:val="single" w:sz="8" w:space="0" w:color="auto"/>
            </w:tcBorders>
            <w:noWrap/>
            <w:tcMar>
              <w:top w:w="0" w:type="dxa"/>
              <w:left w:w="70" w:type="dxa"/>
              <w:bottom w:w="0" w:type="dxa"/>
              <w:right w:w="70" w:type="dxa"/>
            </w:tcMar>
            <w:vAlign w:val="center"/>
            <w:hideMark/>
          </w:tcPr>
          <w:p w14:paraId="3CA7F03F"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138/13,8</w:t>
            </w:r>
          </w:p>
        </w:tc>
      </w:tr>
      <w:tr w:rsidR="00CF707D" w:rsidRPr="00205C60" w14:paraId="3CA7F045" w14:textId="77777777" w:rsidTr="00CF63A6">
        <w:trPr>
          <w:trHeight w:val="255"/>
        </w:trPr>
        <w:tc>
          <w:tcPr>
            <w:tcW w:w="2015" w:type="dxa"/>
            <w:tcBorders>
              <w:top w:val="nil"/>
              <w:left w:val="single" w:sz="8" w:space="0" w:color="auto"/>
              <w:bottom w:val="nil"/>
              <w:right w:val="nil"/>
            </w:tcBorders>
            <w:noWrap/>
            <w:tcMar>
              <w:top w:w="0" w:type="dxa"/>
              <w:left w:w="70" w:type="dxa"/>
              <w:bottom w:w="0" w:type="dxa"/>
              <w:right w:w="70" w:type="dxa"/>
            </w:tcMar>
            <w:vAlign w:val="center"/>
            <w:hideMark/>
          </w:tcPr>
          <w:p w14:paraId="3CA7F041"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SABANILLA</w:t>
            </w:r>
          </w:p>
        </w:tc>
        <w:tc>
          <w:tcPr>
            <w:tcW w:w="1572" w:type="dxa"/>
            <w:noWrap/>
            <w:tcMar>
              <w:top w:w="0" w:type="dxa"/>
              <w:left w:w="70" w:type="dxa"/>
              <w:bottom w:w="0" w:type="dxa"/>
              <w:right w:w="70" w:type="dxa"/>
            </w:tcMar>
            <w:vAlign w:val="center"/>
            <w:hideMark/>
          </w:tcPr>
          <w:p w14:paraId="3CA7F042"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TRAFO 3</w:t>
            </w:r>
          </w:p>
        </w:tc>
        <w:tc>
          <w:tcPr>
            <w:tcW w:w="1843" w:type="dxa"/>
            <w:noWrap/>
            <w:tcMar>
              <w:top w:w="0" w:type="dxa"/>
              <w:left w:w="70" w:type="dxa"/>
              <w:bottom w:w="0" w:type="dxa"/>
              <w:right w:w="70" w:type="dxa"/>
            </w:tcMar>
            <w:vAlign w:val="center"/>
            <w:hideMark/>
          </w:tcPr>
          <w:p w14:paraId="3CA7F043"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20/30</w:t>
            </w:r>
          </w:p>
        </w:tc>
        <w:tc>
          <w:tcPr>
            <w:tcW w:w="1701" w:type="dxa"/>
            <w:tcBorders>
              <w:top w:val="nil"/>
              <w:left w:val="nil"/>
              <w:bottom w:val="nil"/>
              <w:right w:val="single" w:sz="8" w:space="0" w:color="auto"/>
            </w:tcBorders>
            <w:noWrap/>
            <w:tcMar>
              <w:top w:w="0" w:type="dxa"/>
              <w:left w:w="70" w:type="dxa"/>
              <w:bottom w:w="0" w:type="dxa"/>
              <w:right w:w="70" w:type="dxa"/>
            </w:tcMar>
            <w:vAlign w:val="center"/>
            <w:hideMark/>
          </w:tcPr>
          <w:p w14:paraId="3CA7F044"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138/34,5</w:t>
            </w:r>
          </w:p>
        </w:tc>
      </w:tr>
      <w:tr w:rsidR="00CF707D" w:rsidRPr="00205C60" w14:paraId="3CA7F04A" w14:textId="77777777" w:rsidTr="00CF63A6">
        <w:trPr>
          <w:trHeight w:val="255"/>
        </w:trPr>
        <w:tc>
          <w:tcPr>
            <w:tcW w:w="2015" w:type="dxa"/>
            <w:tcBorders>
              <w:top w:val="nil"/>
              <w:left w:val="single" w:sz="8" w:space="0" w:color="auto"/>
              <w:bottom w:val="nil"/>
              <w:right w:val="nil"/>
            </w:tcBorders>
            <w:noWrap/>
            <w:tcMar>
              <w:top w:w="0" w:type="dxa"/>
              <w:left w:w="70" w:type="dxa"/>
              <w:bottom w:w="0" w:type="dxa"/>
              <w:right w:w="70" w:type="dxa"/>
            </w:tcMar>
            <w:vAlign w:val="center"/>
            <w:hideMark/>
          </w:tcPr>
          <w:p w14:paraId="3CA7F046"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SABANILLA</w:t>
            </w:r>
          </w:p>
        </w:tc>
        <w:tc>
          <w:tcPr>
            <w:tcW w:w="1572" w:type="dxa"/>
            <w:noWrap/>
            <w:tcMar>
              <w:top w:w="0" w:type="dxa"/>
              <w:left w:w="70" w:type="dxa"/>
              <w:bottom w:w="0" w:type="dxa"/>
              <w:right w:w="70" w:type="dxa"/>
            </w:tcMar>
            <w:vAlign w:val="center"/>
            <w:hideMark/>
          </w:tcPr>
          <w:p w14:paraId="3CA7F047"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TRAFO 4</w:t>
            </w:r>
          </w:p>
        </w:tc>
        <w:tc>
          <w:tcPr>
            <w:tcW w:w="1843" w:type="dxa"/>
            <w:noWrap/>
            <w:tcMar>
              <w:top w:w="0" w:type="dxa"/>
              <w:left w:w="70" w:type="dxa"/>
              <w:bottom w:w="0" w:type="dxa"/>
              <w:right w:w="70" w:type="dxa"/>
            </w:tcMar>
            <w:vAlign w:val="center"/>
            <w:hideMark/>
          </w:tcPr>
          <w:p w14:paraId="3CA7F048"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20/30</w:t>
            </w:r>
          </w:p>
        </w:tc>
        <w:tc>
          <w:tcPr>
            <w:tcW w:w="1701" w:type="dxa"/>
            <w:tcBorders>
              <w:top w:val="nil"/>
              <w:left w:val="nil"/>
              <w:bottom w:val="nil"/>
              <w:right w:val="single" w:sz="8" w:space="0" w:color="auto"/>
            </w:tcBorders>
            <w:noWrap/>
            <w:tcMar>
              <w:top w:w="0" w:type="dxa"/>
              <w:left w:w="70" w:type="dxa"/>
              <w:bottom w:w="0" w:type="dxa"/>
              <w:right w:w="70" w:type="dxa"/>
            </w:tcMar>
            <w:vAlign w:val="center"/>
            <w:hideMark/>
          </w:tcPr>
          <w:p w14:paraId="3CA7F049"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138/34,5</w:t>
            </w:r>
          </w:p>
        </w:tc>
      </w:tr>
      <w:tr w:rsidR="00CF707D" w:rsidRPr="00205C60" w14:paraId="3CA7F04F" w14:textId="77777777" w:rsidTr="00CF63A6">
        <w:trPr>
          <w:trHeight w:val="255"/>
        </w:trPr>
        <w:tc>
          <w:tcPr>
            <w:tcW w:w="2015" w:type="dxa"/>
            <w:tcBorders>
              <w:top w:val="nil"/>
              <w:left w:val="single" w:sz="8" w:space="0" w:color="auto"/>
              <w:bottom w:val="nil"/>
              <w:right w:val="nil"/>
            </w:tcBorders>
            <w:noWrap/>
            <w:tcMar>
              <w:top w:w="0" w:type="dxa"/>
              <w:left w:w="70" w:type="dxa"/>
              <w:bottom w:w="0" w:type="dxa"/>
              <w:right w:w="70" w:type="dxa"/>
            </w:tcMar>
            <w:vAlign w:val="center"/>
            <w:hideMark/>
          </w:tcPr>
          <w:p w14:paraId="3CA7F04B"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HEREDIA</w:t>
            </w:r>
          </w:p>
        </w:tc>
        <w:tc>
          <w:tcPr>
            <w:tcW w:w="1572" w:type="dxa"/>
            <w:noWrap/>
            <w:tcMar>
              <w:top w:w="0" w:type="dxa"/>
              <w:left w:w="70" w:type="dxa"/>
              <w:bottom w:w="0" w:type="dxa"/>
              <w:right w:w="70" w:type="dxa"/>
            </w:tcMar>
            <w:vAlign w:val="center"/>
            <w:hideMark/>
          </w:tcPr>
          <w:p w14:paraId="3CA7F04C"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TRAFO 1</w:t>
            </w:r>
          </w:p>
        </w:tc>
        <w:tc>
          <w:tcPr>
            <w:tcW w:w="1843" w:type="dxa"/>
            <w:noWrap/>
            <w:tcMar>
              <w:top w:w="0" w:type="dxa"/>
              <w:left w:w="70" w:type="dxa"/>
              <w:bottom w:w="0" w:type="dxa"/>
              <w:right w:w="70" w:type="dxa"/>
            </w:tcMar>
            <w:vAlign w:val="center"/>
            <w:hideMark/>
          </w:tcPr>
          <w:p w14:paraId="3CA7F04D" w14:textId="3DF22376" w:rsidR="00CF707D" w:rsidRPr="00205C60" w:rsidRDefault="00EF7FA0" w:rsidP="00CE0622">
            <w:pPr>
              <w:jc w:val="center"/>
              <w:rPr>
                <w:rFonts w:ascii="Verdana" w:eastAsiaTheme="minorHAnsi" w:hAnsi="Verdana" w:cs="Arial"/>
                <w:sz w:val="22"/>
                <w:szCs w:val="22"/>
              </w:rPr>
            </w:pPr>
            <w:r w:rsidRPr="00205C60">
              <w:rPr>
                <w:rFonts w:ascii="Verdana" w:hAnsi="Verdana" w:cs="Arial"/>
                <w:sz w:val="22"/>
                <w:szCs w:val="22"/>
              </w:rPr>
              <w:t>30</w:t>
            </w:r>
            <w:r w:rsidR="00CF707D" w:rsidRPr="00205C60">
              <w:rPr>
                <w:rFonts w:ascii="Verdana" w:hAnsi="Verdana" w:cs="Arial"/>
                <w:sz w:val="22"/>
                <w:szCs w:val="22"/>
              </w:rPr>
              <w:t>/</w:t>
            </w:r>
            <w:r w:rsidRPr="00205C60">
              <w:rPr>
                <w:rFonts w:ascii="Verdana" w:hAnsi="Verdana" w:cs="Arial"/>
                <w:sz w:val="22"/>
                <w:szCs w:val="22"/>
              </w:rPr>
              <w:t>45</w:t>
            </w:r>
          </w:p>
        </w:tc>
        <w:tc>
          <w:tcPr>
            <w:tcW w:w="1701" w:type="dxa"/>
            <w:tcBorders>
              <w:top w:val="nil"/>
              <w:left w:val="nil"/>
              <w:bottom w:val="nil"/>
              <w:right w:val="single" w:sz="8" w:space="0" w:color="auto"/>
            </w:tcBorders>
            <w:noWrap/>
            <w:tcMar>
              <w:top w:w="0" w:type="dxa"/>
              <w:left w:w="70" w:type="dxa"/>
              <w:bottom w:w="0" w:type="dxa"/>
              <w:right w:w="70" w:type="dxa"/>
            </w:tcMar>
            <w:vAlign w:val="center"/>
            <w:hideMark/>
          </w:tcPr>
          <w:p w14:paraId="3CA7F04E"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138/34,5</w:t>
            </w:r>
          </w:p>
        </w:tc>
      </w:tr>
      <w:tr w:rsidR="00CF707D" w:rsidRPr="00205C60" w14:paraId="3CA7F054" w14:textId="77777777" w:rsidTr="00CF63A6">
        <w:trPr>
          <w:trHeight w:val="255"/>
        </w:trPr>
        <w:tc>
          <w:tcPr>
            <w:tcW w:w="2015" w:type="dxa"/>
            <w:tcBorders>
              <w:top w:val="nil"/>
              <w:left w:val="single" w:sz="8" w:space="0" w:color="auto"/>
              <w:bottom w:val="nil"/>
              <w:right w:val="nil"/>
            </w:tcBorders>
            <w:noWrap/>
            <w:tcMar>
              <w:top w:w="0" w:type="dxa"/>
              <w:left w:w="70" w:type="dxa"/>
              <w:bottom w:w="0" w:type="dxa"/>
              <w:right w:w="70" w:type="dxa"/>
            </w:tcMar>
            <w:vAlign w:val="center"/>
            <w:hideMark/>
          </w:tcPr>
          <w:p w14:paraId="3CA7F050"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BELEN</w:t>
            </w:r>
          </w:p>
        </w:tc>
        <w:tc>
          <w:tcPr>
            <w:tcW w:w="1572" w:type="dxa"/>
            <w:noWrap/>
            <w:tcMar>
              <w:top w:w="0" w:type="dxa"/>
              <w:left w:w="70" w:type="dxa"/>
              <w:bottom w:w="0" w:type="dxa"/>
              <w:right w:w="70" w:type="dxa"/>
            </w:tcMar>
            <w:vAlign w:val="center"/>
            <w:hideMark/>
          </w:tcPr>
          <w:p w14:paraId="3CA7F051"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TRAFO 3</w:t>
            </w:r>
          </w:p>
        </w:tc>
        <w:tc>
          <w:tcPr>
            <w:tcW w:w="1843" w:type="dxa"/>
            <w:noWrap/>
            <w:tcMar>
              <w:top w:w="0" w:type="dxa"/>
              <w:left w:w="70" w:type="dxa"/>
              <w:bottom w:w="0" w:type="dxa"/>
              <w:right w:w="70" w:type="dxa"/>
            </w:tcMar>
            <w:vAlign w:val="center"/>
            <w:hideMark/>
          </w:tcPr>
          <w:p w14:paraId="3CA7F052"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30/45</w:t>
            </w:r>
          </w:p>
        </w:tc>
        <w:tc>
          <w:tcPr>
            <w:tcW w:w="1701" w:type="dxa"/>
            <w:tcBorders>
              <w:top w:val="nil"/>
              <w:left w:val="nil"/>
              <w:bottom w:val="nil"/>
              <w:right w:val="single" w:sz="8" w:space="0" w:color="auto"/>
            </w:tcBorders>
            <w:noWrap/>
            <w:tcMar>
              <w:top w:w="0" w:type="dxa"/>
              <w:left w:w="70" w:type="dxa"/>
              <w:bottom w:w="0" w:type="dxa"/>
              <w:right w:w="70" w:type="dxa"/>
            </w:tcMar>
            <w:vAlign w:val="center"/>
            <w:hideMark/>
          </w:tcPr>
          <w:p w14:paraId="3CA7F053"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230/34,5</w:t>
            </w:r>
          </w:p>
        </w:tc>
      </w:tr>
      <w:tr w:rsidR="00CF707D" w:rsidRPr="00205C60" w14:paraId="3CA7F059" w14:textId="77777777" w:rsidTr="00CF63A6">
        <w:trPr>
          <w:trHeight w:val="255"/>
        </w:trPr>
        <w:tc>
          <w:tcPr>
            <w:tcW w:w="2015" w:type="dxa"/>
            <w:tcBorders>
              <w:top w:val="nil"/>
              <w:left w:val="single" w:sz="8" w:space="0" w:color="auto"/>
              <w:bottom w:val="nil"/>
              <w:right w:val="nil"/>
            </w:tcBorders>
            <w:noWrap/>
            <w:tcMar>
              <w:top w:w="0" w:type="dxa"/>
              <w:left w:w="70" w:type="dxa"/>
              <w:bottom w:w="0" w:type="dxa"/>
              <w:right w:w="70" w:type="dxa"/>
            </w:tcMar>
            <w:vAlign w:val="center"/>
            <w:hideMark/>
          </w:tcPr>
          <w:p w14:paraId="3CA7F055"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BELEN</w:t>
            </w:r>
          </w:p>
        </w:tc>
        <w:tc>
          <w:tcPr>
            <w:tcW w:w="1572" w:type="dxa"/>
            <w:noWrap/>
            <w:tcMar>
              <w:top w:w="0" w:type="dxa"/>
              <w:left w:w="70" w:type="dxa"/>
              <w:bottom w:w="0" w:type="dxa"/>
              <w:right w:w="70" w:type="dxa"/>
            </w:tcMar>
            <w:vAlign w:val="center"/>
            <w:hideMark/>
          </w:tcPr>
          <w:p w14:paraId="3CA7F056"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TRAFO 4</w:t>
            </w:r>
          </w:p>
        </w:tc>
        <w:tc>
          <w:tcPr>
            <w:tcW w:w="1843" w:type="dxa"/>
            <w:noWrap/>
            <w:tcMar>
              <w:top w:w="0" w:type="dxa"/>
              <w:left w:w="70" w:type="dxa"/>
              <w:bottom w:w="0" w:type="dxa"/>
              <w:right w:w="70" w:type="dxa"/>
            </w:tcMar>
            <w:vAlign w:val="center"/>
            <w:hideMark/>
          </w:tcPr>
          <w:p w14:paraId="3CA7F057"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30/45</w:t>
            </w:r>
          </w:p>
        </w:tc>
        <w:tc>
          <w:tcPr>
            <w:tcW w:w="1701" w:type="dxa"/>
            <w:tcBorders>
              <w:top w:val="nil"/>
              <w:left w:val="nil"/>
              <w:bottom w:val="nil"/>
              <w:right w:val="single" w:sz="8" w:space="0" w:color="auto"/>
            </w:tcBorders>
            <w:noWrap/>
            <w:tcMar>
              <w:top w:w="0" w:type="dxa"/>
              <w:left w:w="70" w:type="dxa"/>
              <w:bottom w:w="0" w:type="dxa"/>
              <w:right w:w="70" w:type="dxa"/>
            </w:tcMar>
            <w:vAlign w:val="center"/>
            <w:hideMark/>
          </w:tcPr>
          <w:p w14:paraId="3CA7F058"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230/34,5</w:t>
            </w:r>
          </w:p>
        </w:tc>
      </w:tr>
      <w:tr w:rsidR="00CF707D" w:rsidRPr="00205C60" w14:paraId="3CA7F05E" w14:textId="77777777" w:rsidTr="00CF63A6">
        <w:trPr>
          <w:trHeight w:val="255"/>
        </w:trPr>
        <w:tc>
          <w:tcPr>
            <w:tcW w:w="2015" w:type="dxa"/>
            <w:tcBorders>
              <w:top w:val="nil"/>
              <w:left w:val="single" w:sz="8" w:space="0" w:color="auto"/>
              <w:bottom w:val="nil"/>
              <w:right w:val="nil"/>
            </w:tcBorders>
            <w:noWrap/>
            <w:tcMar>
              <w:top w:w="0" w:type="dxa"/>
              <w:left w:w="70" w:type="dxa"/>
              <w:bottom w:w="0" w:type="dxa"/>
              <w:right w:w="70" w:type="dxa"/>
            </w:tcMar>
            <w:vAlign w:val="center"/>
            <w:hideMark/>
          </w:tcPr>
          <w:p w14:paraId="3CA7F05A"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ESCAZU</w:t>
            </w:r>
          </w:p>
        </w:tc>
        <w:tc>
          <w:tcPr>
            <w:tcW w:w="1572" w:type="dxa"/>
            <w:noWrap/>
            <w:tcMar>
              <w:top w:w="0" w:type="dxa"/>
              <w:left w:w="70" w:type="dxa"/>
              <w:bottom w:w="0" w:type="dxa"/>
              <w:right w:w="70" w:type="dxa"/>
            </w:tcMar>
            <w:vAlign w:val="center"/>
            <w:hideMark/>
          </w:tcPr>
          <w:p w14:paraId="3CA7F05B"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TRAFO 1</w:t>
            </w:r>
          </w:p>
        </w:tc>
        <w:tc>
          <w:tcPr>
            <w:tcW w:w="1843" w:type="dxa"/>
            <w:noWrap/>
            <w:tcMar>
              <w:top w:w="0" w:type="dxa"/>
              <w:left w:w="70" w:type="dxa"/>
              <w:bottom w:w="0" w:type="dxa"/>
              <w:right w:w="70" w:type="dxa"/>
            </w:tcMar>
            <w:vAlign w:val="center"/>
            <w:hideMark/>
          </w:tcPr>
          <w:p w14:paraId="3CA7F05C"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30/45</w:t>
            </w:r>
          </w:p>
        </w:tc>
        <w:tc>
          <w:tcPr>
            <w:tcW w:w="1701" w:type="dxa"/>
            <w:tcBorders>
              <w:top w:val="nil"/>
              <w:left w:val="nil"/>
              <w:bottom w:val="nil"/>
              <w:right w:val="single" w:sz="8" w:space="0" w:color="auto"/>
            </w:tcBorders>
            <w:noWrap/>
            <w:tcMar>
              <w:top w:w="0" w:type="dxa"/>
              <w:left w:w="70" w:type="dxa"/>
              <w:bottom w:w="0" w:type="dxa"/>
              <w:right w:w="70" w:type="dxa"/>
            </w:tcMar>
            <w:vAlign w:val="center"/>
            <w:hideMark/>
          </w:tcPr>
          <w:p w14:paraId="3CA7F05D"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138/34,5</w:t>
            </w:r>
          </w:p>
        </w:tc>
      </w:tr>
      <w:tr w:rsidR="00CF707D" w:rsidRPr="00205C60" w14:paraId="3CA7F063" w14:textId="77777777" w:rsidTr="00CF63A6">
        <w:trPr>
          <w:trHeight w:val="255"/>
        </w:trPr>
        <w:tc>
          <w:tcPr>
            <w:tcW w:w="2015" w:type="dxa"/>
            <w:tcBorders>
              <w:top w:val="nil"/>
              <w:left w:val="single" w:sz="8" w:space="0" w:color="auto"/>
              <w:bottom w:val="nil"/>
              <w:right w:val="nil"/>
            </w:tcBorders>
            <w:noWrap/>
            <w:tcMar>
              <w:top w:w="0" w:type="dxa"/>
              <w:left w:w="70" w:type="dxa"/>
              <w:bottom w:w="0" w:type="dxa"/>
              <w:right w:w="70" w:type="dxa"/>
            </w:tcMar>
            <w:vAlign w:val="center"/>
            <w:hideMark/>
          </w:tcPr>
          <w:p w14:paraId="3CA7F05F"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ESCAZU</w:t>
            </w:r>
          </w:p>
        </w:tc>
        <w:tc>
          <w:tcPr>
            <w:tcW w:w="1572" w:type="dxa"/>
            <w:noWrap/>
            <w:tcMar>
              <w:top w:w="0" w:type="dxa"/>
              <w:left w:w="70" w:type="dxa"/>
              <w:bottom w:w="0" w:type="dxa"/>
              <w:right w:w="70" w:type="dxa"/>
            </w:tcMar>
            <w:vAlign w:val="center"/>
            <w:hideMark/>
          </w:tcPr>
          <w:p w14:paraId="3CA7F060"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TRAFO 2</w:t>
            </w:r>
          </w:p>
        </w:tc>
        <w:tc>
          <w:tcPr>
            <w:tcW w:w="1843" w:type="dxa"/>
            <w:noWrap/>
            <w:tcMar>
              <w:top w:w="0" w:type="dxa"/>
              <w:left w:w="70" w:type="dxa"/>
              <w:bottom w:w="0" w:type="dxa"/>
              <w:right w:w="70" w:type="dxa"/>
            </w:tcMar>
            <w:vAlign w:val="center"/>
            <w:hideMark/>
          </w:tcPr>
          <w:p w14:paraId="3CA7F061" w14:textId="77777777" w:rsidR="00CF707D" w:rsidRPr="00205C60" w:rsidRDefault="00703413" w:rsidP="00703413">
            <w:pPr>
              <w:jc w:val="center"/>
              <w:rPr>
                <w:rFonts w:ascii="Verdana" w:eastAsiaTheme="minorHAnsi" w:hAnsi="Verdana" w:cs="Arial"/>
                <w:sz w:val="22"/>
                <w:szCs w:val="22"/>
              </w:rPr>
            </w:pPr>
            <w:r w:rsidRPr="00205C60">
              <w:rPr>
                <w:rFonts w:ascii="Verdana" w:hAnsi="Verdana" w:cs="Arial"/>
                <w:sz w:val="22"/>
                <w:szCs w:val="22"/>
              </w:rPr>
              <w:t>30</w:t>
            </w:r>
            <w:r w:rsidR="00CF707D" w:rsidRPr="00205C60">
              <w:rPr>
                <w:rFonts w:ascii="Verdana" w:hAnsi="Verdana" w:cs="Arial"/>
                <w:sz w:val="22"/>
                <w:szCs w:val="22"/>
              </w:rPr>
              <w:t>/</w:t>
            </w:r>
            <w:r w:rsidRPr="00205C60">
              <w:rPr>
                <w:rFonts w:ascii="Verdana" w:hAnsi="Verdana" w:cs="Arial"/>
                <w:sz w:val="22"/>
                <w:szCs w:val="22"/>
              </w:rPr>
              <w:t>45</w:t>
            </w:r>
          </w:p>
        </w:tc>
        <w:tc>
          <w:tcPr>
            <w:tcW w:w="1701" w:type="dxa"/>
            <w:tcBorders>
              <w:top w:val="nil"/>
              <w:left w:val="nil"/>
              <w:bottom w:val="nil"/>
              <w:right w:val="single" w:sz="8" w:space="0" w:color="auto"/>
            </w:tcBorders>
            <w:noWrap/>
            <w:tcMar>
              <w:top w:w="0" w:type="dxa"/>
              <w:left w:w="70" w:type="dxa"/>
              <w:bottom w:w="0" w:type="dxa"/>
              <w:right w:w="70" w:type="dxa"/>
            </w:tcMar>
            <w:vAlign w:val="center"/>
            <w:hideMark/>
          </w:tcPr>
          <w:p w14:paraId="3CA7F062"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138/34,5</w:t>
            </w:r>
          </w:p>
        </w:tc>
      </w:tr>
      <w:tr w:rsidR="00CF707D" w:rsidRPr="00205C60" w14:paraId="3CA7F068" w14:textId="77777777" w:rsidTr="00CF63A6">
        <w:trPr>
          <w:trHeight w:val="255"/>
        </w:trPr>
        <w:tc>
          <w:tcPr>
            <w:tcW w:w="2015" w:type="dxa"/>
            <w:tcBorders>
              <w:top w:val="nil"/>
              <w:left w:val="single" w:sz="8" w:space="0" w:color="auto"/>
              <w:bottom w:val="nil"/>
              <w:right w:val="nil"/>
            </w:tcBorders>
            <w:noWrap/>
            <w:tcMar>
              <w:top w:w="0" w:type="dxa"/>
              <w:left w:w="70" w:type="dxa"/>
              <w:bottom w:w="0" w:type="dxa"/>
              <w:right w:w="70" w:type="dxa"/>
            </w:tcMar>
            <w:vAlign w:val="center"/>
            <w:hideMark/>
          </w:tcPr>
          <w:p w14:paraId="3CA7F064"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ANONOS</w:t>
            </w:r>
          </w:p>
        </w:tc>
        <w:tc>
          <w:tcPr>
            <w:tcW w:w="1572" w:type="dxa"/>
            <w:noWrap/>
            <w:tcMar>
              <w:top w:w="0" w:type="dxa"/>
              <w:left w:w="70" w:type="dxa"/>
              <w:bottom w:w="0" w:type="dxa"/>
              <w:right w:w="70" w:type="dxa"/>
            </w:tcMar>
            <w:vAlign w:val="center"/>
            <w:hideMark/>
          </w:tcPr>
          <w:p w14:paraId="3CA7F065"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TRAFO 1</w:t>
            </w:r>
          </w:p>
        </w:tc>
        <w:tc>
          <w:tcPr>
            <w:tcW w:w="1843" w:type="dxa"/>
            <w:noWrap/>
            <w:tcMar>
              <w:top w:w="0" w:type="dxa"/>
              <w:left w:w="70" w:type="dxa"/>
              <w:bottom w:w="0" w:type="dxa"/>
              <w:right w:w="70" w:type="dxa"/>
            </w:tcMar>
            <w:vAlign w:val="center"/>
            <w:hideMark/>
          </w:tcPr>
          <w:p w14:paraId="3CA7F066" w14:textId="42A342CC" w:rsidR="00CF707D" w:rsidRPr="00205C60" w:rsidRDefault="00246643" w:rsidP="00CE0622">
            <w:pPr>
              <w:jc w:val="center"/>
              <w:rPr>
                <w:rFonts w:ascii="Verdana" w:eastAsiaTheme="minorHAnsi" w:hAnsi="Verdana" w:cs="Arial"/>
                <w:sz w:val="22"/>
                <w:szCs w:val="22"/>
              </w:rPr>
            </w:pPr>
            <w:r w:rsidRPr="00205C60">
              <w:rPr>
                <w:rFonts w:ascii="Verdana" w:hAnsi="Verdana" w:cs="Arial"/>
                <w:sz w:val="22"/>
                <w:szCs w:val="22"/>
              </w:rPr>
              <w:t>30</w:t>
            </w:r>
            <w:r w:rsidR="00CF707D" w:rsidRPr="00205C60">
              <w:rPr>
                <w:rFonts w:ascii="Verdana" w:hAnsi="Verdana" w:cs="Arial"/>
                <w:sz w:val="22"/>
                <w:szCs w:val="22"/>
              </w:rPr>
              <w:t>/</w:t>
            </w:r>
            <w:r w:rsidR="00C65DCD" w:rsidRPr="00205C60">
              <w:rPr>
                <w:rFonts w:ascii="Verdana" w:hAnsi="Verdana" w:cs="Arial"/>
                <w:sz w:val="22"/>
                <w:szCs w:val="22"/>
              </w:rPr>
              <w:t>45</w:t>
            </w:r>
          </w:p>
        </w:tc>
        <w:tc>
          <w:tcPr>
            <w:tcW w:w="1701" w:type="dxa"/>
            <w:tcBorders>
              <w:top w:val="nil"/>
              <w:left w:val="nil"/>
              <w:bottom w:val="nil"/>
              <w:right w:val="single" w:sz="8" w:space="0" w:color="auto"/>
            </w:tcBorders>
            <w:noWrap/>
            <w:tcMar>
              <w:top w:w="0" w:type="dxa"/>
              <w:left w:w="70" w:type="dxa"/>
              <w:bottom w:w="0" w:type="dxa"/>
              <w:right w:w="70" w:type="dxa"/>
            </w:tcMar>
            <w:vAlign w:val="center"/>
            <w:hideMark/>
          </w:tcPr>
          <w:p w14:paraId="3CA7F067" w14:textId="19C1FD6D"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138/</w:t>
            </w:r>
            <w:r w:rsidR="002264A4" w:rsidRPr="00205C60">
              <w:rPr>
                <w:rFonts w:ascii="Verdana" w:hAnsi="Verdana" w:cs="Arial"/>
                <w:sz w:val="22"/>
                <w:szCs w:val="22"/>
              </w:rPr>
              <w:t>13.8</w:t>
            </w:r>
          </w:p>
        </w:tc>
      </w:tr>
      <w:tr w:rsidR="00CF707D" w:rsidRPr="00205C60" w14:paraId="3CA7F06D" w14:textId="77777777" w:rsidTr="00CF63A6">
        <w:trPr>
          <w:trHeight w:val="255"/>
        </w:trPr>
        <w:tc>
          <w:tcPr>
            <w:tcW w:w="2015" w:type="dxa"/>
            <w:tcBorders>
              <w:top w:val="nil"/>
              <w:left w:val="single" w:sz="8" w:space="0" w:color="auto"/>
              <w:bottom w:val="nil"/>
              <w:right w:val="nil"/>
            </w:tcBorders>
            <w:noWrap/>
            <w:tcMar>
              <w:top w:w="0" w:type="dxa"/>
              <w:left w:w="70" w:type="dxa"/>
              <w:bottom w:w="0" w:type="dxa"/>
              <w:right w:w="70" w:type="dxa"/>
            </w:tcMar>
            <w:vAlign w:val="center"/>
            <w:hideMark/>
          </w:tcPr>
          <w:p w14:paraId="3CA7F069"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ANONOS</w:t>
            </w:r>
          </w:p>
        </w:tc>
        <w:tc>
          <w:tcPr>
            <w:tcW w:w="1572" w:type="dxa"/>
            <w:noWrap/>
            <w:tcMar>
              <w:top w:w="0" w:type="dxa"/>
              <w:left w:w="70" w:type="dxa"/>
              <w:bottom w:w="0" w:type="dxa"/>
              <w:right w:w="70" w:type="dxa"/>
            </w:tcMar>
            <w:vAlign w:val="center"/>
            <w:hideMark/>
          </w:tcPr>
          <w:p w14:paraId="3CA7F06A"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TRAFO 2</w:t>
            </w:r>
          </w:p>
        </w:tc>
        <w:tc>
          <w:tcPr>
            <w:tcW w:w="1843" w:type="dxa"/>
            <w:noWrap/>
            <w:tcMar>
              <w:top w:w="0" w:type="dxa"/>
              <w:left w:w="70" w:type="dxa"/>
              <w:bottom w:w="0" w:type="dxa"/>
              <w:right w:w="70" w:type="dxa"/>
            </w:tcMar>
            <w:vAlign w:val="center"/>
            <w:hideMark/>
          </w:tcPr>
          <w:p w14:paraId="3CA7F06B" w14:textId="145D0698" w:rsidR="00CF707D" w:rsidRPr="00205C60" w:rsidRDefault="00246643" w:rsidP="00CE0622">
            <w:pPr>
              <w:jc w:val="center"/>
              <w:rPr>
                <w:rFonts w:ascii="Verdana" w:eastAsiaTheme="minorHAnsi" w:hAnsi="Verdana" w:cs="Arial"/>
                <w:sz w:val="22"/>
                <w:szCs w:val="22"/>
              </w:rPr>
            </w:pPr>
            <w:r w:rsidRPr="00205C60">
              <w:rPr>
                <w:rFonts w:ascii="Verdana" w:hAnsi="Verdana" w:cs="Arial"/>
                <w:sz w:val="22"/>
                <w:szCs w:val="22"/>
              </w:rPr>
              <w:t>30</w:t>
            </w:r>
            <w:r w:rsidR="00CF707D" w:rsidRPr="00205C60">
              <w:rPr>
                <w:rFonts w:ascii="Verdana" w:hAnsi="Verdana" w:cs="Arial"/>
                <w:sz w:val="22"/>
                <w:szCs w:val="22"/>
              </w:rPr>
              <w:t>/</w:t>
            </w:r>
            <w:r w:rsidRPr="00205C60">
              <w:rPr>
                <w:rFonts w:ascii="Verdana" w:hAnsi="Verdana" w:cs="Arial"/>
                <w:sz w:val="22"/>
                <w:szCs w:val="22"/>
              </w:rPr>
              <w:t>45</w:t>
            </w:r>
          </w:p>
        </w:tc>
        <w:tc>
          <w:tcPr>
            <w:tcW w:w="1701" w:type="dxa"/>
            <w:tcBorders>
              <w:top w:val="nil"/>
              <w:left w:val="nil"/>
              <w:bottom w:val="nil"/>
              <w:right w:val="single" w:sz="8" w:space="0" w:color="auto"/>
            </w:tcBorders>
            <w:noWrap/>
            <w:tcMar>
              <w:top w:w="0" w:type="dxa"/>
              <w:left w:w="70" w:type="dxa"/>
              <w:bottom w:w="0" w:type="dxa"/>
              <w:right w:w="70" w:type="dxa"/>
            </w:tcMar>
            <w:vAlign w:val="center"/>
            <w:hideMark/>
          </w:tcPr>
          <w:p w14:paraId="3CA7F06C" w14:textId="46D909C9" w:rsidR="00CF707D" w:rsidRPr="00205C60" w:rsidRDefault="00246643" w:rsidP="00CE0622">
            <w:pPr>
              <w:jc w:val="center"/>
              <w:rPr>
                <w:rFonts w:ascii="Verdana" w:eastAsiaTheme="minorHAnsi" w:hAnsi="Verdana" w:cs="Arial"/>
                <w:sz w:val="22"/>
                <w:szCs w:val="22"/>
              </w:rPr>
            </w:pPr>
            <w:r w:rsidRPr="00205C60">
              <w:rPr>
                <w:rFonts w:ascii="Verdana" w:hAnsi="Verdana" w:cs="Arial"/>
                <w:sz w:val="22"/>
                <w:szCs w:val="22"/>
              </w:rPr>
              <w:t>138</w:t>
            </w:r>
            <w:r w:rsidR="00CF707D" w:rsidRPr="00205C60">
              <w:rPr>
                <w:rFonts w:ascii="Verdana" w:hAnsi="Verdana" w:cs="Arial"/>
                <w:sz w:val="22"/>
                <w:szCs w:val="22"/>
              </w:rPr>
              <w:t>/</w:t>
            </w:r>
            <w:r w:rsidR="00EF7FA0" w:rsidRPr="00205C60">
              <w:rPr>
                <w:rFonts w:ascii="Verdana" w:hAnsi="Verdana" w:cs="Arial"/>
                <w:sz w:val="22"/>
                <w:szCs w:val="22"/>
              </w:rPr>
              <w:t>34.5</w:t>
            </w:r>
          </w:p>
        </w:tc>
      </w:tr>
      <w:tr w:rsidR="00CF707D" w:rsidRPr="00205C60" w14:paraId="3CA7F072" w14:textId="77777777" w:rsidTr="00CF63A6">
        <w:trPr>
          <w:trHeight w:val="255"/>
        </w:trPr>
        <w:tc>
          <w:tcPr>
            <w:tcW w:w="2015" w:type="dxa"/>
            <w:tcBorders>
              <w:top w:val="nil"/>
              <w:left w:val="single" w:sz="8" w:space="0" w:color="auto"/>
              <w:bottom w:val="nil"/>
              <w:right w:val="nil"/>
            </w:tcBorders>
            <w:noWrap/>
            <w:tcMar>
              <w:top w:w="0" w:type="dxa"/>
              <w:left w:w="70" w:type="dxa"/>
              <w:bottom w:w="0" w:type="dxa"/>
              <w:right w:w="70" w:type="dxa"/>
            </w:tcMar>
            <w:vAlign w:val="center"/>
            <w:hideMark/>
          </w:tcPr>
          <w:p w14:paraId="3CA7F06E"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ANONOS</w:t>
            </w:r>
          </w:p>
        </w:tc>
        <w:tc>
          <w:tcPr>
            <w:tcW w:w="1572" w:type="dxa"/>
            <w:noWrap/>
            <w:tcMar>
              <w:top w:w="0" w:type="dxa"/>
              <w:left w:w="70" w:type="dxa"/>
              <w:bottom w:w="0" w:type="dxa"/>
              <w:right w:w="70" w:type="dxa"/>
            </w:tcMar>
            <w:vAlign w:val="center"/>
            <w:hideMark/>
          </w:tcPr>
          <w:p w14:paraId="3CA7F06F"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TRAFO 3</w:t>
            </w:r>
          </w:p>
        </w:tc>
        <w:tc>
          <w:tcPr>
            <w:tcW w:w="1843" w:type="dxa"/>
            <w:noWrap/>
            <w:tcMar>
              <w:top w:w="0" w:type="dxa"/>
              <w:left w:w="70" w:type="dxa"/>
              <w:bottom w:w="0" w:type="dxa"/>
              <w:right w:w="70" w:type="dxa"/>
            </w:tcMar>
            <w:vAlign w:val="center"/>
            <w:hideMark/>
          </w:tcPr>
          <w:p w14:paraId="3CA7F070" w14:textId="32AF20F4" w:rsidR="00CF707D" w:rsidRPr="00205C60" w:rsidRDefault="00EF7FA0" w:rsidP="00CE0622">
            <w:pPr>
              <w:jc w:val="center"/>
              <w:rPr>
                <w:rFonts w:ascii="Verdana" w:eastAsiaTheme="minorHAnsi" w:hAnsi="Verdana" w:cs="Arial"/>
                <w:sz w:val="22"/>
                <w:szCs w:val="22"/>
              </w:rPr>
            </w:pPr>
            <w:r w:rsidRPr="00205C60">
              <w:rPr>
                <w:rFonts w:ascii="Verdana" w:hAnsi="Verdana" w:cs="Arial"/>
                <w:sz w:val="22"/>
                <w:szCs w:val="22"/>
              </w:rPr>
              <w:t>20</w:t>
            </w:r>
            <w:r w:rsidR="00CF707D" w:rsidRPr="00205C60">
              <w:rPr>
                <w:rFonts w:ascii="Verdana" w:hAnsi="Verdana" w:cs="Arial"/>
                <w:sz w:val="22"/>
                <w:szCs w:val="22"/>
              </w:rPr>
              <w:t>/</w:t>
            </w:r>
            <w:r w:rsidRPr="00205C60">
              <w:rPr>
                <w:rFonts w:ascii="Verdana" w:hAnsi="Verdana" w:cs="Arial"/>
                <w:sz w:val="22"/>
                <w:szCs w:val="22"/>
              </w:rPr>
              <w:t>30</w:t>
            </w:r>
          </w:p>
        </w:tc>
        <w:tc>
          <w:tcPr>
            <w:tcW w:w="1701" w:type="dxa"/>
            <w:tcBorders>
              <w:top w:val="nil"/>
              <w:left w:val="nil"/>
              <w:bottom w:val="nil"/>
              <w:right w:val="single" w:sz="8" w:space="0" w:color="auto"/>
            </w:tcBorders>
            <w:noWrap/>
            <w:tcMar>
              <w:top w:w="0" w:type="dxa"/>
              <w:left w:w="70" w:type="dxa"/>
              <w:bottom w:w="0" w:type="dxa"/>
              <w:right w:w="70" w:type="dxa"/>
            </w:tcMar>
            <w:vAlign w:val="center"/>
            <w:hideMark/>
          </w:tcPr>
          <w:p w14:paraId="3CA7F071"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34,5/13,8</w:t>
            </w:r>
          </w:p>
        </w:tc>
      </w:tr>
      <w:tr w:rsidR="00CF707D" w:rsidRPr="00205C60" w14:paraId="3CA7F077" w14:textId="77777777" w:rsidTr="00CF63A6">
        <w:trPr>
          <w:trHeight w:val="255"/>
        </w:trPr>
        <w:tc>
          <w:tcPr>
            <w:tcW w:w="2015" w:type="dxa"/>
            <w:tcBorders>
              <w:top w:val="nil"/>
              <w:left w:val="single" w:sz="8" w:space="0" w:color="auto"/>
              <w:bottom w:val="nil"/>
              <w:right w:val="nil"/>
            </w:tcBorders>
            <w:noWrap/>
            <w:tcMar>
              <w:top w:w="0" w:type="dxa"/>
              <w:left w:w="70" w:type="dxa"/>
              <w:bottom w:w="0" w:type="dxa"/>
              <w:right w:w="70" w:type="dxa"/>
            </w:tcMar>
            <w:vAlign w:val="center"/>
            <w:hideMark/>
          </w:tcPr>
          <w:p w14:paraId="3CA7F073"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URUCA</w:t>
            </w:r>
          </w:p>
        </w:tc>
        <w:tc>
          <w:tcPr>
            <w:tcW w:w="1572" w:type="dxa"/>
            <w:noWrap/>
            <w:tcMar>
              <w:top w:w="0" w:type="dxa"/>
              <w:left w:w="70" w:type="dxa"/>
              <w:bottom w:w="0" w:type="dxa"/>
              <w:right w:w="70" w:type="dxa"/>
            </w:tcMar>
            <w:vAlign w:val="center"/>
            <w:hideMark/>
          </w:tcPr>
          <w:p w14:paraId="3CA7F074"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TRAFO 1</w:t>
            </w:r>
          </w:p>
        </w:tc>
        <w:tc>
          <w:tcPr>
            <w:tcW w:w="1843" w:type="dxa"/>
            <w:noWrap/>
            <w:tcMar>
              <w:top w:w="0" w:type="dxa"/>
              <w:left w:w="70" w:type="dxa"/>
              <w:bottom w:w="0" w:type="dxa"/>
              <w:right w:w="70" w:type="dxa"/>
            </w:tcMar>
            <w:vAlign w:val="center"/>
            <w:hideMark/>
          </w:tcPr>
          <w:p w14:paraId="3CA7F075"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15/20</w:t>
            </w:r>
          </w:p>
        </w:tc>
        <w:tc>
          <w:tcPr>
            <w:tcW w:w="1701" w:type="dxa"/>
            <w:tcBorders>
              <w:top w:val="nil"/>
              <w:left w:val="nil"/>
              <w:bottom w:val="nil"/>
              <w:right w:val="single" w:sz="8" w:space="0" w:color="auto"/>
            </w:tcBorders>
            <w:noWrap/>
            <w:tcMar>
              <w:top w:w="0" w:type="dxa"/>
              <w:left w:w="70" w:type="dxa"/>
              <w:bottom w:w="0" w:type="dxa"/>
              <w:right w:w="70" w:type="dxa"/>
            </w:tcMar>
            <w:vAlign w:val="center"/>
            <w:hideMark/>
          </w:tcPr>
          <w:p w14:paraId="3CA7F076"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34,5/13,8</w:t>
            </w:r>
          </w:p>
        </w:tc>
      </w:tr>
      <w:tr w:rsidR="00CF707D" w:rsidRPr="00205C60" w14:paraId="3CA7F07C" w14:textId="77777777" w:rsidTr="00CF63A6">
        <w:trPr>
          <w:trHeight w:val="255"/>
        </w:trPr>
        <w:tc>
          <w:tcPr>
            <w:tcW w:w="2015" w:type="dxa"/>
            <w:tcBorders>
              <w:top w:val="nil"/>
              <w:left w:val="single" w:sz="8" w:space="0" w:color="auto"/>
              <w:bottom w:val="nil"/>
              <w:right w:val="nil"/>
            </w:tcBorders>
            <w:noWrap/>
            <w:tcMar>
              <w:top w:w="0" w:type="dxa"/>
              <w:left w:w="70" w:type="dxa"/>
              <w:bottom w:w="0" w:type="dxa"/>
              <w:right w:w="70" w:type="dxa"/>
            </w:tcMar>
            <w:vAlign w:val="center"/>
            <w:hideMark/>
          </w:tcPr>
          <w:p w14:paraId="3CA7F078"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URUCA</w:t>
            </w:r>
          </w:p>
        </w:tc>
        <w:tc>
          <w:tcPr>
            <w:tcW w:w="1572" w:type="dxa"/>
            <w:noWrap/>
            <w:tcMar>
              <w:top w:w="0" w:type="dxa"/>
              <w:left w:w="70" w:type="dxa"/>
              <w:bottom w:w="0" w:type="dxa"/>
              <w:right w:w="70" w:type="dxa"/>
            </w:tcMar>
            <w:vAlign w:val="center"/>
            <w:hideMark/>
          </w:tcPr>
          <w:p w14:paraId="3CA7F079"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TRAFO 2</w:t>
            </w:r>
          </w:p>
        </w:tc>
        <w:tc>
          <w:tcPr>
            <w:tcW w:w="1843" w:type="dxa"/>
            <w:noWrap/>
            <w:tcMar>
              <w:top w:w="0" w:type="dxa"/>
              <w:left w:w="70" w:type="dxa"/>
              <w:bottom w:w="0" w:type="dxa"/>
              <w:right w:w="70" w:type="dxa"/>
            </w:tcMar>
            <w:vAlign w:val="center"/>
            <w:hideMark/>
          </w:tcPr>
          <w:p w14:paraId="3CA7F07A"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15/20</w:t>
            </w:r>
          </w:p>
        </w:tc>
        <w:tc>
          <w:tcPr>
            <w:tcW w:w="1701" w:type="dxa"/>
            <w:tcBorders>
              <w:top w:val="nil"/>
              <w:left w:val="nil"/>
              <w:bottom w:val="nil"/>
              <w:right w:val="single" w:sz="8" w:space="0" w:color="auto"/>
            </w:tcBorders>
            <w:noWrap/>
            <w:tcMar>
              <w:top w:w="0" w:type="dxa"/>
              <w:left w:w="70" w:type="dxa"/>
              <w:bottom w:w="0" w:type="dxa"/>
              <w:right w:w="70" w:type="dxa"/>
            </w:tcMar>
            <w:vAlign w:val="center"/>
            <w:hideMark/>
          </w:tcPr>
          <w:p w14:paraId="3CA7F07B"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34,5/13,8</w:t>
            </w:r>
          </w:p>
        </w:tc>
      </w:tr>
      <w:tr w:rsidR="00CF707D" w:rsidRPr="00205C60" w14:paraId="3CA7F081" w14:textId="77777777" w:rsidTr="00CF63A6">
        <w:trPr>
          <w:trHeight w:val="255"/>
        </w:trPr>
        <w:tc>
          <w:tcPr>
            <w:tcW w:w="2015" w:type="dxa"/>
            <w:tcBorders>
              <w:top w:val="nil"/>
              <w:left w:val="single" w:sz="8" w:space="0" w:color="auto"/>
              <w:bottom w:val="nil"/>
              <w:right w:val="nil"/>
            </w:tcBorders>
            <w:noWrap/>
            <w:tcMar>
              <w:top w:w="0" w:type="dxa"/>
              <w:left w:w="70" w:type="dxa"/>
              <w:bottom w:w="0" w:type="dxa"/>
              <w:right w:w="70" w:type="dxa"/>
            </w:tcMar>
            <w:vAlign w:val="center"/>
            <w:hideMark/>
          </w:tcPr>
          <w:p w14:paraId="3CA7F07D"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URUCA (SUBTERRANEO)</w:t>
            </w:r>
          </w:p>
        </w:tc>
        <w:tc>
          <w:tcPr>
            <w:tcW w:w="1572" w:type="dxa"/>
            <w:noWrap/>
            <w:tcMar>
              <w:top w:w="0" w:type="dxa"/>
              <w:left w:w="70" w:type="dxa"/>
              <w:bottom w:w="0" w:type="dxa"/>
              <w:right w:w="70" w:type="dxa"/>
            </w:tcMar>
            <w:vAlign w:val="center"/>
            <w:hideMark/>
          </w:tcPr>
          <w:p w14:paraId="3CA7F07E"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TRAFO 1</w:t>
            </w:r>
          </w:p>
        </w:tc>
        <w:tc>
          <w:tcPr>
            <w:tcW w:w="1843" w:type="dxa"/>
            <w:noWrap/>
            <w:tcMar>
              <w:top w:w="0" w:type="dxa"/>
              <w:left w:w="70" w:type="dxa"/>
              <w:bottom w:w="0" w:type="dxa"/>
              <w:right w:w="70" w:type="dxa"/>
            </w:tcMar>
            <w:vAlign w:val="center"/>
            <w:hideMark/>
          </w:tcPr>
          <w:p w14:paraId="3CA7F07F"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10/20</w:t>
            </w:r>
          </w:p>
        </w:tc>
        <w:tc>
          <w:tcPr>
            <w:tcW w:w="1701" w:type="dxa"/>
            <w:tcBorders>
              <w:top w:val="nil"/>
              <w:left w:val="nil"/>
              <w:bottom w:val="nil"/>
              <w:right w:val="single" w:sz="8" w:space="0" w:color="auto"/>
            </w:tcBorders>
            <w:noWrap/>
            <w:tcMar>
              <w:top w:w="0" w:type="dxa"/>
              <w:left w:w="70" w:type="dxa"/>
              <w:bottom w:w="0" w:type="dxa"/>
              <w:right w:w="70" w:type="dxa"/>
            </w:tcMar>
            <w:vAlign w:val="center"/>
            <w:hideMark/>
          </w:tcPr>
          <w:p w14:paraId="3CA7F080"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138/13,8</w:t>
            </w:r>
          </w:p>
        </w:tc>
      </w:tr>
      <w:tr w:rsidR="00CF707D" w:rsidRPr="00205C60" w14:paraId="3CA7F086" w14:textId="77777777" w:rsidTr="00CF63A6">
        <w:trPr>
          <w:trHeight w:val="255"/>
        </w:trPr>
        <w:tc>
          <w:tcPr>
            <w:tcW w:w="2015" w:type="dxa"/>
            <w:tcBorders>
              <w:top w:val="nil"/>
              <w:left w:val="single" w:sz="8" w:space="0" w:color="auto"/>
              <w:bottom w:val="nil"/>
              <w:right w:val="nil"/>
            </w:tcBorders>
            <w:noWrap/>
            <w:tcMar>
              <w:top w:w="0" w:type="dxa"/>
              <w:left w:w="70" w:type="dxa"/>
              <w:bottom w:w="0" w:type="dxa"/>
              <w:right w:w="70" w:type="dxa"/>
            </w:tcMar>
            <w:vAlign w:val="center"/>
            <w:hideMark/>
          </w:tcPr>
          <w:p w14:paraId="3CA7F082"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URUCA (SUBTERRANEO)</w:t>
            </w:r>
          </w:p>
        </w:tc>
        <w:tc>
          <w:tcPr>
            <w:tcW w:w="1572" w:type="dxa"/>
            <w:noWrap/>
            <w:tcMar>
              <w:top w:w="0" w:type="dxa"/>
              <w:left w:w="70" w:type="dxa"/>
              <w:bottom w:w="0" w:type="dxa"/>
              <w:right w:w="70" w:type="dxa"/>
            </w:tcMar>
            <w:vAlign w:val="center"/>
            <w:hideMark/>
          </w:tcPr>
          <w:p w14:paraId="3CA7F083"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TRAFO 2</w:t>
            </w:r>
          </w:p>
        </w:tc>
        <w:tc>
          <w:tcPr>
            <w:tcW w:w="1843" w:type="dxa"/>
            <w:noWrap/>
            <w:tcMar>
              <w:top w:w="0" w:type="dxa"/>
              <w:left w:w="70" w:type="dxa"/>
              <w:bottom w:w="0" w:type="dxa"/>
              <w:right w:w="70" w:type="dxa"/>
            </w:tcMar>
            <w:vAlign w:val="center"/>
            <w:hideMark/>
          </w:tcPr>
          <w:p w14:paraId="3CA7F084"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10/20</w:t>
            </w:r>
          </w:p>
        </w:tc>
        <w:tc>
          <w:tcPr>
            <w:tcW w:w="1701" w:type="dxa"/>
            <w:tcBorders>
              <w:top w:val="nil"/>
              <w:left w:val="nil"/>
              <w:bottom w:val="nil"/>
              <w:right w:val="single" w:sz="8" w:space="0" w:color="auto"/>
            </w:tcBorders>
            <w:noWrap/>
            <w:tcMar>
              <w:top w:w="0" w:type="dxa"/>
              <w:left w:w="70" w:type="dxa"/>
              <w:bottom w:w="0" w:type="dxa"/>
              <w:right w:w="70" w:type="dxa"/>
            </w:tcMar>
            <w:vAlign w:val="center"/>
            <w:hideMark/>
          </w:tcPr>
          <w:p w14:paraId="3CA7F085"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138//13,8</w:t>
            </w:r>
          </w:p>
        </w:tc>
      </w:tr>
      <w:tr w:rsidR="00CF707D" w:rsidRPr="00205C60" w14:paraId="3CA7F08B" w14:textId="77777777" w:rsidTr="00CF63A6">
        <w:trPr>
          <w:trHeight w:val="255"/>
        </w:trPr>
        <w:tc>
          <w:tcPr>
            <w:tcW w:w="2015" w:type="dxa"/>
            <w:tcBorders>
              <w:top w:val="nil"/>
              <w:left w:val="single" w:sz="8" w:space="0" w:color="auto"/>
              <w:bottom w:val="nil"/>
              <w:right w:val="nil"/>
            </w:tcBorders>
            <w:noWrap/>
            <w:tcMar>
              <w:top w:w="0" w:type="dxa"/>
              <w:left w:w="70" w:type="dxa"/>
              <w:bottom w:w="0" w:type="dxa"/>
              <w:right w:w="70" w:type="dxa"/>
            </w:tcMar>
            <w:vAlign w:val="center"/>
            <w:hideMark/>
          </w:tcPr>
          <w:p w14:paraId="3CA7F087"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GUADALUPE</w:t>
            </w:r>
          </w:p>
        </w:tc>
        <w:tc>
          <w:tcPr>
            <w:tcW w:w="1572" w:type="dxa"/>
            <w:noWrap/>
            <w:tcMar>
              <w:top w:w="0" w:type="dxa"/>
              <w:left w:w="70" w:type="dxa"/>
              <w:bottom w:w="0" w:type="dxa"/>
              <w:right w:w="70" w:type="dxa"/>
            </w:tcMar>
            <w:vAlign w:val="center"/>
            <w:hideMark/>
          </w:tcPr>
          <w:p w14:paraId="3CA7F088"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TRAFO 1</w:t>
            </w:r>
          </w:p>
        </w:tc>
        <w:tc>
          <w:tcPr>
            <w:tcW w:w="1843" w:type="dxa"/>
            <w:noWrap/>
            <w:tcMar>
              <w:top w:w="0" w:type="dxa"/>
              <w:left w:w="70" w:type="dxa"/>
              <w:bottom w:w="0" w:type="dxa"/>
              <w:right w:w="70" w:type="dxa"/>
            </w:tcMar>
            <w:vAlign w:val="center"/>
            <w:hideMark/>
          </w:tcPr>
          <w:p w14:paraId="3CA7F089"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10/14</w:t>
            </w:r>
          </w:p>
        </w:tc>
        <w:tc>
          <w:tcPr>
            <w:tcW w:w="1701" w:type="dxa"/>
            <w:tcBorders>
              <w:top w:val="nil"/>
              <w:left w:val="nil"/>
              <w:bottom w:val="nil"/>
              <w:right w:val="single" w:sz="8" w:space="0" w:color="auto"/>
            </w:tcBorders>
            <w:noWrap/>
            <w:tcMar>
              <w:top w:w="0" w:type="dxa"/>
              <w:left w:w="70" w:type="dxa"/>
              <w:bottom w:w="0" w:type="dxa"/>
              <w:right w:w="70" w:type="dxa"/>
            </w:tcMar>
            <w:vAlign w:val="center"/>
            <w:hideMark/>
          </w:tcPr>
          <w:p w14:paraId="3CA7F08A"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34,5/13,8</w:t>
            </w:r>
          </w:p>
        </w:tc>
      </w:tr>
      <w:tr w:rsidR="00CF707D" w:rsidRPr="00205C60" w14:paraId="3CA7F090" w14:textId="77777777" w:rsidTr="00CF63A6">
        <w:trPr>
          <w:trHeight w:val="255"/>
        </w:trPr>
        <w:tc>
          <w:tcPr>
            <w:tcW w:w="2015" w:type="dxa"/>
            <w:tcBorders>
              <w:top w:val="nil"/>
              <w:left w:val="single" w:sz="8" w:space="0" w:color="auto"/>
              <w:bottom w:val="nil"/>
              <w:right w:val="nil"/>
            </w:tcBorders>
            <w:noWrap/>
            <w:tcMar>
              <w:top w:w="0" w:type="dxa"/>
              <w:left w:w="70" w:type="dxa"/>
              <w:bottom w:w="0" w:type="dxa"/>
              <w:right w:w="70" w:type="dxa"/>
            </w:tcMar>
            <w:vAlign w:val="center"/>
            <w:hideMark/>
          </w:tcPr>
          <w:p w14:paraId="3CA7F08C"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lastRenderedPageBreak/>
              <w:t>GUADALUPE</w:t>
            </w:r>
          </w:p>
        </w:tc>
        <w:tc>
          <w:tcPr>
            <w:tcW w:w="1572" w:type="dxa"/>
            <w:noWrap/>
            <w:tcMar>
              <w:top w:w="0" w:type="dxa"/>
              <w:left w:w="70" w:type="dxa"/>
              <w:bottom w:w="0" w:type="dxa"/>
              <w:right w:w="70" w:type="dxa"/>
            </w:tcMar>
            <w:vAlign w:val="center"/>
            <w:hideMark/>
          </w:tcPr>
          <w:p w14:paraId="3CA7F08D"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TRAFO 2</w:t>
            </w:r>
          </w:p>
        </w:tc>
        <w:tc>
          <w:tcPr>
            <w:tcW w:w="1843" w:type="dxa"/>
            <w:noWrap/>
            <w:tcMar>
              <w:top w:w="0" w:type="dxa"/>
              <w:left w:w="70" w:type="dxa"/>
              <w:bottom w:w="0" w:type="dxa"/>
              <w:right w:w="70" w:type="dxa"/>
            </w:tcMar>
            <w:vAlign w:val="center"/>
            <w:hideMark/>
          </w:tcPr>
          <w:p w14:paraId="3CA7F08E"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10/14</w:t>
            </w:r>
          </w:p>
        </w:tc>
        <w:tc>
          <w:tcPr>
            <w:tcW w:w="1701" w:type="dxa"/>
            <w:tcBorders>
              <w:top w:val="nil"/>
              <w:left w:val="nil"/>
              <w:bottom w:val="nil"/>
              <w:right w:val="single" w:sz="8" w:space="0" w:color="auto"/>
            </w:tcBorders>
            <w:noWrap/>
            <w:tcMar>
              <w:top w:w="0" w:type="dxa"/>
              <w:left w:w="70" w:type="dxa"/>
              <w:bottom w:w="0" w:type="dxa"/>
              <w:right w:w="70" w:type="dxa"/>
            </w:tcMar>
            <w:vAlign w:val="center"/>
            <w:hideMark/>
          </w:tcPr>
          <w:p w14:paraId="3CA7F08F"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34,5/13,8</w:t>
            </w:r>
          </w:p>
        </w:tc>
      </w:tr>
      <w:tr w:rsidR="00CF707D" w:rsidRPr="00205C60" w14:paraId="3CA7F095" w14:textId="77777777" w:rsidTr="00CF63A6">
        <w:trPr>
          <w:trHeight w:val="255"/>
        </w:trPr>
        <w:tc>
          <w:tcPr>
            <w:tcW w:w="2015" w:type="dxa"/>
            <w:tcBorders>
              <w:top w:val="nil"/>
              <w:left w:val="single" w:sz="8" w:space="0" w:color="auto"/>
              <w:bottom w:val="nil"/>
              <w:right w:val="nil"/>
            </w:tcBorders>
            <w:noWrap/>
            <w:tcMar>
              <w:top w:w="0" w:type="dxa"/>
              <w:left w:w="70" w:type="dxa"/>
              <w:bottom w:w="0" w:type="dxa"/>
              <w:right w:w="70" w:type="dxa"/>
            </w:tcMar>
            <w:vAlign w:val="center"/>
            <w:hideMark/>
          </w:tcPr>
          <w:p w14:paraId="3CA7F091"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GUADALUPE (SUBTERRANEO)</w:t>
            </w:r>
          </w:p>
        </w:tc>
        <w:tc>
          <w:tcPr>
            <w:tcW w:w="1572" w:type="dxa"/>
            <w:noWrap/>
            <w:tcMar>
              <w:top w:w="0" w:type="dxa"/>
              <w:left w:w="70" w:type="dxa"/>
              <w:bottom w:w="0" w:type="dxa"/>
              <w:right w:w="70" w:type="dxa"/>
            </w:tcMar>
            <w:vAlign w:val="center"/>
            <w:hideMark/>
          </w:tcPr>
          <w:p w14:paraId="3CA7F092"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TRAFO 1</w:t>
            </w:r>
          </w:p>
        </w:tc>
        <w:tc>
          <w:tcPr>
            <w:tcW w:w="1843" w:type="dxa"/>
            <w:noWrap/>
            <w:tcMar>
              <w:top w:w="0" w:type="dxa"/>
              <w:left w:w="70" w:type="dxa"/>
              <w:bottom w:w="0" w:type="dxa"/>
              <w:right w:w="70" w:type="dxa"/>
            </w:tcMar>
            <w:vAlign w:val="center"/>
            <w:hideMark/>
          </w:tcPr>
          <w:p w14:paraId="3CA7F093"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10/20</w:t>
            </w:r>
          </w:p>
        </w:tc>
        <w:tc>
          <w:tcPr>
            <w:tcW w:w="1701" w:type="dxa"/>
            <w:tcBorders>
              <w:top w:val="nil"/>
              <w:left w:val="nil"/>
              <w:bottom w:val="nil"/>
              <w:right w:val="single" w:sz="8" w:space="0" w:color="auto"/>
            </w:tcBorders>
            <w:noWrap/>
            <w:tcMar>
              <w:top w:w="0" w:type="dxa"/>
              <w:left w:w="70" w:type="dxa"/>
              <w:bottom w:w="0" w:type="dxa"/>
              <w:right w:w="70" w:type="dxa"/>
            </w:tcMar>
            <w:vAlign w:val="center"/>
            <w:hideMark/>
          </w:tcPr>
          <w:p w14:paraId="3CA7F094"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138/13,8</w:t>
            </w:r>
          </w:p>
        </w:tc>
      </w:tr>
      <w:tr w:rsidR="00CF707D" w:rsidRPr="00205C60" w14:paraId="3CA7F09A" w14:textId="77777777" w:rsidTr="00CF63A6">
        <w:trPr>
          <w:trHeight w:val="255"/>
        </w:trPr>
        <w:tc>
          <w:tcPr>
            <w:tcW w:w="2015" w:type="dxa"/>
            <w:tcBorders>
              <w:top w:val="nil"/>
              <w:left w:val="single" w:sz="8" w:space="0" w:color="auto"/>
              <w:bottom w:val="nil"/>
              <w:right w:val="nil"/>
            </w:tcBorders>
            <w:noWrap/>
            <w:tcMar>
              <w:top w:w="0" w:type="dxa"/>
              <w:left w:w="70" w:type="dxa"/>
              <w:bottom w:w="0" w:type="dxa"/>
              <w:right w:w="70" w:type="dxa"/>
            </w:tcMar>
            <w:vAlign w:val="center"/>
            <w:hideMark/>
          </w:tcPr>
          <w:p w14:paraId="3CA7F096"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GUADALUPE (SUBTERRANEO)</w:t>
            </w:r>
          </w:p>
        </w:tc>
        <w:tc>
          <w:tcPr>
            <w:tcW w:w="1572" w:type="dxa"/>
            <w:noWrap/>
            <w:tcMar>
              <w:top w:w="0" w:type="dxa"/>
              <w:left w:w="70" w:type="dxa"/>
              <w:bottom w:w="0" w:type="dxa"/>
              <w:right w:w="70" w:type="dxa"/>
            </w:tcMar>
            <w:vAlign w:val="center"/>
            <w:hideMark/>
          </w:tcPr>
          <w:p w14:paraId="3CA7F097"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TRAFO 2</w:t>
            </w:r>
          </w:p>
        </w:tc>
        <w:tc>
          <w:tcPr>
            <w:tcW w:w="1843" w:type="dxa"/>
            <w:noWrap/>
            <w:tcMar>
              <w:top w:w="0" w:type="dxa"/>
              <w:left w:w="70" w:type="dxa"/>
              <w:bottom w:w="0" w:type="dxa"/>
              <w:right w:w="70" w:type="dxa"/>
            </w:tcMar>
            <w:vAlign w:val="center"/>
            <w:hideMark/>
          </w:tcPr>
          <w:p w14:paraId="3CA7F098"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10/20</w:t>
            </w:r>
          </w:p>
        </w:tc>
        <w:tc>
          <w:tcPr>
            <w:tcW w:w="1701" w:type="dxa"/>
            <w:tcBorders>
              <w:top w:val="nil"/>
              <w:left w:val="nil"/>
              <w:bottom w:val="nil"/>
              <w:right w:val="single" w:sz="8" w:space="0" w:color="auto"/>
            </w:tcBorders>
            <w:noWrap/>
            <w:tcMar>
              <w:top w:w="0" w:type="dxa"/>
              <w:left w:w="70" w:type="dxa"/>
              <w:bottom w:w="0" w:type="dxa"/>
              <w:right w:w="70" w:type="dxa"/>
            </w:tcMar>
            <w:vAlign w:val="center"/>
            <w:hideMark/>
          </w:tcPr>
          <w:p w14:paraId="3CA7F099"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138/13,8</w:t>
            </w:r>
          </w:p>
        </w:tc>
      </w:tr>
      <w:tr w:rsidR="00CF707D" w:rsidRPr="00205C60" w14:paraId="3CA7F09F" w14:textId="77777777" w:rsidTr="00CF63A6">
        <w:trPr>
          <w:trHeight w:val="255"/>
        </w:trPr>
        <w:tc>
          <w:tcPr>
            <w:tcW w:w="2015" w:type="dxa"/>
            <w:tcBorders>
              <w:top w:val="nil"/>
              <w:left w:val="single" w:sz="8" w:space="0" w:color="auto"/>
              <w:bottom w:val="nil"/>
              <w:right w:val="nil"/>
            </w:tcBorders>
            <w:noWrap/>
            <w:tcMar>
              <w:top w:w="0" w:type="dxa"/>
              <w:left w:w="70" w:type="dxa"/>
              <w:bottom w:w="0" w:type="dxa"/>
              <w:right w:w="70" w:type="dxa"/>
            </w:tcMar>
            <w:vAlign w:val="center"/>
            <w:hideMark/>
          </w:tcPr>
          <w:p w14:paraId="3CA7F09B"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SUR</w:t>
            </w:r>
          </w:p>
        </w:tc>
        <w:tc>
          <w:tcPr>
            <w:tcW w:w="1572" w:type="dxa"/>
            <w:noWrap/>
            <w:tcMar>
              <w:top w:w="0" w:type="dxa"/>
              <w:left w:w="70" w:type="dxa"/>
              <w:bottom w:w="0" w:type="dxa"/>
              <w:right w:w="70" w:type="dxa"/>
            </w:tcMar>
            <w:vAlign w:val="center"/>
            <w:hideMark/>
          </w:tcPr>
          <w:p w14:paraId="3CA7F09C"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TRAFO 1</w:t>
            </w:r>
          </w:p>
        </w:tc>
        <w:tc>
          <w:tcPr>
            <w:tcW w:w="1843" w:type="dxa"/>
            <w:noWrap/>
            <w:tcMar>
              <w:top w:w="0" w:type="dxa"/>
              <w:left w:w="70" w:type="dxa"/>
              <w:bottom w:w="0" w:type="dxa"/>
              <w:right w:w="70" w:type="dxa"/>
            </w:tcMar>
            <w:vAlign w:val="center"/>
            <w:hideMark/>
          </w:tcPr>
          <w:p w14:paraId="3CA7F09D"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10/14</w:t>
            </w:r>
          </w:p>
        </w:tc>
        <w:tc>
          <w:tcPr>
            <w:tcW w:w="1701" w:type="dxa"/>
            <w:tcBorders>
              <w:top w:val="nil"/>
              <w:left w:val="nil"/>
              <w:bottom w:val="nil"/>
              <w:right w:val="single" w:sz="8" w:space="0" w:color="auto"/>
            </w:tcBorders>
            <w:noWrap/>
            <w:tcMar>
              <w:top w:w="0" w:type="dxa"/>
              <w:left w:w="70" w:type="dxa"/>
              <w:bottom w:w="0" w:type="dxa"/>
              <w:right w:w="70" w:type="dxa"/>
            </w:tcMar>
            <w:vAlign w:val="center"/>
            <w:hideMark/>
          </w:tcPr>
          <w:p w14:paraId="3CA7F09E"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34,5/13,8</w:t>
            </w:r>
          </w:p>
        </w:tc>
      </w:tr>
      <w:tr w:rsidR="00CF707D" w:rsidRPr="00205C60" w14:paraId="3CA7F0A4" w14:textId="77777777" w:rsidTr="00CF63A6">
        <w:trPr>
          <w:trHeight w:val="255"/>
        </w:trPr>
        <w:tc>
          <w:tcPr>
            <w:tcW w:w="2015" w:type="dxa"/>
            <w:tcBorders>
              <w:top w:val="nil"/>
              <w:left w:val="single" w:sz="8" w:space="0" w:color="auto"/>
              <w:bottom w:val="nil"/>
              <w:right w:val="nil"/>
            </w:tcBorders>
            <w:noWrap/>
            <w:tcMar>
              <w:top w:w="0" w:type="dxa"/>
              <w:left w:w="70" w:type="dxa"/>
              <w:bottom w:w="0" w:type="dxa"/>
              <w:right w:w="70" w:type="dxa"/>
            </w:tcMar>
            <w:vAlign w:val="center"/>
            <w:hideMark/>
          </w:tcPr>
          <w:p w14:paraId="3CA7F0A0"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SUR</w:t>
            </w:r>
          </w:p>
        </w:tc>
        <w:tc>
          <w:tcPr>
            <w:tcW w:w="1572" w:type="dxa"/>
            <w:noWrap/>
            <w:tcMar>
              <w:top w:w="0" w:type="dxa"/>
              <w:left w:w="70" w:type="dxa"/>
              <w:bottom w:w="0" w:type="dxa"/>
              <w:right w:w="70" w:type="dxa"/>
            </w:tcMar>
            <w:vAlign w:val="center"/>
            <w:hideMark/>
          </w:tcPr>
          <w:p w14:paraId="3CA7F0A1"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TRAFO 2</w:t>
            </w:r>
          </w:p>
        </w:tc>
        <w:tc>
          <w:tcPr>
            <w:tcW w:w="1843" w:type="dxa"/>
            <w:noWrap/>
            <w:tcMar>
              <w:top w:w="0" w:type="dxa"/>
              <w:left w:w="70" w:type="dxa"/>
              <w:bottom w:w="0" w:type="dxa"/>
              <w:right w:w="70" w:type="dxa"/>
            </w:tcMar>
            <w:vAlign w:val="center"/>
            <w:hideMark/>
          </w:tcPr>
          <w:p w14:paraId="3CA7F0A2"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10/14</w:t>
            </w:r>
          </w:p>
        </w:tc>
        <w:tc>
          <w:tcPr>
            <w:tcW w:w="1701" w:type="dxa"/>
            <w:tcBorders>
              <w:top w:val="nil"/>
              <w:left w:val="nil"/>
              <w:bottom w:val="nil"/>
              <w:right w:val="single" w:sz="8" w:space="0" w:color="auto"/>
            </w:tcBorders>
            <w:noWrap/>
            <w:tcMar>
              <w:top w:w="0" w:type="dxa"/>
              <w:left w:w="70" w:type="dxa"/>
              <w:bottom w:w="0" w:type="dxa"/>
              <w:right w:w="70" w:type="dxa"/>
            </w:tcMar>
            <w:vAlign w:val="center"/>
            <w:hideMark/>
          </w:tcPr>
          <w:p w14:paraId="3CA7F0A3"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34,5/13,8</w:t>
            </w:r>
          </w:p>
        </w:tc>
      </w:tr>
      <w:tr w:rsidR="00CF707D" w:rsidRPr="00205C60" w14:paraId="3CA7F0A9" w14:textId="77777777" w:rsidTr="00CF63A6">
        <w:trPr>
          <w:trHeight w:val="255"/>
        </w:trPr>
        <w:tc>
          <w:tcPr>
            <w:tcW w:w="2015" w:type="dxa"/>
            <w:tcBorders>
              <w:top w:val="nil"/>
              <w:left w:val="single" w:sz="8" w:space="0" w:color="auto"/>
              <w:bottom w:val="nil"/>
              <w:right w:val="nil"/>
            </w:tcBorders>
            <w:noWrap/>
            <w:tcMar>
              <w:top w:w="0" w:type="dxa"/>
              <w:left w:w="70" w:type="dxa"/>
              <w:bottom w:w="0" w:type="dxa"/>
              <w:right w:w="70" w:type="dxa"/>
            </w:tcMar>
            <w:vAlign w:val="center"/>
            <w:hideMark/>
          </w:tcPr>
          <w:p w14:paraId="3CA7F0A5"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SUR</w:t>
            </w:r>
          </w:p>
        </w:tc>
        <w:tc>
          <w:tcPr>
            <w:tcW w:w="1572" w:type="dxa"/>
            <w:noWrap/>
            <w:tcMar>
              <w:top w:w="0" w:type="dxa"/>
              <w:left w:w="70" w:type="dxa"/>
              <w:bottom w:w="0" w:type="dxa"/>
              <w:right w:w="70" w:type="dxa"/>
            </w:tcMar>
            <w:vAlign w:val="center"/>
            <w:hideMark/>
          </w:tcPr>
          <w:p w14:paraId="3CA7F0A6"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TRAFO 3</w:t>
            </w:r>
          </w:p>
        </w:tc>
        <w:tc>
          <w:tcPr>
            <w:tcW w:w="1843" w:type="dxa"/>
            <w:noWrap/>
            <w:tcMar>
              <w:top w:w="0" w:type="dxa"/>
              <w:left w:w="70" w:type="dxa"/>
              <w:bottom w:w="0" w:type="dxa"/>
              <w:right w:w="70" w:type="dxa"/>
            </w:tcMar>
            <w:vAlign w:val="center"/>
            <w:hideMark/>
          </w:tcPr>
          <w:p w14:paraId="3CA7F0A7"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15/20</w:t>
            </w:r>
          </w:p>
        </w:tc>
        <w:tc>
          <w:tcPr>
            <w:tcW w:w="1701" w:type="dxa"/>
            <w:tcBorders>
              <w:top w:val="nil"/>
              <w:left w:val="nil"/>
              <w:bottom w:val="nil"/>
              <w:right w:val="single" w:sz="8" w:space="0" w:color="auto"/>
            </w:tcBorders>
            <w:noWrap/>
            <w:tcMar>
              <w:top w:w="0" w:type="dxa"/>
              <w:left w:w="70" w:type="dxa"/>
              <w:bottom w:w="0" w:type="dxa"/>
              <w:right w:w="70" w:type="dxa"/>
            </w:tcMar>
            <w:vAlign w:val="center"/>
            <w:hideMark/>
          </w:tcPr>
          <w:p w14:paraId="3CA7F0A8"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34,5/13,8</w:t>
            </w:r>
          </w:p>
        </w:tc>
      </w:tr>
      <w:tr w:rsidR="00CF707D" w:rsidRPr="00205C60" w14:paraId="3CA7F0AE" w14:textId="77777777" w:rsidTr="00CF63A6">
        <w:trPr>
          <w:trHeight w:val="255"/>
        </w:trPr>
        <w:tc>
          <w:tcPr>
            <w:tcW w:w="2015" w:type="dxa"/>
            <w:tcBorders>
              <w:top w:val="nil"/>
              <w:left w:val="single" w:sz="8" w:space="0" w:color="auto"/>
              <w:bottom w:val="nil"/>
              <w:right w:val="nil"/>
            </w:tcBorders>
            <w:noWrap/>
            <w:tcMar>
              <w:top w:w="0" w:type="dxa"/>
              <w:left w:w="70" w:type="dxa"/>
              <w:bottom w:w="0" w:type="dxa"/>
              <w:right w:w="70" w:type="dxa"/>
            </w:tcMar>
            <w:vAlign w:val="center"/>
            <w:hideMark/>
          </w:tcPr>
          <w:p w14:paraId="3CA7F0AA"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PRIMER AMOR</w:t>
            </w:r>
          </w:p>
        </w:tc>
        <w:tc>
          <w:tcPr>
            <w:tcW w:w="1572" w:type="dxa"/>
            <w:noWrap/>
            <w:tcMar>
              <w:top w:w="0" w:type="dxa"/>
              <w:left w:w="70" w:type="dxa"/>
              <w:bottom w:w="0" w:type="dxa"/>
              <w:right w:w="70" w:type="dxa"/>
            </w:tcMar>
            <w:vAlign w:val="center"/>
            <w:hideMark/>
          </w:tcPr>
          <w:p w14:paraId="3CA7F0AB"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TRAFO 1</w:t>
            </w:r>
          </w:p>
        </w:tc>
        <w:tc>
          <w:tcPr>
            <w:tcW w:w="1843" w:type="dxa"/>
            <w:noWrap/>
            <w:tcMar>
              <w:top w:w="0" w:type="dxa"/>
              <w:left w:w="70" w:type="dxa"/>
              <w:bottom w:w="0" w:type="dxa"/>
              <w:right w:w="70" w:type="dxa"/>
            </w:tcMar>
            <w:vAlign w:val="center"/>
            <w:hideMark/>
          </w:tcPr>
          <w:p w14:paraId="3CA7F0AC"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10/14</w:t>
            </w:r>
          </w:p>
        </w:tc>
        <w:tc>
          <w:tcPr>
            <w:tcW w:w="1701" w:type="dxa"/>
            <w:tcBorders>
              <w:top w:val="nil"/>
              <w:left w:val="nil"/>
              <w:bottom w:val="nil"/>
              <w:right w:val="single" w:sz="8" w:space="0" w:color="auto"/>
            </w:tcBorders>
            <w:noWrap/>
            <w:tcMar>
              <w:top w:w="0" w:type="dxa"/>
              <w:left w:w="70" w:type="dxa"/>
              <w:bottom w:w="0" w:type="dxa"/>
              <w:right w:w="70" w:type="dxa"/>
            </w:tcMar>
            <w:vAlign w:val="center"/>
            <w:hideMark/>
          </w:tcPr>
          <w:p w14:paraId="3CA7F0AD"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34,5/13,8</w:t>
            </w:r>
          </w:p>
        </w:tc>
      </w:tr>
      <w:tr w:rsidR="00CF707D" w:rsidRPr="00205C60" w14:paraId="3CA7F0B3" w14:textId="77777777" w:rsidTr="00CF63A6">
        <w:trPr>
          <w:trHeight w:val="255"/>
        </w:trPr>
        <w:tc>
          <w:tcPr>
            <w:tcW w:w="2015" w:type="dxa"/>
            <w:tcBorders>
              <w:top w:val="nil"/>
              <w:left w:val="single" w:sz="8" w:space="0" w:color="auto"/>
              <w:bottom w:val="nil"/>
              <w:right w:val="nil"/>
            </w:tcBorders>
            <w:noWrap/>
            <w:tcMar>
              <w:top w:w="0" w:type="dxa"/>
              <w:left w:w="70" w:type="dxa"/>
              <w:bottom w:w="0" w:type="dxa"/>
              <w:right w:w="70" w:type="dxa"/>
            </w:tcMar>
            <w:vAlign w:val="center"/>
            <w:hideMark/>
          </w:tcPr>
          <w:p w14:paraId="3CA7F0AF"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CURRIDABAT</w:t>
            </w:r>
          </w:p>
        </w:tc>
        <w:tc>
          <w:tcPr>
            <w:tcW w:w="1572" w:type="dxa"/>
            <w:noWrap/>
            <w:tcMar>
              <w:top w:w="0" w:type="dxa"/>
              <w:left w:w="70" w:type="dxa"/>
              <w:bottom w:w="0" w:type="dxa"/>
              <w:right w:w="70" w:type="dxa"/>
            </w:tcMar>
            <w:vAlign w:val="center"/>
            <w:hideMark/>
          </w:tcPr>
          <w:p w14:paraId="3CA7F0B0"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TRAFO 1</w:t>
            </w:r>
          </w:p>
        </w:tc>
        <w:tc>
          <w:tcPr>
            <w:tcW w:w="1843" w:type="dxa"/>
            <w:noWrap/>
            <w:tcMar>
              <w:top w:w="0" w:type="dxa"/>
              <w:left w:w="70" w:type="dxa"/>
              <w:bottom w:w="0" w:type="dxa"/>
              <w:right w:w="70" w:type="dxa"/>
            </w:tcMar>
            <w:vAlign w:val="center"/>
            <w:hideMark/>
          </w:tcPr>
          <w:p w14:paraId="3CA7F0B1"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8,4/10,5</w:t>
            </w:r>
          </w:p>
        </w:tc>
        <w:tc>
          <w:tcPr>
            <w:tcW w:w="1701" w:type="dxa"/>
            <w:tcBorders>
              <w:top w:val="nil"/>
              <w:left w:val="nil"/>
              <w:bottom w:val="nil"/>
              <w:right w:val="single" w:sz="8" w:space="0" w:color="auto"/>
            </w:tcBorders>
            <w:noWrap/>
            <w:tcMar>
              <w:top w:w="0" w:type="dxa"/>
              <w:left w:w="70" w:type="dxa"/>
              <w:bottom w:w="0" w:type="dxa"/>
              <w:right w:w="70" w:type="dxa"/>
            </w:tcMar>
            <w:vAlign w:val="center"/>
            <w:hideMark/>
          </w:tcPr>
          <w:p w14:paraId="3CA7F0B2"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34,5/13,8</w:t>
            </w:r>
          </w:p>
        </w:tc>
      </w:tr>
      <w:tr w:rsidR="00CF707D" w:rsidRPr="00205C60" w14:paraId="3CA7F0B8" w14:textId="77777777" w:rsidTr="00CF63A6">
        <w:trPr>
          <w:trHeight w:val="255"/>
        </w:trPr>
        <w:tc>
          <w:tcPr>
            <w:tcW w:w="2015" w:type="dxa"/>
            <w:tcBorders>
              <w:top w:val="nil"/>
              <w:left w:val="single" w:sz="8" w:space="0" w:color="auto"/>
              <w:bottom w:val="nil"/>
              <w:right w:val="nil"/>
            </w:tcBorders>
            <w:noWrap/>
            <w:tcMar>
              <w:top w:w="0" w:type="dxa"/>
              <w:left w:w="70" w:type="dxa"/>
              <w:bottom w:w="0" w:type="dxa"/>
              <w:right w:w="70" w:type="dxa"/>
            </w:tcMar>
            <w:vAlign w:val="center"/>
            <w:hideMark/>
          </w:tcPr>
          <w:p w14:paraId="3CA7F0B4"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BARVA</w:t>
            </w:r>
          </w:p>
        </w:tc>
        <w:tc>
          <w:tcPr>
            <w:tcW w:w="1572" w:type="dxa"/>
            <w:noWrap/>
            <w:tcMar>
              <w:top w:w="0" w:type="dxa"/>
              <w:left w:w="70" w:type="dxa"/>
              <w:bottom w:w="0" w:type="dxa"/>
              <w:right w:w="70" w:type="dxa"/>
            </w:tcMar>
            <w:vAlign w:val="center"/>
            <w:hideMark/>
          </w:tcPr>
          <w:p w14:paraId="3CA7F0B5"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TRAFO 1</w:t>
            </w:r>
          </w:p>
        </w:tc>
        <w:tc>
          <w:tcPr>
            <w:tcW w:w="1843" w:type="dxa"/>
            <w:noWrap/>
            <w:tcMar>
              <w:top w:w="0" w:type="dxa"/>
              <w:left w:w="70" w:type="dxa"/>
              <w:bottom w:w="0" w:type="dxa"/>
              <w:right w:w="70" w:type="dxa"/>
            </w:tcMar>
            <w:vAlign w:val="center"/>
            <w:hideMark/>
          </w:tcPr>
          <w:p w14:paraId="3CA7F0B6"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7,5</w:t>
            </w:r>
          </w:p>
        </w:tc>
        <w:tc>
          <w:tcPr>
            <w:tcW w:w="1701" w:type="dxa"/>
            <w:tcBorders>
              <w:top w:val="nil"/>
              <w:left w:val="nil"/>
              <w:bottom w:val="nil"/>
              <w:right w:val="single" w:sz="8" w:space="0" w:color="auto"/>
            </w:tcBorders>
            <w:noWrap/>
            <w:tcMar>
              <w:top w:w="0" w:type="dxa"/>
              <w:left w:w="70" w:type="dxa"/>
              <w:bottom w:w="0" w:type="dxa"/>
              <w:right w:w="70" w:type="dxa"/>
            </w:tcMar>
            <w:vAlign w:val="center"/>
            <w:hideMark/>
          </w:tcPr>
          <w:p w14:paraId="3CA7F0B7"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34,5/13,8</w:t>
            </w:r>
          </w:p>
        </w:tc>
      </w:tr>
      <w:tr w:rsidR="00CF707D" w:rsidRPr="00205C60" w14:paraId="3CA7F0C2" w14:textId="77777777" w:rsidTr="00CF63A6">
        <w:trPr>
          <w:trHeight w:val="255"/>
        </w:trPr>
        <w:tc>
          <w:tcPr>
            <w:tcW w:w="2015" w:type="dxa"/>
            <w:tcBorders>
              <w:top w:val="nil"/>
              <w:left w:val="single" w:sz="8" w:space="0" w:color="auto"/>
              <w:bottom w:val="nil"/>
              <w:right w:val="nil"/>
            </w:tcBorders>
            <w:noWrap/>
            <w:tcMar>
              <w:top w:w="0" w:type="dxa"/>
              <w:left w:w="70" w:type="dxa"/>
              <w:bottom w:w="0" w:type="dxa"/>
              <w:right w:w="70" w:type="dxa"/>
            </w:tcMar>
            <w:vAlign w:val="center"/>
            <w:hideMark/>
          </w:tcPr>
          <w:p w14:paraId="3CA7F0BE"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LINDORA</w:t>
            </w:r>
          </w:p>
        </w:tc>
        <w:tc>
          <w:tcPr>
            <w:tcW w:w="1572" w:type="dxa"/>
            <w:noWrap/>
            <w:tcMar>
              <w:top w:w="0" w:type="dxa"/>
              <w:left w:w="70" w:type="dxa"/>
              <w:bottom w:w="0" w:type="dxa"/>
              <w:right w:w="70" w:type="dxa"/>
            </w:tcMar>
            <w:vAlign w:val="center"/>
            <w:hideMark/>
          </w:tcPr>
          <w:p w14:paraId="3CA7F0BF"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TRAFO 1</w:t>
            </w:r>
          </w:p>
        </w:tc>
        <w:tc>
          <w:tcPr>
            <w:tcW w:w="1843" w:type="dxa"/>
            <w:noWrap/>
            <w:tcMar>
              <w:top w:w="0" w:type="dxa"/>
              <w:left w:w="70" w:type="dxa"/>
              <w:bottom w:w="0" w:type="dxa"/>
              <w:right w:w="70" w:type="dxa"/>
            </w:tcMar>
            <w:vAlign w:val="center"/>
            <w:hideMark/>
          </w:tcPr>
          <w:p w14:paraId="3CA7F0C0"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30/45</w:t>
            </w:r>
          </w:p>
        </w:tc>
        <w:tc>
          <w:tcPr>
            <w:tcW w:w="1701" w:type="dxa"/>
            <w:tcBorders>
              <w:top w:val="nil"/>
              <w:left w:val="nil"/>
              <w:bottom w:val="nil"/>
              <w:right w:val="single" w:sz="8" w:space="0" w:color="auto"/>
            </w:tcBorders>
            <w:noWrap/>
            <w:tcMar>
              <w:top w:w="0" w:type="dxa"/>
              <w:left w:w="70" w:type="dxa"/>
              <w:bottom w:w="0" w:type="dxa"/>
              <w:right w:w="70" w:type="dxa"/>
            </w:tcMar>
            <w:vAlign w:val="center"/>
            <w:hideMark/>
          </w:tcPr>
          <w:p w14:paraId="3CA7F0C1"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230/34,5</w:t>
            </w:r>
          </w:p>
        </w:tc>
      </w:tr>
      <w:tr w:rsidR="00CF707D" w:rsidRPr="00205C60" w14:paraId="3CA7F0C7" w14:textId="77777777" w:rsidTr="00CF63A6">
        <w:trPr>
          <w:trHeight w:val="255"/>
        </w:trPr>
        <w:tc>
          <w:tcPr>
            <w:tcW w:w="2015" w:type="dxa"/>
            <w:tcBorders>
              <w:top w:val="nil"/>
              <w:left w:val="single" w:sz="8" w:space="0" w:color="auto"/>
              <w:bottom w:val="nil"/>
              <w:right w:val="nil"/>
            </w:tcBorders>
            <w:noWrap/>
            <w:tcMar>
              <w:top w:w="0" w:type="dxa"/>
              <w:left w:w="70" w:type="dxa"/>
              <w:bottom w:w="0" w:type="dxa"/>
              <w:right w:w="70" w:type="dxa"/>
            </w:tcMar>
            <w:vAlign w:val="center"/>
            <w:hideMark/>
          </w:tcPr>
          <w:p w14:paraId="3CA7F0C3"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LINDORA</w:t>
            </w:r>
          </w:p>
        </w:tc>
        <w:tc>
          <w:tcPr>
            <w:tcW w:w="1572" w:type="dxa"/>
            <w:noWrap/>
            <w:tcMar>
              <w:top w:w="0" w:type="dxa"/>
              <w:left w:w="70" w:type="dxa"/>
              <w:bottom w:w="0" w:type="dxa"/>
              <w:right w:w="70" w:type="dxa"/>
            </w:tcMar>
            <w:vAlign w:val="center"/>
            <w:hideMark/>
          </w:tcPr>
          <w:p w14:paraId="3CA7F0C4"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TRAFO 2</w:t>
            </w:r>
          </w:p>
        </w:tc>
        <w:tc>
          <w:tcPr>
            <w:tcW w:w="1843" w:type="dxa"/>
            <w:noWrap/>
            <w:tcMar>
              <w:top w:w="0" w:type="dxa"/>
              <w:left w:w="70" w:type="dxa"/>
              <w:bottom w:w="0" w:type="dxa"/>
              <w:right w:w="70" w:type="dxa"/>
            </w:tcMar>
            <w:vAlign w:val="center"/>
            <w:hideMark/>
          </w:tcPr>
          <w:p w14:paraId="3CA7F0C5"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30/45</w:t>
            </w:r>
          </w:p>
        </w:tc>
        <w:tc>
          <w:tcPr>
            <w:tcW w:w="1701" w:type="dxa"/>
            <w:tcBorders>
              <w:top w:val="nil"/>
              <w:left w:val="nil"/>
              <w:bottom w:val="nil"/>
              <w:right w:val="single" w:sz="8" w:space="0" w:color="auto"/>
            </w:tcBorders>
            <w:noWrap/>
            <w:tcMar>
              <w:top w:w="0" w:type="dxa"/>
              <w:left w:w="70" w:type="dxa"/>
              <w:bottom w:w="0" w:type="dxa"/>
              <w:right w:w="70" w:type="dxa"/>
            </w:tcMar>
            <w:vAlign w:val="center"/>
            <w:hideMark/>
          </w:tcPr>
          <w:p w14:paraId="3CA7F0C6"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230/34,5</w:t>
            </w:r>
          </w:p>
        </w:tc>
      </w:tr>
      <w:tr w:rsidR="00CF707D" w:rsidRPr="00205C60" w14:paraId="3CA7F0CC" w14:textId="77777777" w:rsidTr="00CF63A6">
        <w:trPr>
          <w:trHeight w:val="255"/>
        </w:trPr>
        <w:tc>
          <w:tcPr>
            <w:tcW w:w="2015" w:type="dxa"/>
            <w:tcBorders>
              <w:top w:val="nil"/>
              <w:left w:val="single" w:sz="8" w:space="0" w:color="auto"/>
              <w:bottom w:val="nil"/>
              <w:right w:val="nil"/>
            </w:tcBorders>
            <w:noWrap/>
            <w:tcMar>
              <w:top w:w="0" w:type="dxa"/>
              <w:left w:w="70" w:type="dxa"/>
              <w:bottom w:w="0" w:type="dxa"/>
              <w:right w:w="70" w:type="dxa"/>
            </w:tcMar>
            <w:vAlign w:val="center"/>
            <w:hideMark/>
          </w:tcPr>
          <w:p w14:paraId="3CA7F0C8"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LOS ANGELES (SUBTERRANEO)</w:t>
            </w:r>
          </w:p>
        </w:tc>
        <w:tc>
          <w:tcPr>
            <w:tcW w:w="1572" w:type="dxa"/>
            <w:noWrap/>
            <w:tcMar>
              <w:top w:w="0" w:type="dxa"/>
              <w:left w:w="70" w:type="dxa"/>
              <w:bottom w:w="0" w:type="dxa"/>
              <w:right w:w="70" w:type="dxa"/>
            </w:tcMar>
            <w:vAlign w:val="center"/>
            <w:hideMark/>
          </w:tcPr>
          <w:p w14:paraId="3CA7F0C9"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TRAFO 1</w:t>
            </w:r>
          </w:p>
        </w:tc>
        <w:tc>
          <w:tcPr>
            <w:tcW w:w="1843" w:type="dxa"/>
            <w:noWrap/>
            <w:tcMar>
              <w:top w:w="0" w:type="dxa"/>
              <w:left w:w="70" w:type="dxa"/>
              <w:bottom w:w="0" w:type="dxa"/>
              <w:right w:w="70" w:type="dxa"/>
            </w:tcMar>
            <w:vAlign w:val="center"/>
            <w:hideMark/>
          </w:tcPr>
          <w:p w14:paraId="3CA7F0CA"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10/20</w:t>
            </w:r>
          </w:p>
        </w:tc>
        <w:tc>
          <w:tcPr>
            <w:tcW w:w="1701" w:type="dxa"/>
            <w:tcBorders>
              <w:top w:val="nil"/>
              <w:left w:val="nil"/>
              <w:bottom w:val="nil"/>
              <w:right w:val="single" w:sz="8" w:space="0" w:color="auto"/>
            </w:tcBorders>
            <w:noWrap/>
            <w:tcMar>
              <w:top w:w="0" w:type="dxa"/>
              <w:left w:w="70" w:type="dxa"/>
              <w:bottom w:w="0" w:type="dxa"/>
              <w:right w:w="70" w:type="dxa"/>
            </w:tcMar>
            <w:vAlign w:val="center"/>
            <w:hideMark/>
          </w:tcPr>
          <w:p w14:paraId="3CA7F0CB"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138/13,8</w:t>
            </w:r>
          </w:p>
        </w:tc>
      </w:tr>
      <w:tr w:rsidR="00CF707D" w:rsidRPr="00205C60" w14:paraId="3CA7F0D1" w14:textId="77777777" w:rsidTr="00CF63A6">
        <w:trPr>
          <w:trHeight w:val="270"/>
        </w:trPr>
        <w:tc>
          <w:tcPr>
            <w:tcW w:w="2015" w:type="dxa"/>
            <w:tcBorders>
              <w:top w:val="nil"/>
              <w:left w:val="single" w:sz="8" w:space="0" w:color="auto"/>
              <w:bottom w:val="single" w:sz="8" w:space="0" w:color="auto"/>
              <w:right w:val="nil"/>
            </w:tcBorders>
            <w:noWrap/>
            <w:tcMar>
              <w:top w:w="0" w:type="dxa"/>
              <w:left w:w="70" w:type="dxa"/>
              <w:bottom w:w="0" w:type="dxa"/>
              <w:right w:w="70" w:type="dxa"/>
            </w:tcMar>
            <w:vAlign w:val="center"/>
            <w:hideMark/>
          </w:tcPr>
          <w:p w14:paraId="3CA7F0CD"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LOS ANGELES (SUBTERRANEO)</w:t>
            </w:r>
          </w:p>
        </w:tc>
        <w:tc>
          <w:tcPr>
            <w:tcW w:w="1572" w:type="dxa"/>
            <w:tcBorders>
              <w:top w:val="nil"/>
              <w:left w:val="nil"/>
              <w:bottom w:val="single" w:sz="8" w:space="0" w:color="auto"/>
              <w:right w:val="nil"/>
            </w:tcBorders>
            <w:noWrap/>
            <w:tcMar>
              <w:top w:w="0" w:type="dxa"/>
              <w:left w:w="70" w:type="dxa"/>
              <w:bottom w:w="0" w:type="dxa"/>
              <w:right w:w="70" w:type="dxa"/>
            </w:tcMar>
            <w:vAlign w:val="center"/>
            <w:hideMark/>
          </w:tcPr>
          <w:p w14:paraId="3CA7F0CE"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TRAFO 2</w:t>
            </w:r>
          </w:p>
        </w:tc>
        <w:tc>
          <w:tcPr>
            <w:tcW w:w="1843" w:type="dxa"/>
            <w:tcBorders>
              <w:top w:val="nil"/>
              <w:left w:val="nil"/>
              <w:bottom w:val="single" w:sz="8" w:space="0" w:color="auto"/>
              <w:right w:val="nil"/>
            </w:tcBorders>
            <w:noWrap/>
            <w:tcMar>
              <w:top w:w="0" w:type="dxa"/>
              <w:left w:w="70" w:type="dxa"/>
              <w:bottom w:w="0" w:type="dxa"/>
              <w:right w:w="70" w:type="dxa"/>
            </w:tcMar>
            <w:vAlign w:val="center"/>
            <w:hideMark/>
          </w:tcPr>
          <w:p w14:paraId="3CA7F0CF"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10/20</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CA7F0D0" w14:textId="77777777" w:rsidR="00CF707D" w:rsidRPr="00205C60" w:rsidRDefault="00CF707D" w:rsidP="00CE0622">
            <w:pPr>
              <w:jc w:val="center"/>
              <w:rPr>
                <w:rFonts w:ascii="Verdana" w:eastAsiaTheme="minorHAnsi" w:hAnsi="Verdana" w:cs="Arial"/>
                <w:sz w:val="22"/>
                <w:szCs w:val="22"/>
              </w:rPr>
            </w:pPr>
            <w:r w:rsidRPr="00205C60">
              <w:rPr>
                <w:rFonts w:ascii="Verdana" w:hAnsi="Verdana" w:cs="Arial"/>
                <w:sz w:val="22"/>
                <w:szCs w:val="22"/>
              </w:rPr>
              <w:t>138/13,8</w:t>
            </w:r>
          </w:p>
        </w:tc>
      </w:tr>
    </w:tbl>
    <w:p w14:paraId="3CA7F0D2" w14:textId="77777777" w:rsidR="009E56F8" w:rsidRPr="00205C60" w:rsidRDefault="007E4F3B" w:rsidP="00CF707D">
      <w:pPr>
        <w:jc w:val="both"/>
        <w:rPr>
          <w:rFonts w:ascii="Verdana" w:hAnsi="Verdana" w:cs="Arial"/>
          <w:sz w:val="22"/>
          <w:szCs w:val="22"/>
        </w:rPr>
      </w:pPr>
      <w:r w:rsidRPr="00205C60">
        <w:rPr>
          <w:rFonts w:ascii="Verdana" w:hAnsi="Verdana" w:cs="Arial"/>
          <w:sz w:val="22"/>
          <w:szCs w:val="22"/>
        </w:rPr>
        <w:t xml:space="preserve">           </w:t>
      </w:r>
    </w:p>
    <w:p w14:paraId="3CA7F0D3" w14:textId="41FFFF7C" w:rsidR="00CF707D" w:rsidRPr="00205C60" w:rsidRDefault="009E56F8" w:rsidP="009E56F8">
      <w:pPr>
        <w:ind w:firstLine="360"/>
        <w:jc w:val="both"/>
        <w:rPr>
          <w:rFonts w:ascii="Verdana" w:hAnsi="Verdana" w:cs="Arial"/>
          <w:sz w:val="22"/>
          <w:szCs w:val="22"/>
        </w:rPr>
      </w:pPr>
      <w:r w:rsidRPr="00205C60">
        <w:rPr>
          <w:rFonts w:ascii="Verdana" w:hAnsi="Verdana" w:cs="Arial"/>
          <w:sz w:val="22"/>
          <w:szCs w:val="22"/>
        </w:rPr>
        <w:t xml:space="preserve">     </w:t>
      </w:r>
      <w:r w:rsidR="00CF707D" w:rsidRPr="00205C60">
        <w:rPr>
          <w:rFonts w:ascii="Verdana" w:hAnsi="Verdana" w:cs="Arial"/>
          <w:sz w:val="22"/>
          <w:szCs w:val="22"/>
        </w:rPr>
        <w:t>Para una mejor comprensión entiéndase:</w:t>
      </w:r>
    </w:p>
    <w:p w14:paraId="3CA7F0D4" w14:textId="77777777" w:rsidR="00CF707D" w:rsidRPr="00205C60" w:rsidRDefault="00CF707D" w:rsidP="00882F32">
      <w:pPr>
        <w:numPr>
          <w:ilvl w:val="0"/>
          <w:numId w:val="16"/>
        </w:numPr>
        <w:jc w:val="both"/>
        <w:rPr>
          <w:rFonts w:ascii="Verdana" w:hAnsi="Verdana" w:cs="Arial"/>
          <w:sz w:val="22"/>
          <w:szCs w:val="22"/>
        </w:rPr>
      </w:pPr>
      <w:r w:rsidRPr="00205C60">
        <w:rPr>
          <w:rFonts w:ascii="Verdana" w:hAnsi="Verdana" w:cs="Arial"/>
          <w:sz w:val="22"/>
          <w:szCs w:val="22"/>
        </w:rPr>
        <w:t>Trafo: transformadores de potencia</w:t>
      </w:r>
    </w:p>
    <w:p w14:paraId="3CA7F0D5" w14:textId="77777777" w:rsidR="00CF707D" w:rsidRPr="00205C60" w:rsidRDefault="00CF707D" w:rsidP="00882F32">
      <w:pPr>
        <w:numPr>
          <w:ilvl w:val="0"/>
          <w:numId w:val="16"/>
        </w:numPr>
        <w:jc w:val="both"/>
        <w:rPr>
          <w:rFonts w:ascii="Verdana" w:hAnsi="Verdana" w:cs="Arial"/>
          <w:sz w:val="22"/>
          <w:szCs w:val="22"/>
        </w:rPr>
      </w:pPr>
      <w:r w:rsidRPr="00205C60">
        <w:rPr>
          <w:rFonts w:ascii="Verdana" w:hAnsi="Verdana" w:cs="Arial"/>
          <w:sz w:val="22"/>
          <w:szCs w:val="22"/>
        </w:rPr>
        <w:t>MVA: Capacidad del transformador en Mega Voltio Amperios.</w:t>
      </w:r>
    </w:p>
    <w:p w14:paraId="3CA7F0D6" w14:textId="2230A37D" w:rsidR="00CF707D" w:rsidRPr="00205C60" w:rsidRDefault="00CF707D" w:rsidP="00882F32">
      <w:pPr>
        <w:numPr>
          <w:ilvl w:val="0"/>
          <w:numId w:val="16"/>
        </w:numPr>
        <w:jc w:val="both"/>
        <w:rPr>
          <w:rFonts w:ascii="Verdana" w:hAnsi="Verdana" w:cs="Arial"/>
          <w:sz w:val="22"/>
          <w:szCs w:val="22"/>
        </w:rPr>
      </w:pPr>
      <w:r w:rsidRPr="00205C60">
        <w:rPr>
          <w:rFonts w:ascii="Verdana" w:hAnsi="Verdana" w:cs="Arial"/>
          <w:sz w:val="22"/>
          <w:szCs w:val="22"/>
        </w:rPr>
        <w:t>KV: Kilo volts, medida de voltaje equivalente a 1.000 voltios.</w:t>
      </w:r>
    </w:p>
    <w:p w14:paraId="3EFCBC24" w14:textId="756AD739" w:rsidR="00D137DC" w:rsidRPr="00205C60" w:rsidRDefault="00D137DC" w:rsidP="00882F32">
      <w:pPr>
        <w:numPr>
          <w:ilvl w:val="0"/>
          <w:numId w:val="16"/>
        </w:numPr>
        <w:jc w:val="both"/>
        <w:rPr>
          <w:rFonts w:ascii="Verdana" w:hAnsi="Verdana" w:cs="Arial"/>
          <w:sz w:val="22"/>
          <w:szCs w:val="22"/>
        </w:rPr>
      </w:pPr>
      <w:r w:rsidRPr="00205C60">
        <w:rPr>
          <w:rFonts w:ascii="Verdana" w:hAnsi="Verdana" w:cs="Arial"/>
          <w:sz w:val="22"/>
          <w:szCs w:val="22"/>
        </w:rPr>
        <w:t>(a) Retirado temporalmente.</w:t>
      </w:r>
    </w:p>
    <w:p w14:paraId="3CA7F0D7" w14:textId="77777777" w:rsidR="00CF707D" w:rsidRPr="00205C60" w:rsidRDefault="007E4F3B" w:rsidP="00CF707D">
      <w:pPr>
        <w:jc w:val="both"/>
        <w:rPr>
          <w:rFonts w:ascii="Verdana" w:eastAsiaTheme="minorHAnsi" w:hAnsi="Verdana" w:cs="Arial"/>
          <w:sz w:val="22"/>
          <w:szCs w:val="22"/>
        </w:rPr>
      </w:pPr>
      <w:r w:rsidRPr="00205C60">
        <w:rPr>
          <w:rFonts w:ascii="Verdana" w:hAnsi="Verdana" w:cs="Arial"/>
          <w:sz w:val="22"/>
          <w:szCs w:val="22"/>
        </w:rPr>
        <w:t xml:space="preserve">            </w:t>
      </w:r>
      <w:r w:rsidR="00805313" w:rsidRPr="00205C60">
        <w:rPr>
          <w:rFonts w:ascii="Verdana" w:hAnsi="Verdana" w:cs="Arial"/>
          <w:sz w:val="22"/>
          <w:szCs w:val="22"/>
        </w:rPr>
        <w:t xml:space="preserve"> </w:t>
      </w:r>
      <w:r w:rsidR="00CF707D" w:rsidRPr="00205C60">
        <w:rPr>
          <w:rFonts w:ascii="Verdana" w:hAnsi="Verdana" w:cs="Arial"/>
          <w:sz w:val="22"/>
          <w:szCs w:val="22"/>
        </w:rPr>
        <w:t>Fuente: Centro de Control de Energía, CNFL.</w:t>
      </w:r>
    </w:p>
    <w:p w14:paraId="3CA7F0D8" w14:textId="77777777" w:rsidR="00131077" w:rsidRPr="00205C60" w:rsidRDefault="00131077" w:rsidP="006B2064">
      <w:pPr>
        <w:jc w:val="both"/>
        <w:rPr>
          <w:rFonts w:ascii="Verdana" w:hAnsi="Verdana" w:cs="Arial"/>
          <w:sz w:val="22"/>
          <w:szCs w:val="22"/>
        </w:rPr>
      </w:pPr>
    </w:p>
    <w:p w14:paraId="3CA7F0D9" w14:textId="77777777" w:rsidR="006B2064" w:rsidRPr="00205C60" w:rsidRDefault="006B2064" w:rsidP="006B2064">
      <w:pPr>
        <w:jc w:val="both"/>
        <w:rPr>
          <w:rFonts w:ascii="Verdana" w:hAnsi="Verdana" w:cs="Arial"/>
          <w:sz w:val="22"/>
          <w:szCs w:val="22"/>
        </w:rPr>
      </w:pPr>
      <w:r w:rsidRPr="00205C60">
        <w:rPr>
          <w:rFonts w:ascii="Verdana" w:hAnsi="Verdana" w:cs="Arial"/>
          <w:sz w:val="22"/>
          <w:szCs w:val="22"/>
        </w:rPr>
        <w:t>Tanto el sistema de generación como el sistema de distribución, se consideran los activos más importantes de la empresa, pues constituyen la base del servicio al cliente y de generación de ingresos por ventas de energía.</w:t>
      </w:r>
    </w:p>
    <w:p w14:paraId="3CA7F0DA" w14:textId="77777777" w:rsidR="006B2064" w:rsidRPr="00205C60" w:rsidRDefault="006B2064" w:rsidP="006B2064">
      <w:pPr>
        <w:jc w:val="both"/>
        <w:rPr>
          <w:rFonts w:ascii="Verdana" w:hAnsi="Verdana" w:cs="Arial"/>
          <w:sz w:val="22"/>
          <w:szCs w:val="22"/>
        </w:rPr>
      </w:pPr>
    </w:p>
    <w:p w14:paraId="3CA7F0DB" w14:textId="42203834" w:rsidR="005A733A" w:rsidRPr="00205C60" w:rsidRDefault="006B2064" w:rsidP="00F52DA2">
      <w:pPr>
        <w:jc w:val="both"/>
        <w:rPr>
          <w:rFonts w:ascii="Verdana" w:hAnsi="Verdana" w:cs="Arial"/>
          <w:sz w:val="22"/>
          <w:szCs w:val="22"/>
        </w:rPr>
      </w:pPr>
      <w:r w:rsidRPr="00205C60">
        <w:rPr>
          <w:rFonts w:ascii="Verdana" w:hAnsi="Verdana" w:cs="Arial"/>
          <w:sz w:val="22"/>
          <w:szCs w:val="22"/>
        </w:rPr>
        <w:t xml:space="preserve">Todos los activos </w:t>
      </w:r>
      <w:r w:rsidR="007B7BF0" w:rsidRPr="00205C60">
        <w:rPr>
          <w:rFonts w:ascii="Verdana" w:hAnsi="Verdana" w:cs="Arial"/>
          <w:sz w:val="22"/>
          <w:szCs w:val="22"/>
        </w:rPr>
        <w:t>citados anteriormente, s</w:t>
      </w:r>
      <w:r w:rsidRPr="00205C60">
        <w:rPr>
          <w:rFonts w:ascii="Verdana" w:hAnsi="Verdana" w:cs="Arial"/>
          <w:sz w:val="22"/>
          <w:szCs w:val="22"/>
        </w:rPr>
        <w:t xml:space="preserve">e encuentran protegidos por la Póliza </w:t>
      </w:r>
      <w:r w:rsidR="00845A92" w:rsidRPr="00205C60">
        <w:rPr>
          <w:rFonts w:ascii="Verdana" w:hAnsi="Verdana" w:cs="Arial"/>
          <w:sz w:val="22"/>
          <w:szCs w:val="22"/>
        </w:rPr>
        <w:t>ING</w:t>
      </w:r>
      <w:r w:rsidRPr="00205C60">
        <w:rPr>
          <w:rFonts w:ascii="Verdana" w:hAnsi="Verdana" w:cs="Arial"/>
          <w:sz w:val="22"/>
          <w:szCs w:val="22"/>
        </w:rPr>
        <w:t>-00</w:t>
      </w:r>
      <w:r w:rsidR="00845A92" w:rsidRPr="00205C60">
        <w:rPr>
          <w:rFonts w:ascii="Verdana" w:hAnsi="Verdana" w:cs="Arial"/>
          <w:sz w:val="22"/>
          <w:szCs w:val="22"/>
        </w:rPr>
        <w:t>8</w:t>
      </w:r>
      <w:r w:rsidRPr="00205C60">
        <w:rPr>
          <w:rFonts w:ascii="Verdana" w:hAnsi="Verdana" w:cs="Arial"/>
          <w:sz w:val="22"/>
          <w:szCs w:val="22"/>
        </w:rPr>
        <w:t>, que es una póliza corporativa del Grupo ICE contratada con el INS, la que cubre un seguro de todo riesgo de daño directo</w:t>
      </w:r>
      <w:r w:rsidR="004F492B" w:rsidRPr="00205C60">
        <w:rPr>
          <w:rFonts w:ascii="Verdana" w:hAnsi="Verdana" w:cs="Arial"/>
          <w:sz w:val="22"/>
          <w:szCs w:val="22"/>
        </w:rPr>
        <w:t xml:space="preserve"> a la propiedad</w:t>
      </w:r>
      <w:r w:rsidRPr="00205C60">
        <w:rPr>
          <w:rFonts w:ascii="Verdana" w:hAnsi="Verdana" w:cs="Arial"/>
          <w:sz w:val="22"/>
          <w:szCs w:val="22"/>
        </w:rPr>
        <w:t>, seguro de responsabilidad civil y seguro de terrorismo y sabotaje</w:t>
      </w:r>
      <w:r w:rsidR="003D2F8D" w:rsidRPr="00205C60">
        <w:rPr>
          <w:rFonts w:ascii="Verdana" w:hAnsi="Verdana" w:cs="Arial"/>
          <w:sz w:val="22"/>
          <w:szCs w:val="22"/>
        </w:rPr>
        <w:t>.</w:t>
      </w:r>
      <w:r w:rsidR="00294854" w:rsidRPr="00205C60">
        <w:rPr>
          <w:rFonts w:ascii="Verdana" w:hAnsi="Verdana" w:cs="Arial"/>
          <w:sz w:val="22"/>
          <w:szCs w:val="22"/>
        </w:rPr>
        <w:t xml:space="preserve"> </w:t>
      </w:r>
      <w:r w:rsidR="003D2F8D" w:rsidRPr="00205C60">
        <w:rPr>
          <w:rFonts w:ascii="Verdana" w:hAnsi="Verdana" w:cs="Arial"/>
          <w:sz w:val="22"/>
          <w:szCs w:val="22"/>
        </w:rPr>
        <w:t xml:space="preserve">Póliza que va del 02 abril 2022 al 01/04/2024. </w:t>
      </w:r>
      <w:r w:rsidR="00FB4419" w:rsidRPr="00205C60">
        <w:rPr>
          <w:rFonts w:ascii="Verdana" w:hAnsi="Verdana" w:cs="Arial"/>
          <w:sz w:val="22"/>
          <w:szCs w:val="22"/>
        </w:rPr>
        <w:t xml:space="preserve"> </w:t>
      </w:r>
    </w:p>
    <w:p w14:paraId="3CA7F0DC" w14:textId="77777777" w:rsidR="00216953" w:rsidRPr="00205C60" w:rsidRDefault="00216953" w:rsidP="00F52DA2">
      <w:pPr>
        <w:jc w:val="both"/>
        <w:rPr>
          <w:rFonts w:ascii="Verdana" w:hAnsi="Verdana" w:cs="Arial"/>
          <w:sz w:val="22"/>
          <w:szCs w:val="22"/>
        </w:rPr>
      </w:pPr>
    </w:p>
    <w:p w14:paraId="3CA7F0DD" w14:textId="77777777" w:rsidR="006363B6" w:rsidRPr="00205C60" w:rsidRDefault="005A733A" w:rsidP="00F52DA2">
      <w:pPr>
        <w:jc w:val="both"/>
        <w:rPr>
          <w:rFonts w:ascii="Verdana" w:hAnsi="Verdana" w:cs="Arial"/>
          <w:sz w:val="22"/>
          <w:szCs w:val="22"/>
        </w:rPr>
      </w:pPr>
      <w:r w:rsidRPr="00205C60">
        <w:rPr>
          <w:rFonts w:ascii="Verdana" w:hAnsi="Verdana" w:cs="Arial"/>
          <w:sz w:val="22"/>
          <w:szCs w:val="22"/>
        </w:rPr>
        <w:t>Los límites de coberturas para cada tipo de riesgo son los siguientes:</w:t>
      </w:r>
    </w:p>
    <w:p w14:paraId="3CA7F0DE" w14:textId="77777777" w:rsidR="009571C4" w:rsidRPr="00205C60" w:rsidRDefault="009571C4" w:rsidP="00F52DA2">
      <w:pPr>
        <w:jc w:val="both"/>
        <w:rPr>
          <w:rFonts w:ascii="Verdana" w:hAnsi="Verdana" w:cs="Arial"/>
          <w:sz w:val="22"/>
          <w:szCs w:val="22"/>
        </w:rPr>
      </w:pPr>
    </w:p>
    <w:p w14:paraId="3CA7F0DF" w14:textId="77777777" w:rsidR="009571C4" w:rsidRPr="00205C60" w:rsidRDefault="009571C4" w:rsidP="00046EA9">
      <w:pPr>
        <w:numPr>
          <w:ilvl w:val="0"/>
          <w:numId w:val="11"/>
        </w:numPr>
        <w:jc w:val="both"/>
        <w:rPr>
          <w:rFonts w:ascii="Verdana" w:hAnsi="Verdana" w:cs="Arial"/>
          <w:b/>
          <w:sz w:val="22"/>
          <w:szCs w:val="22"/>
        </w:rPr>
      </w:pPr>
      <w:r w:rsidRPr="00205C60">
        <w:rPr>
          <w:rFonts w:ascii="Verdana" w:hAnsi="Verdana" w:cs="Arial"/>
          <w:b/>
          <w:sz w:val="22"/>
          <w:szCs w:val="22"/>
        </w:rPr>
        <w:t>Daño Directo:</w:t>
      </w:r>
    </w:p>
    <w:p w14:paraId="3CA7F0E0" w14:textId="77777777" w:rsidR="008942EB" w:rsidRPr="00205C60" w:rsidRDefault="008942EB" w:rsidP="009571C4">
      <w:pPr>
        <w:ind w:left="360"/>
        <w:jc w:val="both"/>
        <w:rPr>
          <w:rFonts w:ascii="Verdana" w:hAnsi="Verdana" w:cs="Arial"/>
          <w:sz w:val="22"/>
          <w:szCs w:val="22"/>
        </w:rPr>
      </w:pPr>
    </w:p>
    <w:p w14:paraId="3CA7F0E1" w14:textId="77777777" w:rsidR="009571C4" w:rsidRPr="00205C60" w:rsidRDefault="009571C4" w:rsidP="009571C4">
      <w:pPr>
        <w:ind w:left="360"/>
        <w:jc w:val="both"/>
        <w:rPr>
          <w:rFonts w:ascii="Verdana" w:hAnsi="Verdana" w:cs="Arial"/>
          <w:sz w:val="22"/>
          <w:szCs w:val="22"/>
        </w:rPr>
      </w:pPr>
      <w:r w:rsidRPr="00205C60">
        <w:rPr>
          <w:rFonts w:ascii="Verdana" w:hAnsi="Verdana" w:cs="Arial"/>
          <w:sz w:val="22"/>
          <w:szCs w:val="22"/>
        </w:rPr>
        <w:t xml:space="preserve">Límite de cobertura:   $ </w:t>
      </w:r>
      <w:r w:rsidR="0090731E" w:rsidRPr="00205C60">
        <w:rPr>
          <w:rFonts w:ascii="Verdana" w:hAnsi="Verdana" w:cs="Arial"/>
          <w:sz w:val="22"/>
          <w:szCs w:val="22"/>
        </w:rPr>
        <w:t>3</w:t>
      </w:r>
      <w:r w:rsidR="008942EB" w:rsidRPr="00205C60">
        <w:rPr>
          <w:rFonts w:ascii="Verdana" w:hAnsi="Verdana" w:cs="Arial"/>
          <w:sz w:val="22"/>
          <w:szCs w:val="22"/>
        </w:rPr>
        <w:t>12</w:t>
      </w:r>
      <w:r w:rsidRPr="00205C60">
        <w:rPr>
          <w:rFonts w:ascii="Verdana" w:hAnsi="Verdana" w:cs="Arial"/>
          <w:sz w:val="22"/>
          <w:szCs w:val="22"/>
        </w:rPr>
        <w:t>.</w:t>
      </w:r>
      <w:r w:rsidR="009E1B87" w:rsidRPr="00205C60">
        <w:rPr>
          <w:rFonts w:ascii="Verdana" w:hAnsi="Verdana" w:cs="Arial"/>
          <w:sz w:val="22"/>
          <w:szCs w:val="22"/>
        </w:rPr>
        <w:t>0</w:t>
      </w:r>
      <w:r w:rsidRPr="00205C60">
        <w:rPr>
          <w:rFonts w:ascii="Verdana" w:hAnsi="Verdana" w:cs="Arial"/>
          <w:sz w:val="22"/>
          <w:szCs w:val="22"/>
        </w:rPr>
        <w:t>00.000,00</w:t>
      </w:r>
    </w:p>
    <w:p w14:paraId="3CA7F0E2" w14:textId="77777777" w:rsidR="00CE0622" w:rsidRPr="00205C60" w:rsidRDefault="00CE0622" w:rsidP="009571C4">
      <w:pPr>
        <w:ind w:left="360"/>
        <w:jc w:val="both"/>
        <w:rPr>
          <w:rFonts w:ascii="Verdana" w:hAnsi="Verdana" w:cs="Arial"/>
          <w:sz w:val="22"/>
          <w:szCs w:val="22"/>
        </w:rPr>
      </w:pPr>
    </w:p>
    <w:p w14:paraId="3CA7F0E3" w14:textId="77777777" w:rsidR="009571C4" w:rsidRPr="00205C60" w:rsidRDefault="009571C4" w:rsidP="009571C4">
      <w:pPr>
        <w:ind w:left="360"/>
        <w:jc w:val="both"/>
        <w:rPr>
          <w:rFonts w:ascii="Verdana" w:hAnsi="Verdana" w:cs="Arial"/>
          <w:sz w:val="22"/>
          <w:szCs w:val="22"/>
        </w:rPr>
      </w:pPr>
      <w:r w:rsidRPr="00205C60">
        <w:rPr>
          <w:rFonts w:ascii="Verdana" w:hAnsi="Verdana" w:cs="Arial"/>
          <w:sz w:val="22"/>
          <w:szCs w:val="22"/>
        </w:rPr>
        <w:t>Sublímites:</w:t>
      </w:r>
    </w:p>
    <w:p w14:paraId="3CA7F0E4" w14:textId="07A8DFF3" w:rsidR="009571C4" w:rsidRPr="00205C60" w:rsidRDefault="009571C4" w:rsidP="009571C4">
      <w:pPr>
        <w:ind w:left="360"/>
        <w:jc w:val="both"/>
        <w:rPr>
          <w:rFonts w:ascii="Verdana" w:hAnsi="Verdana" w:cs="Arial"/>
          <w:sz w:val="22"/>
          <w:szCs w:val="22"/>
        </w:rPr>
      </w:pPr>
      <w:r w:rsidRPr="00205C60">
        <w:rPr>
          <w:rFonts w:ascii="Verdana" w:hAnsi="Verdana" w:cs="Arial"/>
          <w:sz w:val="22"/>
          <w:szCs w:val="22"/>
        </w:rPr>
        <w:t xml:space="preserve">Interrupción de negocios $ </w:t>
      </w:r>
      <w:r w:rsidR="009E1B87" w:rsidRPr="00205C60">
        <w:rPr>
          <w:rFonts w:ascii="Verdana" w:hAnsi="Verdana" w:cs="Arial"/>
          <w:sz w:val="22"/>
          <w:szCs w:val="22"/>
        </w:rPr>
        <w:t>100</w:t>
      </w:r>
      <w:r w:rsidRPr="00205C60">
        <w:rPr>
          <w:rFonts w:ascii="Verdana" w:hAnsi="Verdana" w:cs="Arial"/>
          <w:sz w:val="22"/>
          <w:szCs w:val="22"/>
        </w:rPr>
        <w:t>.000.000,00</w:t>
      </w:r>
      <w:r w:rsidR="003E1693" w:rsidRPr="00205C60">
        <w:rPr>
          <w:rFonts w:ascii="Verdana" w:hAnsi="Verdana" w:cs="Arial"/>
          <w:sz w:val="22"/>
          <w:szCs w:val="22"/>
        </w:rPr>
        <w:t xml:space="preserve"> (denominado Gasto real en CNFL) </w:t>
      </w:r>
    </w:p>
    <w:p w14:paraId="3CA7F0E5" w14:textId="5477775F" w:rsidR="009571C4" w:rsidRPr="00205C60" w:rsidRDefault="009571C4" w:rsidP="009571C4">
      <w:pPr>
        <w:ind w:left="360"/>
        <w:jc w:val="both"/>
        <w:rPr>
          <w:rFonts w:ascii="Verdana" w:hAnsi="Verdana" w:cs="Arial"/>
          <w:sz w:val="22"/>
          <w:szCs w:val="22"/>
        </w:rPr>
      </w:pPr>
      <w:r w:rsidRPr="00205C60">
        <w:rPr>
          <w:rFonts w:ascii="Verdana" w:hAnsi="Verdana" w:cs="Arial"/>
          <w:sz w:val="22"/>
          <w:szCs w:val="22"/>
        </w:rPr>
        <w:t xml:space="preserve">Asalto y/o robo con </w:t>
      </w:r>
      <w:r w:rsidR="00780E99" w:rsidRPr="00205C60">
        <w:rPr>
          <w:rFonts w:ascii="Verdana" w:hAnsi="Verdana" w:cs="Arial"/>
          <w:sz w:val="22"/>
          <w:szCs w:val="22"/>
        </w:rPr>
        <w:t>violencia $</w:t>
      </w:r>
      <w:r w:rsidRPr="00205C60">
        <w:rPr>
          <w:rFonts w:ascii="Verdana" w:hAnsi="Verdana" w:cs="Arial"/>
          <w:sz w:val="22"/>
          <w:szCs w:val="22"/>
        </w:rPr>
        <w:t xml:space="preserve"> 1.000.000,00</w:t>
      </w:r>
    </w:p>
    <w:p w14:paraId="3CA7F0E6" w14:textId="2B67BB94" w:rsidR="009571C4" w:rsidRPr="00205C60" w:rsidRDefault="009571C4" w:rsidP="009571C4">
      <w:pPr>
        <w:ind w:left="360"/>
        <w:jc w:val="both"/>
        <w:rPr>
          <w:rFonts w:ascii="Verdana" w:hAnsi="Verdana" w:cs="Arial"/>
          <w:sz w:val="22"/>
          <w:szCs w:val="22"/>
        </w:rPr>
      </w:pPr>
      <w:r w:rsidRPr="00205C60">
        <w:rPr>
          <w:rFonts w:ascii="Verdana" w:hAnsi="Verdana" w:cs="Arial"/>
          <w:sz w:val="22"/>
          <w:szCs w:val="22"/>
        </w:rPr>
        <w:t xml:space="preserve">Propiedad en tránsito </w:t>
      </w:r>
      <w:r w:rsidR="00780E99" w:rsidRPr="00205C60">
        <w:rPr>
          <w:rFonts w:ascii="Verdana" w:hAnsi="Verdana" w:cs="Arial"/>
          <w:sz w:val="22"/>
          <w:szCs w:val="22"/>
        </w:rPr>
        <w:t>terrestre $</w:t>
      </w:r>
      <w:r w:rsidRPr="00205C60">
        <w:rPr>
          <w:rFonts w:ascii="Verdana" w:hAnsi="Verdana" w:cs="Arial"/>
          <w:sz w:val="22"/>
          <w:szCs w:val="22"/>
        </w:rPr>
        <w:t xml:space="preserve"> 1.000.000,00</w:t>
      </w:r>
    </w:p>
    <w:p w14:paraId="3CA7F0E7" w14:textId="7C84C39E" w:rsidR="009571C4" w:rsidRPr="00205C60" w:rsidRDefault="009571C4" w:rsidP="009571C4">
      <w:pPr>
        <w:ind w:left="360"/>
        <w:jc w:val="both"/>
        <w:rPr>
          <w:rFonts w:ascii="Verdana" w:hAnsi="Verdana" w:cs="Arial"/>
          <w:sz w:val="22"/>
          <w:szCs w:val="22"/>
        </w:rPr>
      </w:pPr>
      <w:r w:rsidRPr="00205C60">
        <w:rPr>
          <w:rFonts w:ascii="Verdana" w:hAnsi="Verdana" w:cs="Arial"/>
          <w:sz w:val="22"/>
          <w:szCs w:val="22"/>
        </w:rPr>
        <w:t xml:space="preserve">Remoción de </w:t>
      </w:r>
      <w:r w:rsidR="00780E99" w:rsidRPr="00205C60">
        <w:rPr>
          <w:rFonts w:ascii="Verdana" w:hAnsi="Verdana" w:cs="Arial"/>
          <w:sz w:val="22"/>
          <w:szCs w:val="22"/>
        </w:rPr>
        <w:t>escombros $</w:t>
      </w:r>
      <w:r w:rsidRPr="00205C60">
        <w:rPr>
          <w:rFonts w:ascii="Verdana" w:hAnsi="Verdana" w:cs="Arial"/>
          <w:sz w:val="22"/>
          <w:szCs w:val="22"/>
        </w:rPr>
        <w:t xml:space="preserve"> 10.000.000,00</w:t>
      </w:r>
    </w:p>
    <w:p w14:paraId="3CA7F0E8" w14:textId="1FDFF516" w:rsidR="009571C4" w:rsidRPr="00205C60" w:rsidRDefault="009571C4" w:rsidP="009571C4">
      <w:pPr>
        <w:ind w:left="360"/>
        <w:jc w:val="both"/>
        <w:rPr>
          <w:rFonts w:ascii="Verdana" w:hAnsi="Verdana" w:cs="Arial"/>
          <w:sz w:val="22"/>
          <w:szCs w:val="22"/>
        </w:rPr>
      </w:pPr>
      <w:r w:rsidRPr="00205C60">
        <w:rPr>
          <w:rFonts w:ascii="Verdana" w:hAnsi="Verdana" w:cs="Arial"/>
          <w:sz w:val="22"/>
          <w:szCs w:val="22"/>
        </w:rPr>
        <w:t xml:space="preserve">Propiedad en curso de </w:t>
      </w:r>
      <w:r w:rsidR="00780E99" w:rsidRPr="00205C60">
        <w:rPr>
          <w:rFonts w:ascii="Verdana" w:hAnsi="Verdana" w:cs="Arial"/>
          <w:sz w:val="22"/>
          <w:szCs w:val="22"/>
        </w:rPr>
        <w:t>construcción $</w:t>
      </w:r>
      <w:r w:rsidRPr="00205C60">
        <w:rPr>
          <w:rFonts w:ascii="Verdana" w:hAnsi="Verdana" w:cs="Arial"/>
          <w:sz w:val="22"/>
          <w:szCs w:val="22"/>
        </w:rPr>
        <w:t xml:space="preserve"> 15.000.000,00</w:t>
      </w:r>
    </w:p>
    <w:p w14:paraId="6DCA0616" w14:textId="45C35D19" w:rsidR="00472E30" w:rsidRPr="00205C60" w:rsidRDefault="00472E30" w:rsidP="009571C4">
      <w:pPr>
        <w:ind w:left="360"/>
        <w:jc w:val="both"/>
        <w:rPr>
          <w:rFonts w:ascii="Verdana" w:hAnsi="Verdana" w:cs="Arial"/>
          <w:sz w:val="22"/>
          <w:szCs w:val="22"/>
        </w:rPr>
      </w:pPr>
    </w:p>
    <w:p w14:paraId="72D75B1A" w14:textId="4ACED82D" w:rsidR="00472E30" w:rsidRPr="00205C60" w:rsidRDefault="00472E30" w:rsidP="009571C4">
      <w:pPr>
        <w:ind w:left="360"/>
        <w:jc w:val="both"/>
        <w:rPr>
          <w:rFonts w:ascii="Verdana" w:hAnsi="Verdana" w:cs="Arial"/>
          <w:sz w:val="22"/>
          <w:szCs w:val="22"/>
        </w:rPr>
      </w:pPr>
    </w:p>
    <w:p w14:paraId="7C480731" w14:textId="77777777" w:rsidR="00472E30" w:rsidRPr="00205C60" w:rsidRDefault="00472E30" w:rsidP="009571C4">
      <w:pPr>
        <w:ind w:left="360"/>
        <w:jc w:val="both"/>
        <w:rPr>
          <w:rFonts w:ascii="Verdana" w:hAnsi="Verdana" w:cs="Arial"/>
          <w:sz w:val="22"/>
          <w:szCs w:val="22"/>
        </w:rPr>
      </w:pPr>
    </w:p>
    <w:p w14:paraId="3CA7F0E9" w14:textId="77777777" w:rsidR="000E5675" w:rsidRPr="00205C60" w:rsidRDefault="000E5675" w:rsidP="009571C4">
      <w:pPr>
        <w:ind w:left="360"/>
        <w:jc w:val="both"/>
        <w:rPr>
          <w:rFonts w:ascii="Verdana" w:hAnsi="Verdana" w:cs="Arial"/>
          <w:sz w:val="22"/>
          <w:szCs w:val="22"/>
        </w:rPr>
      </w:pPr>
    </w:p>
    <w:p w14:paraId="3CA7F0EA" w14:textId="77777777" w:rsidR="009571C4" w:rsidRPr="00205C60" w:rsidRDefault="009571C4" w:rsidP="00046EA9">
      <w:pPr>
        <w:numPr>
          <w:ilvl w:val="0"/>
          <w:numId w:val="11"/>
        </w:numPr>
        <w:jc w:val="both"/>
        <w:rPr>
          <w:rFonts w:ascii="Verdana" w:hAnsi="Verdana" w:cs="Arial"/>
          <w:b/>
          <w:sz w:val="22"/>
          <w:szCs w:val="22"/>
        </w:rPr>
      </w:pPr>
      <w:r w:rsidRPr="00205C60">
        <w:rPr>
          <w:rFonts w:ascii="Verdana" w:hAnsi="Verdana" w:cs="Arial"/>
          <w:b/>
          <w:sz w:val="22"/>
          <w:szCs w:val="22"/>
        </w:rPr>
        <w:t>Responsabilidad Civil:</w:t>
      </w:r>
    </w:p>
    <w:p w14:paraId="3CA7F0EB" w14:textId="77777777" w:rsidR="007E4F3B" w:rsidRPr="00205C60" w:rsidRDefault="007E4F3B" w:rsidP="007E4F3B">
      <w:pPr>
        <w:ind w:left="720"/>
        <w:jc w:val="both"/>
        <w:rPr>
          <w:rFonts w:ascii="Verdana" w:hAnsi="Verdana" w:cs="Arial"/>
          <w:b/>
          <w:sz w:val="22"/>
          <w:szCs w:val="22"/>
        </w:rPr>
      </w:pPr>
    </w:p>
    <w:p w14:paraId="3CA7F0EC" w14:textId="77777777" w:rsidR="009571C4" w:rsidRPr="00205C60" w:rsidRDefault="009E1B87" w:rsidP="009E1B87">
      <w:pPr>
        <w:ind w:left="360"/>
        <w:rPr>
          <w:rFonts w:ascii="Verdana" w:hAnsi="Verdana" w:cs="Arial"/>
          <w:sz w:val="22"/>
          <w:szCs w:val="22"/>
        </w:rPr>
      </w:pPr>
      <w:r w:rsidRPr="00205C60">
        <w:rPr>
          <w:rFonts w:ascii="Verdana" w:hAnsi="Verdana" w:cs="Arial"/>
          <w:sz w:val="22"/>
          <w:szCs w:val="22"/>
        </w:rPr>
        <w:t>$ 25.000.000,00 toda y cada pérdida en el agregado por el período en exceso de deducibles.</w:t>
      </w:r>
    </w:p>
    <w:p w14:paraId="3CA7F0ED" w14:textId="77777777" w:rsidR="00C552E3" w:rsidRPr="00205C60" w:rsidRDefault="00C552E3" w:rsidP="009571C4">
      <w:pPr>
        <w:ind w:left="360"/>
        <w:jc w:val="both"/>
        <w:rPr>
          <w:rFonts w:ascii="Verdana" w:hAnsi="Verdana" w:cs="Arial"/>
          <w:sz w:val="22"/>
          <w:szCs w:val="22"/>
        </w:rPr>
      </w:pPr>
    </w:p>
    <w:p w14:paraId="3CA7F0EE" w14:textId="77777777" w:rsidR="009571C4" w:rsidRPr="00205C60" w:rsidRDefault="009571C4" w:rsidP="00046EA9">
      <w:pPr>
        <w:numPr>
          <w:ilvl w:val="0"/>
          <w:numId w:val="11"/>
        </w:numPr>
        <w:jc w:val="both"/>
        <w:rPr>
          <w:rFonts w:ascii="Verdana" w:hAnsi="Verdana" w:cs="Arial"/>
          <w:b/>
          <w:sz w:val="22"/>
          <w:szCs w:val="22"/>
        </w:rPr>
      </w:pPr>
      <w:r w:rsidRPr="00205C60">
        <w:rPr>
          <w:rFonts w:ascii="Verdana" w:hAnsi="Verdana" w:cs="Arial"/>
          <w:b/>
          <w:sz w:val="22"/>
          <w:szCs w:val="22"/>
        </w:rPr>
        <w:t>Terrorismo y sabotaje:</w:t>
      </w:r>
    </w:p>
    <w:p w14:paraId="3CA7F0EF" w14:textId="77777777" w:rsidR="007E4F3B" w:rsidRPr="00205C60" w:rsidRDefault="007E4F3B" w:rsidP="007E4F3B">
      <w:pPr>
        <w:ind w:left="720"/>
        <w:jc w:val="both"/>
        <w:rPr>
          <w:rFonts w:ascii="Verdana" w:hAnsi="Verdana" w:cs="Arial"/>
          <w:b/>
          <w:sz w:val="22"/>
          <w:szCs w:val="22"/>
        </w:rPr>
      </w:pPr>
    </w:p>
    <w:p w14:paraId="3CA7F0F0" w14:textId="77777777" w:rsidR="009571C4" w:rsidRPr="00205C60" w:rsidRDefault="009571C4" w:rsidP="009571C4">
      <w:pPr>
        <w:ind w:left="360"/>
        <w:jc w:val="both"/>
        <w:rPr>
          <w:rFonts w:ascii="Verdana" w:hAnsi="Verdana" w:cs="Arial"/>
          <w:sz w:val="22"/>
          <w:szCs w:val="22"/>
        </w:rPr>
      </w:pPr>
      <w:r w:rsidRPr="00205C60">
        <w:rPr>
          <w:rFonts w:ascii="Verdana" w:hAnsi="Verdana" w:cs="Arial"/>
          <w:sz w:val="22"/>
          <w:szCs w:val="22"/>
        </w:rPr>
        <w:t>Límite de responsabilidad: $ 10.000.000,00</w:t>
      </w:r>
    </w:p>
    <w:p w14:paraId="3CA7F0F1" w14:textId="77777777" w:rsidR="00845A92" w:rsidRPr="00205C60" w:rsidRDefault="00845A92" w:rsidP="009571C4">
      <w:pPr>
        <w:ind w:left="360"/>
        <w:jc w:val="both"/>
        <w:rPr>
          <w:rFonts w:ascii="Verdana" w:hAnsi="Verdana" w:cs="Arial"/>
          <w:sz w:val="22"/>
          <w:szCs w:val="22"/>
        </w:rPr>
      </w:pPr>
    </w:p>
    <w:p w14:paraId="3CA7F0F2" w14:textId="77777777" w:rsidR="00845A92" w:rsidRPr="00205C60" w:rsidRDefault="00845A92" w:rsidP="00046EA9">
      <w:pPr>
        <w:numPr>
          <w:ilvl w:val="0"/>
          <w:numId w:val="11"/>
        </w:numPr>
        <w:jc w:val="both"/>
        <w:rPr>
          <w:rFonts w:ascii="Verdana" w:hAnsi="Verdana" w:cs="Arial"/>
          <w:b/>
          <w:sz w:val="22"/>
          <w:szCs w:val="22"/>
        </w:rPr>
      </w:pPr>
      <w:r w:rsidRPr="00205C60">
        <w:rPr>
          <w:rFonts w:ascii="Verdana" w:hAnsi="Verdana" w:cs="Arial"/>
          <w:b/>
          <w:sz w:val="22"/>
          <w:szCs w:val="22"/>
        </w:rPr>
        <w:t>Responsabilidad Civil Profesional:</w:t>
      </w:r>
    </w:p>
    <w:p w14:paraId="3CA7F0F3" w14:textId="77777777" w:rsidR="007E4F3B" w:rsidRPr="00205C60" w:rsidRDefault="007E4F3B" w:rsidP="007E4F3B">
      <w:pPr>
        <w:ind w:left="720"/>
        <w:jc w:val="both"/>
        <w:rPr>
          <w:rFonts w:ascii="Verdana" w:hAnsi="Verdana" w:cs="Arial"/>
          <w:b/>
          <w:sz w:val="22"/>
          <w:szCs w:val="22"/>
        </w:rPr>
      </w:pPr>
    </w:p>
    <w:p w14:paraId="3CA7F0F4" w14:textId="77777777" w:rsidR="00845A92" w:rsidRPr="00205C60" w:rsidRDefault="00845A92" w:rsidP="00845A92">
      <w:pPr>
        <w:ind w:left="360"/>
        <w:jc w:val="both"/>
        <w:rPr>
          <w:rFonts w:ascii="Verdana" w:hAnsi="Verdana" w:cs="Arial"/>
          <w:sz w:val="22"/>
          <w:szCs w:val="22"/>
        </w:rPr>
      </w:pPr>
      <w:r w:rsidRPr="00205C60">
        <w:rPr>
          <w:rFonts w:ascii="Verdana" w:hAnsi="Verdana" w:cs="Arial"/>
          <w:sz w:val="22"/>
          <w:szCs w:val="22"/>
        </w:rPr>
        <w:t>Límite de responsabilidad: $ 10.000.000,00</w:t>
      </w:r>
      <w:r w:rsidR="00FC27B8" w:rsidRPr="00205C60">
        <w:rPr>
          <w:rFonts w:ascii="Verdana" w:hAnsi="Verdana" w:cs="Arial"/>
          <w:sz w:val="22"/>
          <w:szCs w:val="22"/>
        </w:rPr>
        <w:t xml:space="preserve">. Se asegura el proceso de reparación de elementos de turbina de la </w:t>
      </w:r>
      <w:r w:rsidR="000A37E6" w:rsidRPr="00205C60">
        <w:rPr>
          <w:rFonts w:ascii="Verdana" w:hAnsi="Verdana" w:cs="Arial"/>
          <w:sz w:val="22"/>
          <w:szCs w:val="22"/>
        </w:rPr>
        <w:t>Unidad Taller Anonos</w:t>
      </w:r>
      <w:r w:rsidR="00FC27B8" w:rsidRPr="00205C60">
        <w:rPr>
          <w:rFonts w:ascii="Verdana" w:hAnsi="Verdana" w:cs="Arial"/>
          <w:sz w:val="22"/>
          <w:szCs w:val="22"/>
        </w:rPr>
        <w:t>.</w:t>
      </w:r>
    </w:p>
    <w:p w14:paraId="3CA7F0F5" w14:textId="77777777" w:rsidR="00845A92" w:rsidRPr="00205C60" w:rsidRDefault="00845A92" w:rsidP="009571C4">
      <w:pPr>
        <w:ind w:left="360"/>
        <w:jc w:val="both"/>
        <w:rPr>
          <w:rFonts w:ascii="Verdana" w:hAnsi="Verdana" w:cs="Arial"/>
          <w:sz w:val="22"/>
          <w:szCs w:val="22"/>
        </w:rPr>
      </w:pPr>
    </w:p>
    <w:p w14:paraId="3CA7F0F6" w14:textId="77777777" w:rsidR="00B860F5" w:rsidRPr="00205C60" w:rsidRDefault="00B860F5" w:rsidP="00C2198A">
      <w:pPr>
        <w:pStyle w:val="Ttulo1"/>
        <w:numPr>
          <w:ilvl w:val="0"/>
          <w:numId w:val="0"/>
        </w:numPr>
        <w:jc w:val="center"/>
        <w:rPr>
          <w:rFonts w:ascii="Verdana" w:hAnsi="Verdana" w:cs="Arial"/>
          <w:bCs/>
          <w:sz w:val="22"/>
          <w:szCs w:val="22"/>
        </w:rPr>
      </w:pPr>
      <w:bookmarkStart w:id="132" w:name="_Toc64695498"/>
      <w:bookmarkStart w:id="133" w:name="_Toc64699231"/>
    </w:p>
    <w:p w14:paraId="3CA7F0F7" w14:textId="77777777" w:rsidR="00296721" w:rsidRPr="00205C60" w:rsidRDefault="00296721" w:rsidP="00296721">
      <w:pPr>
        <w:rPr>
          <w:rFonts w:ascii="Verdana" w:hAnsi="Verdana"/>
          <w:sz w:val="22"/>
          <w:szCs w:val="22"/>
        </w:rPr>
      </w:pPr>
    </w:p>
    <w:p w14:paraId="3CA7F0F8" w14:textId="586D7690" w:rsidR="00765F6E" w:rsidRPr="00205C60" w:rsidRDefault="00765F6E">
      <w:pPr>
        <w:rPr>
          <w:rFonts w:ascii="Verdana" w:hAnsi="Verdana"/>
          <w:sz w:val="22"/>
          <w:szCs w:val="22"/>
        </w:rPr>
      </w:pPr>
      <w:r w:rsidRPr="00205C60">
        <w:rPr>
          <w:rFonts w:ascii="Verdana" w:hAnsi="Verdana"/>
          <w:sz w:val="22"/>
          <w:szCs w:val="22"/>
        </w:rPr>
        <w:br w:type="page"/>
      </w:r>
    </w:p>
    <w:p w14:paraId="3CA7F0FB" w14:textId="21879583" w:rsidR="00296721" w:rsidRPr="00205C60" w:rsidRDefault="00296721" w:rsidP="00296721">
      <w:pPr>
        <w:rPr>
          <w:rFonts w:ascii="Verdana" w:hAnsi="Verdana"/>
          <w:sz w:val="22"/>
          <w:szCs w:val="22"/>
        </w:rPr>
      </w:pPr>
    </w:p>
    <w:p w14:paraId="3CA7F0FC" w14:textId="77777777" w:rsidR="00296721" w:rsidRPr="00205C60" w:rsidRDefault="00296721" w:rsidP="00296721">
      <w:pPr>
        <w:rPr>
          <w:rFonts w:ascii="Verdana" w:hAnsi="Verdana"/>
          <w:sz w:val="22"/>
          <w:szCs w:val="22"/>
        </w:rPr>
      </w:pPr>
    </w:p>
    <w:p w14:paraId="3CA7F0FD" w14:textId="77777777" w:rsidR="00296721" w:rsidRPr="00205C60" w:rsidRDefault="00296721" w:rsidP="00296721">
      <w:pPr>
        <w:rPr>
          <w:rFonts w:ascii="Verdana" w:hAnsi="Verdana"/>
          <w:sz w:val="22"/>
          <w:szCs w:val="22"/>
        </w:rPr>
      </w:pPr>
    </w:p>
    <w:p w14:paraId="3CA7F11D" w14:textId="77777777" w:rsidR="00B44125" w:rsidRPr="00205C60" w:rsidRDefault="00B44125" w:rsidP="00C2198A">
      <w:pPr>
        <w:pStyle w:val="Ttulo1"/>
        <w:numPr>
          <w:ilvl w:val="0"/>
          <w:numId w:val="0"/>
        </w:numPr>
        <w:jc w:val="center"/>
        <w:rPr>
          <w:rFonts w:ascii="Verdana" w:hAnsi="Verdana" w:cs="Arial"/>
          <w:b w:val="0"/>
          <w:bCs/>
          <w:smallCaps w:val="0"/>
          <w:sz w:val="22"/>
          <w:szCs w:val="22"/>
        </w:rPr>
      </w:pPr>
      <w:bookmarkStart w:id="134" w:name="_Toc104529477"/>
      <w:r w:rsidRPr="00205C60">
        <w:rPr>
          <w:rFonts w:ascii="Verdana" w:hAnsi="Verdana" w:cs="Arial"/>
          <w:bCs/>
          <w:sz w:val="22"/>
          <w:szCs w:val="22"/>
        </w:rPr>
        <w:t>CAPITULO IV</w:t>
      </w:r>
      <w:bookmarkStart w:id="135" w:name="_Toc64695499"/>
      <w:bookmarkEnd w:id="132"/>
      <w:bookmarkEnd w:id="134"/>
    </w:p>
    <w:p w14:paraId="3CA7F11E" w14:textId="77777777" w:rsidR="00B44125" w:rsidRPr="00205C60" w:rsidRDefault="00B44125">
      <w:pPr>
        <w:pStyle w:val="Ttulo1"/>
        <w:numPr>
          <w:ilvl w:val="0"/>
          <w:numId w:val="0"/>
        </w:numPr>
        <w:jc w:val="center"/>
        <w:rPr>
          <w:rFonts w:ascii="Verdana" w:hAnsi="Verdana" w:cs="Arial"/>
          <w:bCs/>
          <w:sz w:val="22"/>
          <w:szCs w:val="22"/>
        </w:rPr>
      </w:pPr>
      <w:r w:rsidRPr="00205C60">
        <w:rPr>
          <w:rFonts w:ascii="Verdana" w:hAnsi="Verdana" w:cs="Arial"/>
          <w:bCs/>
          <w:sz w:val="22"/>
          <w:szCs w:val="22"/>
        </w:rPr>
        <w:t xml:space="preserve"> </w:t>
      </w:r>
      <w:bookmarkStart w:id="136" w:name="_Toc104529478"/>
      <w:r w:rsidRPr="00205C60">
        <w:rPr>
          <w:rFonts w:ascii="Verdana" w:hAnsi="Verdana" w:cs="Arial"/>
          <w:bCs/>
          <w:sz w:val="22"/>
          <w:szCs w:val="22"/>
        </w:rPr>
        <w:t>RESULTADOS DE OPERACIÓN Y FINANCIEROS E INFORMACIÓN PROSPECTIVA</w:t>
      </w:r>
      <w:bookmarkEnd w:id="133"/>
      <w:bookmarkEnd w:id="135"/>
      <w:bookmarkEnd w:id="136"/>
    </w:p>
    <w:p w14:paraId="3CA7F11F" w14:textId="77777777" w:rsidR="00B473DE" w:rsidRPr="00205C60" w:rsidRDefault="00B473DE">
      <w:pPr>
        <w:jc w:val="both"/>
        <w:rPr>
          <w:rFonts w:ascii="Verdana" w:hAnsi="Verdana" w:cs="Arial"/>
          <w:sz w:val="22"/>
          <w:szCs w:val="22"/>
        </w:rPr>
      </w:pPr>
    </w:p>
    <w:p w14:paraId="3CA7F120" w14:textId="76C400B6" w:rsidR="006B4186" w:rsidRPr="00205C60" w:rsidRDefault="00B44125">
      <w:pPr>
        <w:jc w:val="both"/>
        <w:rPr>
          <w:rFonts w:ascii="Verdana" w:hAnsi="Verdana" w:cs="Arial"/>
          <w:sz w:val="22"/>
          <w:szCs w:val="22"/>
        </w:rPr>
      </w:pPr>
      <w:r w:rsidRPr="00205C60">
        <w:rPr>
          <w:rFonts w:ascii="Verdana" w:hAnsi="Verdana" w:cs="Arial"/>
          <w:sz w:val="22"/>
          <w:szCs w:val="22"/>
        </w:rPr>
        <w:t>En la actualidad, la Compañía Nacional de Fuerza y Luz S.A. está c</w:t>
      </w:r>
      <w:r w:rsidR="00175EA7" w:rsidRPr="00205C60">
        <w:rPr>
          <w:rFonts w:ascii="Verdana" w:hAnsi="Verdana" w:cs="Arial"/>
          <w:sz w:val="22"/>
          <w:szCs w:val="22"/>
        </w:rPr>
        <w:t>onsiderada</w:t>
      </w:r>
      <w:r w:rsidRPr="00205C60">
        <w:rPr>
          <w:rFonts w:ascii="Verdana" w:hAnsi="Verdana" w:cs="Arial"/>
          <w:sz w:val="22"/>
          <w:szCs w:val="22"/>
        </w:rPr>
        <w:t xml:space="preserve"> como la principal empresa distribuidora de electricidad en</w:t>
      </w:r>
      <w:r w:rsidR="00007906" w:rsidRPr="00205C60">
        <w:rPr>
          <w:rFonts w:ascii="Verdana" w:hAnsi="Verdana" w:cs="Arial"/>
          <w:sz w:val="22"/>
          <w:szCs w:val="22"/>
        </w:rPr>
        <w:t xml:space="preserve"> </w:t>
      </w:r>
      <w:r w:rsidR="0050362D" w:rsidRPr="00205C60">
        <w:rPr>
          <w:rFonts w:ascii="Verdana" w:hAnsi="Verdana" w:cs="Arial"/>
          <w:sz w:val="22"/>
          <w:szCs w:val="22"/>
        </w:rPr>
        <w:t>la gran área metropolitana</w:t>
      </w:r>
      <w:r w:rsidR="00A400E0" w:rsidRPr="00205C60">
        <w:rPr>
          <w:rFonts w:ascii="Verdana" w:hAnsi="Verdana" w:cs="Arial"/>
          <w:sz w:val="22"/>
          <w:szCs w:val="22"/>
        </w:rPr>
        <w:t xml:space="preserve">, a </w:t>
      </w:r>
      <w:r w:rsidR="00863B1B" w:rsidRPr="00205C60">
        <w:rPr>
          <w:rFonts w:ascii="Verdana" w:hAnsi="Verdana" w:cs="Arial"/>
          <w:sz w:val="22"/>
          <w:szCs w:val="22"/>
        </w:rPr>
        <w:t>continuación,</w:t>
      </w:r>
      <w:r w:rsidR="00A400E0" w:rsidRPr="00205C60">
        <w:rPr>
          <w:rFonts w:ascii="Verdana" w:hAnsi="Verdana" w:cs="Arial"/>
          <w:sz w:val="22"/>
          <w:szCs w:val="22"/>
        </w:rPr>
        <w:t xml:space="preserve"> se presenta cuadro comparativo de</w:t>
      </w:r>
      <w:r w:rsidR="00B513E6" w:rsidRPr="00205C60">
        <w:rPr>
          <w:rFonts w:ascii="Verdana" w:hAnsi="Verdana" w:cs="Arial"/>
          <w:sz w:val="22"/>
          <w:szCs w:val="22"/>
        </w:rPr>
        <w:t xml:space="preserve"> participación de</w:t>
      </w:r>
      <w:r w:rsidR="00A400E0" w:rsidRPr="00205C60">
        <w:rPr>
          <w:rFonts w:ascii="Verdana" w:hAnsi="Verdana" w:cs="Arial"/>
          <w:sz w:val="22"/>
          <w:szCs w:val="22"/>
        </w:rPr>
        <w:t xml:space="preserve"> clientes y ventas a diciembre 2022</w:t>
      </w:r>
      <w:r w:rsidR="00BC3EEB" w:rsidRPr="00205C60">
        <w:rPr>
          <w:rFonts w:ascii="Verdana" w:hAnsi="Verdana" w:cs="Arial"/>
          <w:sz w:val="22"/>
          <w:szCs w:val="22"/>
        </w:rPr>
        <w:t xml:space="preserve">, cuya fuente </w:t>
      </w:r>
      <w:r w:rsidR="00863B1B" w:rsidRPr="00205C60">
        <w:rPr>
          <w:rFonts w:ascii="Verdana" w:hAnsi="Verdana" w:cs="Arial"/>
          <w:sz w:val="22"/>
          <w:szCs w:val="22"/>
        </w:rPr>
        <w:t xml:space="preserve">de información </w:t>
      </w:r>
      <w:r w:rsidR="00BC3EEB" w:rsidRPr="00205C60">
        <w:rPr>
          <w:rFonts w:ascii="Verdana" w:hAnsi="Verdana" w:cs="Arial"/>
          <w:sz w:val="22"/>
          <w:szCs w:val="22"/>
        </w:rPr>
        <w:t>es la Autoridad</w:t>
      </w:r>
      <w:r w:rsidR="002920B4" w:rsidRPr="00205C60">
        <w:rPr>
          <w:rFonts w:ascii="Verdana" w:hAnsi="Verdana" w:cs="Arial"/>
          <w:sz w:val="22"/>
          <w:szCs w:val="22"/>
        </w:rPr>
        <w:t xml:space="preserve"> Reguladora de los Servicios Públicos.</w:t>
      </w:r>
      <w:r w:rsidR="00AA3772" w:rsidRPr="00205C60">
        <w:rPr>
          <w:rFonts w:ascii="Verdana" w:hAnsi="Verdana" w:cs="Arial"/>
          <w:sz w:val="22"/>
          <w:szCs w:val="22"/>
        </w:rPr>
        <w:t xml:space="preserve"> </w:t>
      </w:r>
    </w:p>
    <w:p w14:paraId="3CA7F121" w14:textId="77777777" w:rsidR="00B473DE" w:rsidRPr="00205C60" w:rsidRDefault="00B473DE">
      <w:pPr>
        <w:jc w:val="both"/>
        <w:rPr>
          <w:rFonts w:ascii="Verdana" w:hAnsi="Verdana"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755"/>
        <w:gridCol w:w="1701"/>
      </w:tblGrid>
      <w:tr w:rsidR="006B4186" w:rsidRPr="00205C60" w14:paraId="3CA7F124" w14:textId="77777777" w:rsidTr="00CE0622">
        <w:trPr>
          <w:trHeight w:val="620"/>
          <w:jc w:val="center"/>
        </w:trPr>
        <w:tc>
          <w:tcPr>
            <w:tcW w:w="6258" w:type="dxa"/>
            <w:gridSpan w:val="3"/>
            <w:vAlign w:val="center"/>
          </w:tcPr>
          <w:p w14:paraId="3CA7F122" w14:textId="77777777" w:rsidR="006B4186" w:rsidRPr="00205C60" w:rsidRDefault="00A357CA" w:rsidP="00CE0622">
            <w:pPr>
              <w:jc w:val="center"/>
              <w:rPr>
                <w:rFonts w:ascii="Verdana" w:hAnsi="Verdana" w:cs="Arial"/>
                <w:b/>
                <w:sz w:val="22"/>
                <w:szCs w:val="22"/>
              </w:rPr>
            </w:pPr>
            <w:r w:rsidRPr="00205C60">
              <w:rPr>
                <w:rFonts w:ascii="Verdana" w:hAnsi="Verdana" w:cs="Arial"/>
                <w:b/>
                <w:sz w:val="22"/>
                <w:szCs w:val="22"/>
              </w:rPr>
              <w:t xml:space="preserve">Sistema </w:t>
            </w:r>
            <w:r w:rsidR="00C2198A" w:rsidRPr="00205C60">
              <w:rPr>
                <w:rFonts w:ascii="Verdana" w:hAnsi="Verdana" w:cs="Arial"/>
                <w:b/>
                <w:sz w:val="22"/>
                <w:szCs w:val="22"/>
              </w:rPr>
              <w:t>Eléctrico N</w:t>
            </w:r>
            <w:r w:rsidRPr="00205C60">
              <w:rPr>
                <w:rFonts w:ascii="Verdana" w:hAnsi="Verdana" w:cs="Arial"/>
                <w:b/>
                <w:sz w:val="22"/>
                <w:szCs w:val="22"/>
              </w:rPr>
              <w:t>acional</w:t>
            </w:r>
          </w:p>
          <w:p w14:paraId="3CA7F123" w14:textId="3C4C91ED" w:rsidR="007D37A4" w:rsidRPr="00205C60" w:rsidRDefault="00416D16" w:rsidP="00953A41">
            <w:pPr>
              <w:jc w:val="center"/>
              <w:rPr>
                <w:rFonts w:ascii="Verdana" w:hAnsi="Verdana" w:cs="Arial"/>
                <w:b/>
                <w:color w:val="C00000"/>
                <w:sz w:val="22"/>
                <w:szCs w:val="22"/>
              </w:rPr>
            </w:pPr>
            <w:r w:rsidRPr="00205C60">
              <w:rPr>
                <w:rFonts w:ascii="Verdana" w:hAnsi="Verdana" w:cs="Arial"/>
                <w:b/>
                <w:sz w:val="22"/>
                <w:szCs w:val="22"/>
              </w:rPr>
              <w:t xml:space="preserve">Datos al mes de </w:t>
            </w:r>
            <w:r w:rsidR="0000278A" w:rsidRPr="00205C60">
              <w:rPr>
                <w:rFonts w:ascii="Verdana" w:hAnsi="Verdana" w:cs="Arial"/>
                <w:b/>
                <w:sz w:val="22"/>
                <w:szCs w:val="22"/>
              </w:rPr>
              <w:t xml:space="preserve">diciembre </w:t>
            </w:r>
            <w:r w:rsidRPr="00205C60">
              <w:rPr>
                <w:rFonts w:ascii="Verdana" w:hAnsi="Verdana" w:cs="Arial"/>
                <w:b/>
                <w:sz w:val="22"/>
                <w:szCs w:val="22"/>
              </w:rPr>
              <w:t>del 20</w:t>
            </w:r>
            <w:r w:rsidR="00953A41" w:rsidRPr="00205C60">
              <w:rPr>
                <w:rFonts w:ascii="Verdana" w:hAnsi="Verdana" w:cs="Arial"/>
                <w:b/>
                <w:sz w:val="22"/>
                <w:szCs w:val="22"/>
              </w:rPr>
              <w:t>2</w:t>
            </w:r>
            <w:r w:rsidR="00B77CDF" w:rsidRPr="00205C60">
              <w:rPr>
                <w:rFonts w:ascii="Verdana" w:hAnsi="Verdana" w:cs="Arial"/>
                <w:b/>
                <w:sz w:val="22"/>
                <w:szCs w:val="22"/>
              </w:rPr>
              <w:t>2</w:t>
            </w:r>
          </w:p>
        </w:tc>
      </w:tr>
      <w:tr w:rsidR="006B4186" w:rsidRPr="00205C60" w14:paraId="3CA7F128" w14:textId="77777777" w:rsidTr="00CE0622">
        <w:trPr>
          <w:trHeight w:val="274"/>
          <w:jc w:val="center"/>
        </w:trPr>
        <w:tc>
          <w:tcPr>
            <w:tcW w:w="2802" w:type="dxa"/>
            <w:vAlign w:val="center"/>
          </w:tcPr>
          <w:p w14:paraId="3CA7F125" w14:textId="77777777" w:rsidR="006B4186" w:rsidRPr="00205C60" w:rsidRDefault="00A357CA" w:rsidP="00CE0622">
            <w:pPr>
              <w:jc w:val="center"/>
              <w:rPr>
                <w:rFonts w:ascii="Verdana" w:hAnsi="Verdana" w:cs="Arial"/>
                <w:b/>
                <w:sz w:val="22"/>
                <w:szCs w:val="22"/>
              </w:rPr>
            </w:pPr>
            <w:r w:rsidRPr="00205C60">
              <w:rPr>
                <w:rFonts w:ascii="Verdana" w:hAnsi="Verdana" w:cs="Arial"/>
                <w:b/>
                <w:sz w:val="22"/>
                <w:szCs w:val="22"/>
              </w:rPr>
              <w:t>Entidades</w:t>
            </w:r>
          </w:p>
        </w:tc>
        <w:tc>
          <w:tcPr>
            <w:tcW w:w="1755" w:type="dxa"/>
            <w:vAlign w:val="center"/>
          </w:tcPr>
          <w:p w14:paraId="3CA7F126" w14:textId="77777777" w:rsidR="006B4186" w:rsidRPr="00205C60" w:rsidRDefault="00460B22" w:rsidP="00CE0622">
            <w:pPr>
              <w:jc w:val="center"/>
              <w:rPr>
                <w:rFonts w:ascii="Verdana" w:hAnsi="Verdana" w:cs="Arial"/>
                <w:b/>
                <w:sz w:val="22"/>
                <w:szCs w:val="22"/>
              </w:rPr>
            </w:pPr>
            <w:r w:rsidRPr="00205C60">
              <w:rPr>
                <w:rFonts w:ascii="Verdana" w:hAnsi="Verdana" w:cs="Arial"/>
                <w:b/>
                <w:sz w:val="22"/>
                <w:szCs w:val="22"/>
              </w:rPr>
              <w:t xml:space="preserve">% </w:t>
            </w:r>
            <w:r w:rsidR="00A357CA" w:rsidRPr="00205C60">
              <w:rPr>
                <w:rFonts w:ascii="Verdana" w:hAnsi="Verdana" w:cs="Arial"/>
                <w:b/>
                <w:sz w:val="22"/>
                <w:szCs w:val="22"/>
              </w:rPr>
              <w:t>clientes</w:t>
            </w:r>
          </w:p>
        </w:tc>
        <w:tc>
          <w:tcPr>
            <w:tcW w:w="1701" w:type="dxa"/>
            <w:vAlign w:val="center"/>
          </w:tcPr>
          <w:p w14:paraId="3CA7F127" w14:textId="77777777" w:rsidR="006B4186" w:rsidRPr="00205C60" w:rsidRDefault="00460B22" w:rsidP="00CE0622">
            <w:pPr>
              <w:jc w:val="center"/>
              <w:rPr>
                <w:rFonts w:ascii="Verdana" w:hAnsi="Verdana" w:cs="Arial"/>
                <w:b/>
                <w:sz w:val="22"/>
                <w:szCs w:val="22"/>
              </w:rPr>
            </w:pPr>
            <w:r w:rsidRPr="00205C60">
              <w:rPr>
                <w:rFonts w:ascii="Verdana" w:hAnsi="Verdana" w:cs="Arial"/>
                <w:b/>
                <w:sz w:val="22"/>
                <w:szCs w:val="22"/>
              </w:rPr>
              <w:t xml:space="preserve">% </w:t>
            </w:r>
            <w:r w:rsidR="00A357CA" w:rsidRPr="00205C60">
              <w:rPr>
                <w:rFonts w:ascii="Verdana" w:hAnsi="Verdana" w:cs="Arial"/>
                <w:b/>
                <w:sz w:val="22"/>
                <w:szCs w:val="22"/>
              </w:rPr>
              <w:t>ventas</w:t>
            </w:r>
          </w:p>
        </w:tc>
      </w:tr>
      <w:tr w:rsidR="006B4186" w:rsidRPr="00205C60" w14:paraId="3CA7F12C" w14:textId="77777777" w:rsidTr="00CE0622">
        <w:trPr>
          <w:jc w:val="center"/>
        </w:trPr>
        <w:tc>
          <w:tcPr>
            <w:tcW w:w="2802" w:type="dxa"/>
            <w:vAlign w:val="center"/>
          </w:tcPr>
          <w:p w14:paraId="3CA7F129" w14:textId="77777777" w:rsidR="006B4186" w:rsidRPr="00205C60" w:rsidRDefault="00416D16" w:rsidP="00CE0622">
            <w:pPr>
              <w:jc w:val="center"/>
              <w:rPr>
                <w:rFonts w:ascii="Verdana" w:hAnsi="Verdana" w:cs="Arial"/>
                <w:sz w:val="22"/>
                <w:szCs w:val="22"/>
              </w:rPr>
            </w:pPr>
            <w:r w:rsidRPr="00205C60">
              <w:rPr>
                <w:rFonts w:ascii="Verdana" w:hAnsi="Verdana" w:cs="Arial"/>
                <w:sz w:val="22"/>
                <w:szCs w:val="22"/>
              </w:rPr>
              <w:t>ICE</w:t>
            </w:r>
          </w:p>
        </w:tc>
        <w:tc>
          <w:tcPr>
            <w:tcW w:w="1755" w:type="dxa"/>
            <w:vAlign w:val="center"/>
          </w:tcPr>
          <w:p w14:paraId="3CA7F12A" w14:textId="2658C6AE" w:rsidR="006B4186" w:rsidRPr="00205C60" w:rsidRDefault="00827FF0" w:rsidP="00953A41">
            <w:pPr>
              <w:tabs>
                <w:tab w:val="center" w:pos="1436"/>
                <w:tab w:val="right" w:pos="2872"/>
              </w:tabs>
              <w:jc w:val="center"/>
              <w:rPr>
                <w:rFonts w:ascii="Verdana" w:hAnsi="Verdana" w:cs="Arial"/>
                <w:sz w:val="22"/>
                <w:szCs w:val="22"/>
              </w:rPr>
            </w:pPr>
            <w:r w:rsidRPr="00205C60">
              <w:rPr>
                <w:rFonts w:ascii="Verdana" w:hAnsi="Verdana" w:cs="Arial"/>
                <w:sz w:val="22"/>
                <w:szCs w:val="22"/>
              </w:rPr>
              <w:t>4</w:t>
            </w:r>
            <w:r w:rsidR="008E0CAD" w:rsidRPr="00205C60">
              <w:rPr>
                <w:rFonts w:ascii="Verdana" w:hAnsi="Verdana" w:cs="Arial"/>
                <w:sz w:val="22"/>
                <w:szCs w:val="22"/>
              </w:rPr>
              <w:t>5</w:t>
            </w:r>
          </w:p>
        </w:tc>
        <w:tc>
          <w:tcPr>
            <w:tcW w:w="1701" w:type="dxa"/>
            <w:vAlign w:val="center"/>
          </w:tcPr>
          <w:p w14:paraId="3CA7F12B" w14:textId="294FFAD0" w:rsidR="006B4186" w:rsidRPr="00205C60" w:rsidRDefault="00050404" w:rsidP="00953A41">
            <w:pPr>
              <w:jc w:val="center"/>
              <w:rPr>
                <w:rFonts w:ascii="Verdana" w:hAnsi="Verdana" w:cs="Arial"/>
                <w:sz w:val="22"/>
                <w:szCs w:val="22"/>
              </w:rPr>
            </w:pPr>
            <w:r w:rsidRPr="00205C60">
              <w:rPr>
                <w:rFonts w:ascii="Verdana" w:hAnsi="Verdana" w:cs="Arial"/>
                <w:sz w:val="22"/>
                <w:szCs w:val="22"/>
              </w:rPr>
              <w:t>4</w:t>
            </w:r>
            <w:r w:rsidR="00D92251" w:rsidRPr="00205C60">
              <w:rPr>
                <w:rFonts w:ascii="Verdana" w:hAnsi="Verdana" w:cs="Arial"/>
                <w:sz w:val="22"/>
                <w:szCs w:val="22"/>
              </w:rPr>
              <w:t>2</w:t>
            </w:r>
          </w:p>
        </w:tc>
      </w:tr>
      <w:tr w:rsidR="006B4186" w:rsidRPr="00205C60" w14:paraId="3CA7F130" w14:textId="77777777" w:rsidTr="00CE0622">
        <w:trPr>
          <w:jc w:val="center"/>
        </w:trPr>
        <w:tc>
          <w:tcPr>
            <w:tcW w:w="2802" w:type="dxa"/>
            <w:vAlign w:val="center"/>
          </w:tcPr>
          <w:p w14:paraId="3CA7F12D" w14:textId="77777777" w:rsidR="006B4186" w:rsidRPr="00205C60" w:rsidRDefault="00416D16" w:rsidP="00CE0622">
            <w:pPr>
              <w:jc w:val="center"/>
              <w:rPr>
                <w:rFonts w:ascii="Verdana" w:hAnsi="Verdana" w:cs="Arial"/>
                <w:sz w:val="22"/>
                <w:szCs w:val="22"/>
              </w:rPr>
            </w:pPr>
            <w:r w:rsidRPr="00205C60">
              <w:rPr>
                <w:rFonts w:ascii="Verdana" w:hAnsi="Verdana" w:cs="Arial"/>
                <w:sz w:val="22"/>
                <w:szCs w:val="22"/>
              </w:rPr>
              <w:t>CNFL</w:t>
            </w:r>
          </w:p>
        </w:tc>
        <w:tc>
          <w:tcPr>
            <w:tcW w:w="1755" w:type="dxa"/>
            <w:vAlign w:val="center"/>
          </w:tcPr>
          <w:p w14:paraId="3CA7F12E" w14:textId="15173AAF" w:rsidR="006B4186" w:rsidRPr="00205C60" w:rsidRDefault="00983B64" w:rsidP="00953A41">
            <w:pPr>
              <w:jc w:val="center"/>
              <w:rPr>
                <w:rFonts w:ascii="Verdana" w:hAnsi="Verdana" w:cs="Arial"/>
                <w:sz w:val="22"/>
                <w:szCs w:val="22"/>
              </w:rPr>
            </w:pPr>
            <w:r w:rsidRPr="00205C60">
              <w:rPr>
                <w:rFonts w:ascii="Verdana" w:hAnsi="Verdana" w:cs="Arial"/>
                <w:sz w:val="22"/>
                <w:szCs w:val="22"/>
              </w:rPr>
              <w:t>3</w:t>
            </w:r>
            <w:r w:rsidR="00827FF0" w:rsidRPr="00205C60">
              <w:rPr>
                <w:rFonts w:ascii="Verdana" w:hAnsi="Verdana" w:cs="Arial"/>
                <w:sz w:val="22"/>
                <w:szCs w:val="22"/>
              </w:rPr>
              <w:t>1</w:t>
            </w:r>
          </w:p>
        </w:tc>
        <w:tc>
          <w:tcPr>
            <w:tcW w:w="1701" w:type="dxa"/>
            <w:vAlign w:val="center"/>
          </w:tcPr>
          <w:p w14:paraId="3CA7F12F" w14:textId="6E9470D5" w:rsidR="006B4186" w:rsidRPr="00205C60" w:rsidRDefault="00050404" w:rsidP="00953A41">
            <w:pPr>
              <w:jc w:val="center"/>
              <w:rPr>
                <w:rFonts w:ascii="Verdana" w:hAnsi="Verdana" w:cs="Arial"/>
                <w:sz w:val="22"/>
                <w:szCs w:val="22"/>
              </w:rPr>
            </w:pPr>
            <w:r w:rsidRPr="00205C60">
              <w:rPr>
                <w:rFonts w:ascii="Verdana" w:hAnsi="Verdana" w:cs="Arial"/>
                <w:sz w:val="22"/>
                <w:szCs w:val="22"/>
              </w:rPr>
              <w:t>3</w:t>
            </w:r>
            <w:r w:rsidR="00953A41" w:rsidRPr="00205C60">
              <w:rPr>
                <w:rFonts w:ascii="Verdana" w:hAnsi="Verdana" w:cs="Arial"/>
                <w:sz w:val="22"/>
                <w:szCs w:val="22"/>
              </w:rPr>
              <w:t>3</w:t>
            </w:r>
          </w:p>
        </w:tc>
      </w:tr>
      <w:tr w:rsidR="006B4186" w:rsidRPr="00205C60" w14:paraId="3CA7F134" w14:textId="77777777" w:rsidTr="00CE0622">
        <w:trPr>
          <w:jc w:val="center"/>
        </w:trPr>
        <w:tc>
          <w:tcPr>
            <w:tcW w:w="2802" w:type="dxa"/>
            <w:vAlign w:val="center"/>
          </w:tcPr>
          <w:p w14:paraId="3CA7F131" w14:textId="77777777" w:rsidR="006B4186" w:rsidRPr="00205C60" w:rsidRDefault="0005694B" w:rsidP="00CE0622">
            <w:pPr>
              <w:jc w:val="center"/>
              <w:rPr>
                <w:rFonts w:ascii="Verdana" w:hAnsi="Verdana" w:cs="Arial"/>
                <w:sz w:val="22"/>
                <w:szCs w:val="22"/>
              </w:rPr>
            </w:pPr>
            <w:r w:rsidRPr="00205C60">
              <w:rPr>
                <w:rFonts w:ascii="Verdana" w:hAnsi="Verdana" w:cs="Arial"/>
                <w:sz w:val="22"/>
                <w:szCs w:val="22"/>
              </w:rPr>
              <w:t>ESPH</w:t>
            </w:r>
          </w:p>
        </w:tc>
        <w:tc>
          <w:tcPr>
            <w:tcW w:w="1755" w:type="dxa"/>
            <w:vAlign w:val="center"/>
          </w:tcPr>
          <w:p w14:paraId="3CA7F132" w14:textId="05050283" w:rsidR="006B4186" w:rsidRPr="00205C60" w:rsidRDefault="00B77CDF" w:rsidP="00CE0622">
            <w:pPr>
              <w:jc w:val="center"/>
              <w:rPr>
                <w:rFonts w:ascii="Verdana" w:hAnsi="Verdana" w:cs="Arial"/>
                <w:sz w:val="22"/>
                <w:szCs w:val="22"/>
              </w:rPr>
            </w:pPr>
            <w:r w:rsidRPr="00205C60">
              <w:rPr>
                <w:rFonts w:ascii="Verdana" w:hAnsi="Verdana" w:cs="Arial"/>
                <w:sz w:val="22"/>
                <w:szCs w:val="22"/>
              </w:rPr>
              <w:t>5</w:t>
            </w:r>
          </w:p>
        </w:tc>
        <w:tc>
          <w:tcPr>
            <w:tcW w:w="1701" w:type="dxa"/>
            <w:vAlign w:val="center"/>
          </w:tcPr>
          <w:p w14:paraId="3CA7F133" w14:textId="2F7F997A" w:rsidR="006B4186" w:rsidRPr="00205C60" w:rsidRDefault="00233459" w:rsidP="00CE0622">
            <w:pPr>
              <w:jc w:val="center"/>
              <w:rPr>
                <w:rFonts w:ascii="Verdana" w:hAnsi="Verdana" w:cs="Arial"/>
                <w:sz w:val="22"/>
                <w:szCs w:val="22"/>
              </w:rPr>
            </w:pPr>
            <w:r w:rsidRPr="00205C60">
              <w:rPr>
                <w:rFonts w:ascii="Verdana" w:hAnsi="Verdana" w:cs="Arial"/>
                <w:sz w:val="22"/>
                <w:szCs w:val="22"/>
              </w:rPr>
              <w:t>6</w:t>
            </w:r>
          </w:p>
        </w:tc>
      </w:tr>
      <w:tr w:rsidR="006B4186" w:rsidRPr="00205C60" w14:paraId="3CA7F138" w14:textId="77777777" w:rsidTr="00CE0622">
        <w:trPr>
          <w:jc w:val="center"/>
        </w:trPr>
        <w:tc>
          <w:tcPr>
            <w:tcW w:w="2802" w:type="dxa"/>
            <w:vAlign w:val="center"/>
          </w:tcPr>
          <w:p w14:paraId="3CA7F135" w14:textId="77777777" w:rsidR="006B4186" w:rsidRPr="00205C60" w:rsidRDefault="0005694B" w:rsidP="00CE0622">
            <w:pPr>
              <w:jc w:val="center"/>
              <w:rPr>
                <w:rFonts w:ascii="Verdana" w:hAnsi="Verdana" w:cs="Arial"/>
                <w:sz w:val="22"/>
                <w:szCs w:val="22"/>
              </w:rPr>
            </w:pPr>
            <w:r w:rsidRPr="00205C60">
              <w:rPr>
                <w:rFonts w:ascii="Verdana" w:hAnsi="Verdana" w:cs="Arial"/>
                <w:sz w:val="22"/>
                <w:szCs w:val="22"/>
              </w:rPr>
              <w:t>JASEC</w:t>
            </w:r>
          </w:p>
        </w:tc>
        <w:tc>
          <w:tcPr>
            <w:tcW w:w="1755" w:type="dxa"/>
            <w:vAlign w:val="center"/>
          </w:tcPr>
          <w:p w14:paraId="3CA7F136" w14:textId="3712260A" w:rsidR="006B4186" w:rsidRPr="00205C60" w:rsidRDefault="00050404" w:rsidP="00953A41">
            <w:pPr>
              <w:jc w:val="center"/>
              <w:rPr>
                <w:rFonts w:ascii="Verdana" w:hAnsi="Verdana" w:cs="Arial"/>
                <w:sz w:val="22"/>
                <w:szCs w:val="22"/>
              </w:rPr>
            </w:pPr>
            <w:r w:rsidRPr="00205C60">
              <w:rPr>
                <w:rFonts w:ascii="Verdana" w:hAnsi="Verdana" w:cs="Arial"/>
                <w:sz w:val="22"/>
                <w:szCs w:val="22"/>
              </w:rPr>
              <w:t>5</w:t>
            </w:r>
          </w:p>
        </w:tc>
        <w:tc>
          <w:tcPr>
            <w:tcW w:w="1701" w:type="dxa"/>
            <w:vAlign w:val="center"/>
          </w:tcPr>
          <w:p w14:paraId="3CA7F137" w14:textId="1E5563B5" w:rsidR="006B4186" w:rsidRPr="00205C60" w:rsidRDefault="00050404" w:rsidP="00953A41">
            <w:pPr>
              <w:jc w:val="center"/>
              <w:rPr>
                <w:rFonts w:ascii="Verdana" w:hAnsi="Verdana" w:cs="Arial"/>
                <w:sz w:val="22"/>
                <w:szCs w:val="22"/>
              </w:rPr>
            </w:pPr>
            <w:r w:rsidRPr="00205C60">
              <w:rPr>
                <w:rFonts w:ascii="Verdana" w:hAnsi="Verdana" w:cs="Arial"/>
                <w:sz w:val="22"/>
                <w:szCs w:val="22"/>
              </w:rPr>
              <w:t>6</w:t>
            </w:r>
          </w:p>
        </w:tc>
      </w:tr>
      <w:tr w:rsidR="006B4186" w:rsidRPr="00205C60" w14:paraId="3CA7F13C" w14:textId="77777777" w:rsidTr="00CE0622">
        <w:trPr>
          <w:jc w:val="center"/>
        </w:trPr>
        <w:tc>
          <w:tcPr>
            <w:tcW w:w="2802" w:type="dxa"/>
            <w:vAlign w:val="center"/>
          </w:tcPr>
          <w:p w14:paraId="3CA7F139" w14:textId="77777777" w:rsidR="006B4186" w:rsidRPr="00205C60" w:rsidRDefault="00416D16" w:rsidP="00CE0622">
            <w:pPr>
              <w:jc w:val="center"/>
              <w:rPr>
                <w:rFonts w:ascii="Verdana" w:hAnsi="Verdana" w:cs="Arial"/>
                <w:sz w:val="22"/>
                <w:szCs w:val="22"/>
              </w:rPr>
            </w:pPr>
            <w:r w:rsidRPr="00205C60">
              <w:rPr>
                <w:rFonts w:ascii="Verdana" w:hAnsi="Verdana" w:cs="Arial"/>
                <w:sz w:val="22"/>
                <w:szCs w:val="22"/>
              </w:rPr>
              <w:t>COOPE</w:t>
            </w:r>
            <w:r w:rsidR="0005694B" w:rsidRPr="00205C60">
              <w:rPr>
                <w:rFonts w:ascii="Verdana" w:hAnsi="Verdana" w:cs="Arial"/>
                <w:sz w:val="22"/>
                <w:szCs w:val="22"/>
              </w:rPr>
              <w:t>GUANACASTE</w:t>
            </w:r>
          </w:p>
        </w:tc>
        <w:tc>
          <w:tcPr>
            <w:tcW w:w="1755" w:type="dxa"/>
            <w:vAlign w:val="center"/>
          </w:tcPr>
          <w:p w14:paraId="3CA7F13A" w14:textId="5E6474D8" w:rsidR="006B4186" w:rsidRPr="00205C60" w:rsidRDefault="008D2AA3" w:rsidP="00953A41">
            <w:pPr>
              <w:jc w:val="center"/>
              <w:rPr>
                <w:rFonts w:ascii="Verdana" w:hAnsi="Verdana" w:cs="Arial"/>
                <w:sz w:val="22"/>
                <w:szCs w:val="22"/>
              </w:rPr>
            </w:pPr>
            <w:r w:rsidRPr="00205C60">
              <w:rPr>
                <w:rFonts w:ascii="Verdana" w:hAnsi="Verdana" w:cs="Arial"/>
                <w:sz w:val="22"/>
                <w:szCs w:val="22"/>
              </w:rPr>
              <w:t>5</w:t>
            </w:r>
          </w:p>
        </w:tc>
        <w:tc>
          <w:tcPr>
            <w:tcW w:w="1701" w:type="dxa"/>
            <w:vAlign w:val="center"/>
          </w:tcPr>
          <w:p w14:paraId="3CA7F13B" w14:textId="39381457" w:rsidR="006B4186" w:rsidRPr="00205C60" w:rsidRDefault="005F3385" w:rsidP="00953A41">
            <w:pPr>
              <w:jc w:val="center"/>
              <w:rPr>
                <w:rFonts w:ascii="Verdana" w:hAnsi="Verdana" w:cs="Arial"/>
                <w:sz w:val="22"/>
                <w:szCs w:val="22"/>
              </w:rPr>
            </w:pPr>
            <w:r w:rsidRPr="00205C60">
              <w:rPr>
                <w:rFonts w:ascii="Verdana" w:hAnsi="Verdana" w:cs="Arial"/>
                <w:sz w:val="22"/>
                <w:szCs w:val="22"/>
              </w:rPr>
              <w:t>7</w:t>
            </w:r>
          </w:p>
        </w:tc>
      </w:tr>
      <w:tr w:rsidR="006B4186" w:rsidRPr="00205C60" w14:paraId="3CA7F140" w14:textId="77777777" w:rsidTr="00CE0622">
        <w:trPr>
          <w:jc w:val="center"/>
        </w:trPr>
        <w:tc>
          <w:tcPr>
            <w:tcW w:w="2802" w:type="dxa"/>
            <w:vAlign w:val="center"/>
          </w:tcPr>
          <w:p w14:paraId="3CA7F13D" w14:textId="77777777" w:rsidR="006B4186" w:rsidRPr="00205C60" w:rsidRDefault="00416D16" w:rsidP="00CE0622">
            <w:pPr>
              <w:jc w:val="center"/>
              <w:rPr>
                <w:rFonts w:ascii="Verdana" w:hAnsi="Verdana" w:cs="Arial"/>
                <w:sz w:val="22"/>
                <w:szCs w:val="22"/>
              </w:rPr>
            </w:pPr>
            <w:r w:rsidRPr="00205C60">
              <w:rPr>
                <w:rFonts w:ascii="Verdana" w:hAnsi="Verdana" w:cs="Arial"/>
                <w:sz w:val="22"/>
                <w:szCs w:val="22"/>
              </w:rPr>
              <w:t>COOPE</w:t>
            </w:r>
            <w:r w:rsidR="0005694B" w:rsidRPr="00205C60">
              <w:rPr>
                <w:rFonts w:ascii="Verdana" w:hAnsi="Verdana" w:cs="Arial"/>
                <w:sz w:val="22"/>
                <w:szCs w:val="22"/>
              </w:rPr>
              <w:t>LESCA</w:t>
            </w:r>
          </w:p>
        </w:tc>
        <w:tc>
          <w:tcPr>
            <w:tcW w:w="1755" w:type="dxa"/>
            <w:vAlign w:val="center"/>
          </w:tcPr>
          <w:p w14:paraId="3CA7F13E" w14:textId="2159A9C8" w:rsidR="006B4186" w:rsidRPr="00205C60" w:rsidRDefault="008D2AA3" w:rsidP="00953A41">
            <w:pPr>
              <w:jc w:val="center"/>
              <w:rPr>
                <w:rFonts w:ascii="Verdana" w:hAnsi="Verdana" w:cs="Arial"/>
                <w:sz w:val="22"/>
                <w:szCs w:val="22"/>
              </w:rPr>
            </w:pPr>
            <w:r w:rsidRPr="00205C60">
              <w:rPr>
                <w:rFonts w:ascii="Verdana" w:hAnsi="Verdana" w:cs="Arial"/>
                <w:sz w:val="22"/>
                <w:szCs w:val="22"/>
              </w:rPr>
              <w:t>6</w:t>
            </w:r>
          </w:p>
        </w:tc>
        <w:tc>
          <w:tcPr>
            <w:tcW w:w="1701" w:type="dxa"/>
            <w:vAlign w:val="center"/>
          </w:tcPr>
          <w:p w14:paraId="3CA7F13F" w14:textId="6BF856A0" w:rsidR="00416D16" w:rsidRPr="00205C60" w:rsidRDefault="00246579" w:rsidP="00953A41">
            <w:pPr>
              <w:jc w:val="center"/>
              <w:rPr>
                <w:rFonts w:ascii="Verdana" w:hAnsi="Verdana" w:cs="Arial"/>
                <w:sz w:val="22"/>
                <w:szCs w:val="22"/>
              </w:rPr>
            </w:pPr>
            <w:r w:rsidRPr="00205C60">
              <w:rPr>
                <w:rFonts w:ascii="Verdana" w:hAnsi="Verdana" w:cs="Arial"/>
                <w:sz w:val="22"/>
                <w:szCs w:val="22"/>
              </w:rPr>
              <w:t>5</w:t>
            </w:r>
          </w:p>
        </w:tc>
      </w:tr>
      <w:tr w:rsidR="006B4186" w:rsidRPr="00205C60" w14:paraId="3CA7F144" w14:textId="77777777" w:rsidTr="00CE0622">
        <w:trPr>
          <w:jc w:val="center"/>
        </w:trPr>
        <w:tc>
          <w:tcPr>
            <w:tcW w:w="2802" w:type="dxa"/>
            <w:vAlign w:val="center"/>
          </w:tcPr>
          <w:p w14:paraId="3CA7F141" w14:textId="77777777" w:rsidR="006B4186" w:rsidRPr="00205C60" w:rsidRDefault="00416D16" w:rsidP="00CE0622">
            <w:pPr>
              <w:jc w:val="center"/>
              <w:rPr>
                <w:rFonts w:ascii="Verdana" w:hAnsi="Verdana" w:cs="Arial"/>
                <w:sz w:val="22"/>
                <w:szCs w:val="22"/>
              </w:rPr>
            </w:pPr>
            <w:r w:rsidRPr="00205C60">
              <w:rPr>
                <w:rFonts w:ascii="Verdana" w:hAnsi="Verdana" w:cs="Arial"/>
                <w:sz w:val="22"/>
                <w:szCs w:val="22"/>
              </w:rPr>
              <w:t>COOPESANTOS</w:t>
            </w:r>
          </w:p>
        </w:tc>
        <w:tc>
          <w:tcPr>
            <w:tcW w:w="1755" w:type="dxa"/>
            <w:vAlign w:val="center"/>
          </w:tcPr>
          <w:p w14:paraId="3CA7F142" w14:textId="2827437B" w:rsidR="006B4186" w:rsidRPr="00205C60" w:rsidRDefault="008D2AA3" w:rsidP="00CE0622">
            <w:pPr>
              <w:jc w:val="center"/>
              <w:rPr>
                <w:rFonts w:ascii="Verdana" w:hAnsi="Verdana" w:cs="Arial"/>
                <w:sz w:val="22"/>
                <w:szCs w:val="22"/>
              </w:rPr>
            </w:pPr>
            <w:r w:rsidRPr="00205C60">
              <w:rPr>
                <w:rFonts w:ascii="Verdana" w:hAnsi="Verdana" w:cs="Arial"/>
                <w:sz w:val="22"/>
                <w:szCs w:val="22"/>
              </w:rPr>
              <w:t>3</w:t>
            </w:r>
          </w:p>
        </w:tc>
        <w:tc>
          <w:tcPr>
            <w:tcW w:w="1701" w:type="dxa"/>
            <w:vAlign w:val="center"/>
          </w:tcPr>
          <w:p w14:paraId="3CA7F143" w14:textId="2A106F13" w:rsidR="006B4186" w:rsidRPr="00205C60" w:rsidRDefault="00050404" w:rsidP="00953A41">
            <w:pPr>
              <w:jc w:val="center"/>
              <w:rPr>
                <w:rFonts w:ascii="Verdana" w:hAnsi="Verdana" w:cs="Arial"/>
                <w:sz w:val="22"/>
                <w:szCs w:val="22"/>
              </w:rPr>
            </w:pPr>
            <w:r w:rsidRPr="00205C60">
              <w:rPr>
                <w:rFonts w:ascii="Verdana" w:hAnsi="Verdana" w:cs="Arial"/>
                <w:sz w:val="22"/>
                <w:szCs w:val="22"/>
              </w:rPr>
              <w:t>1</w:t>
            </w:r>
          </w:p>
        </w:tc>
      </w:tr>
      <w:tr w:rsidR="006B4186" w:rsidRPr="00205C60" w14:paraId="3CA7F148" w14:textId="77777777" w:rsidTr="00CE0622">
        <w:trPr>
          <w:jc w:val="center"/>
        </w:trPr>
        <w:tc>
          <w:tcPr>
            <w:tcW w:w="2802" w:type="dxa"/>
            <w:vAlign w:val="center"/>
          </w:tcPr>
          <w:p w14:paraId="3CA7F145" w14:textId="77777777" w:rsidR="006B4186" w:rsidRPr="00205C60" w:rsidRDefault="00416D16" w:rsidP="00CE0622">
            <w:pPr>
              <w:jc w:val="center"/>
              <w:rPr>
                <w:rFonts w:ascii="Verdana" w:hAnsi="Verdana" w:cs="Arial"/>
                <w:sz w:val="22"/>
                <w:szCs w:val="22"/>
              </w:rPr>
            </w:pPr>
            <w:r w:rsidRPr="00205C60">
              <w:rPr>
                <w:rFonts w:ascii="Verdana" w:hAnsi="Verdana" w:cs="Arial"/>
                <w:sz w:val="22"/>
                <w:szCs w:val="22"/>
              </w:rPr>
              <w:t>COOPEALFARO</w:t>
            </w:r>
          </w:p>
        </w:tc>
        <w:tc>
          <w:tcPr>
            <w:tcW w:w="1755" w:type="dxa"/>
            <w:vAlign w:val="center"/>
          </w:tcPr>
          <w:p w14:paraId="3CA7F146" w14:textId="16424A8E" w:rsidR="006B4186" w:rsidRPr="00205C60" w:rsidRDefault="00050404" w:rsidP="00CE0622">
            <w:pPr>
              <w:jc w:val="center"/>
              <w:rPr>
                <w:rFonts w:ascii="Verdana" w:hAnsi="Verdana" w:cs="Arial"/>
                <w:sz w:val="22"/>
                <w:szCs w:val="22"/>
              </w:rPr>
            </w:pPr>
            <w:r w:rsidRPr="00205C60">
              <w:rPr>
                <w:rFonts w:ascii="Verdana" w:hAnsi="Verdana" w:cs="Arial"/>
                <w:sz w:val="22"/>
                <w:szCs w:val="22"/>
              </w:rPr>
              <w:t>0,4</w:t>
            </w:r>
          </w:p>
        </w:tc>
        <w:tc>
          <w:tcPr>
            <w:tcW w:w="1701" w:type="dxa"/>
            <w:vAlign w:val="center"/>
          </w:tcPr>
          <w:p w14:paraId="3CA7F147" w14:textId="0A2DC478" w:rsidR="006B4186" w:rsidRPr="00205C60" w:rsidRDefault="00B03F4C" w:rsidP="00953A41">
            <w:pPr>
              <w:jc w:val="center"/>
              <w:rPr>
                <w:rFonts w:ascii="Verdana" w:hAnsi="Verdana" w:cs="Arial"/>
                <w:sz w:val="22"/>
                <w:szCs w:val="22"/>
              </w:rPr>
            </w:pPr>
            <w:r w:rsidRPr="00205C60">
              <w:rPr>
                <w:rFonts w:ascii="Verdana" w:hAnsi="Verdana" w:cs="Arial"/>
                <w:sz w:val="22"/>
                <w:szCs w:val="22"/>
              </w:rPr>
              <w:t>0</w:t>
            </w:r>
            <w:r w:rsidR="00024672" w:rsidRPr="00205C60">
              <w:rPr>
                <w:rFonts w:ascii="Verdana" w:hAnsi="Verdana" w:cs="Arial"/>
                <w:sz w:val="22"/>
                <w:szCs w:val="22"/>
              </w:rPr>
              <w:t>,</w:t>
            </w:r>
            <w:r w:rsidRPr="00205C60">
              <w:rPr>
                <w:rFonts w:ascii="Verdana" w:hAnsi="Verdana" w:cs="Arial"/>
                <w:sz w:val="22"/>
                <w:szCs w:val="22"/>
              </w:rPr>
              <w:t>2</w:t>
            </w:r>
          </w:p>
        </w:tc>
      </w:tr>
    </w:tbl>
    <w:p w14:paraId="3CA7F149" w14:textId="3B041B85" w:rsidR="006B4186" w:rsidRPr="00205C60" w:rsidRDefault="00D17584" w:rsidP="00D17584">
      <w:pPr>
        <w:rPr>
          <w:rFonts w:ascii="Verdana" w:hAnsi="Verdana" w:cs="Arial"/>
          <w:sz w:val="22"/>
          <w:szCs w:val="22"/>
        </w:rPr>
      </w:pPr>
      <w:r w:rsidRPr="00205C60">
        <w:rPr>
          <w:rFonts w:ascii="Verdana" w:hAnsi="Verdana" w:cs="Arial"/>
          <w:sz w:val="22"/>
          <w:szCs w:val="22"/>
        </w:rPr>
        <w:t xml:space="preserve">                   </w:t>
      </w:r>
      <w:r w:rsidR="00D11CC7" w:rsidRPr="00205C60">
        <w:rPr>
          <w:rFonts w:ascii="Verdana" w:hAnsi="Verdana" w:cs="Arial"/>
          <w:sz w:val="22"/>
          <w:szCs w:val="22"/>
        </w:rPr>
        <w:t xml:space="preserve">Fuente: </w:t>
      </w:r>
      <w:r w:rsidRPr="00205C60">
        <w:rPr>
          <w:rFonts w:ascii="Verdana" w:hAnsi="Verdana" w:cs="Arial"/>
          <w:sz w:val="22"/>
          <w:szCs w:val="22"/>
        </w:rPr>
        <w:t>ARESEP</w:t>
      </w:r>
    </w:p>
    <w:p w14:paraId="2D90A77A" w14:textId="77777777" w:rsidR="00EE519F" w:rsidRPr="00205C60" w:rsidRDefault="00EE519F">
      <w:pPr>
        <w:jc w:val="both"/>
        <w:rPr>
          <w:rFonts w:ascii="Verdana" w:hAnsi="Verdana" w:cs="Arial"/>
          <w:sz w:val="22"/>
          <w:szCs w:val="22"/>
        </w:rPr>
      </w:pPr>
    </w:p>
    <w:p w14:paraId="3CA7F14B" w14:textId="2175CF56" w:rsidR="00B44125" w:rsidRPr="00205C60" w:rsidRDefault="0050362D">
      <w:pPr>
        <w:jc w:val="both"/>
        <w:rPr>
          <w:rFonts w:ascii="Verdana" w:hAnsi="Verdana" w:cs="Arial"/>
          <w:sz w:val="22"/>
          <w:szCs w:val="22"/>
        </w:rPr>
      </w:pPr>
      <w:r w:rsidRPr="00205C60">
        <w:rPr>
          <w:rFonts w:ascii="Verdana" w:hAnsi="Verdana" w:cs="Arial"/>
          <w:sz w:val="22"/>
          <w:szCs w:val="22"/>
        </w:rPr>
        <w:t>Seguidamente</w:t>
      </w:r>
      <w:r w:rsidR="009A486B" w:rsidRPr="00205C60">
        <w:rPr>
          <w:rFonts w:ascii="Verdana" w:hAnsi="Verdana" w:cs="Arial"/>
          <w:sz w:val="22"/>
          <w:szCs w:val="22"/>
        </w:rPr>
        <w:t>,</w:t>
      </w:r>
      <w:r w:rsidR="00B44125" w:rsidRPr="00205C60">
        <w:rPr>
          <w:rFonts w:ascii="Verdana" w:hAnsi="Verdana" w:cs="Arial"/>
          <w:sz w:val="22"/>
          <w:szCs w:val="22"/>
        </w:rPr>
        <w:t xml:space="preserve"> se presenta un análisis </w:t>
      </w:r>
      <w:r w:rsidR="00B55118" w:rsidRPr="00205C60">
        <w:rPr>
          <w:rFonts w:ascii="Verdana" w:hAnsi="Verdana" w:cs="Arial"/>
          <w:sz w:val="22"/>
          <w:szCs w:val="22"/>
        </w:rPr>
        <w:t>económico y de resu</w:t>
      </w:r>
      <w:r w:rsidR="00B44125" w:rsidRPr="00205C60">
        <w:rPr>
          <w:rFonts w:ascii="Verdana" w:hAnsi="Verdana" w:cs="Arial"/>
          <w:sz w:val="22"/>
          <w:szCs w:val="22"/>
        </w:rPr>
        <w:t xml:space="preserve">ltados operativos y financieros de la Compañía Nacional de Fuerza y Luz S.A.; así como de los factores que han incidido favorable o desfavorablemente en los mismos. </w:t>
      </w:r>
    </w:p>
    <w:p w14:paraId="3F9FCBD1" w14:textId="705AE5E4" w:rsidR="00EE519F" w:rsidRPr="00205C60" w:rsidRDefault="00EE519F">
      <w:pPr>
        <w:jc w:val="both"/>
        <w:rPr>
          <w:rFonts w:ascii="Verdana" w:hAnsi="Verdana" w:cs="Arial"/>
          <w:sz w:val="22"/>
          <w:szCs w:val="22"/>
        </w:rPr>
      </w:pPr>
    </w:p>
    <w:p w14:paraId="3CA7F14D" w14:textId="77777777" w:rsidR="000B7AAC" w:rsidRPr="00205C60" w:rsidRDefault="000B7AAC" w:rsidP="00307E2B">
      <w:pPr>
        <w:pStyle w:val="Prrafodelista"/>
        <w:keepNext/>
        <w:numPr>
          <w:ilvl w:val="0"/>
          <w:numId w:val="1"/>
        </w:numPr>
        <w:tabs>
          <w:tab w:val="left" w:pos="-495"/>
          <w:tab w:val="left" w:pos="708"/>
          <w:tab w:val="left" w:pos="1241"/>
          <w:tab w:val="left" w:pos="2268"/>
          <w:tab w:val="left" w:pos="2480"/>
          <w:tab w:val="left" w:pos="4181"/>
          <w:tab w:val="left" w:pos="4536"/>
          <w:tab w:val="left" w:pos="5103"/>
          <w:tab w:val="left" w:pos="5387"/>
          <w:tab w:val="left" w:pos="7088"/>
          <w:tab w:val="left" w:pos="7938"/>
        </w:tabs>
        <w:autoSpaceDE w:val="0"/>
        <w:autoSpaceDN w:val="0"/>
        <w:adjustRightInd w:val="0"/>
        <w:spacing w:line="240" w:lineRule="atLeast"/>
        <w:ind w:right="141"/>
        <w:outlineLvl w:val="1"/>
        <w:rPr>
          <w:rFonts w:ascii="Verdana" w:hAnsi="Verdana" w:cs="Arial"/>
          <w:b/>
          <w:snapToGrid w:val="0"/>
          <w:vanish/>
          <w:color w:val="000000"/>
          <w:sz w:val="22"/>
          <w:szCs w:val="22"/>
        </w:rPr>
      </w:pPr>
      <w:bookmarkStart w:id="137" w:name="_Toc447110421"/>
      <w:bookmarkStart w:id="138" w:name="_Toc449427257"/>
      <w:bookmarkStart w:id="139" w:name="_Toc450133060"/>
      <w:bookmarkStart w:id="140" w:name="_Toc450134852"/>
      <w:bookmarkStart w:id="141" w:name="_Toc450134919"/>
      <w:bookmarkStart w:id="142" w:name="_Toc450135074"/>
      <w:bookmarkStart w:id="143" w:name="_Toc450135141"/>
      <w:bookmarkStart w:id="144" w:name="_Toc450137391"/>
      <w:bookmarkStart w:id="145" w:name="_Toc102564275"/>
      <w:bookmarkStart w:id="146" w:name="_Toc102566411"/>
      <w:bookmarkStart w:id="147" w:name="_Toc102566476"/>
      <w:bookmarkStart w:id="148" w:name="_Toc102566920"/>
      <w:bookmarkStart w:id="149" w:name="_Toc103939131"/>
      <w:bookmarkStart w:id="150" w:name="_Toc104529479"/>
      <w:bookmarkStart w:id="151" w:name="_Toc102455553"/>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3CA7F14E" w14:textId="49361BC7" w:rsidR="00B55118" w:rsidRPr="00205C60" w:rsidRDefault="00E139FB" w:rsidP="00307E2B">
      <w:pPr>
        <w:pStyle w:val="Ttulo2"/>
        <w:numPr>
          <w:ilvl w:val="1"/>
          <w:numId w:val="1"/>
        </w:numPr>
        <w:tabs>
          <w:tab w:val="clear" w:pos="720"/>
          <w:tab w:val="left" w:pos="708"/>
        </w:tabs>
        <w:rPr>
          <w:rFonts w:ascii="Verdana" w:hAnsi="Verdana" w:cs="Arial"/>
          <w:sz w:val="22"/>
          <w:szCs w:val="22"/>
        </w:rPr>
      </w:pPr>
      <w:r w:rsidRPr="00205C60">
        <w:rPr>
          <w:rFonts w:ascii="Verdana" w:hAnsi="Verdana" w:cs="Arial"/>
          <w:sz w:val="22"/>
          <w:szCs w:val="22"/>
        </w:rPr>
        <w:t xml:space="preserve"> </w:t>
      </w:r>
      <w:bookmarkStart w:id="152" w:name="_Toc104529480"/>
      <w:r w:rsidR="00B55118" w:rsidRPr="00205C60">
        <w:rPr>
          <w:rFonts w:ascii="Verdana" w:hAnsi="Verdana" w:cs="Arial"/>
          <w:sz w:val="22"/>
          <w:szCs w:val="22"/>
        </w:rPr>
        <w:t>Entorno económico de la Empresa</w:t>
      </w:r>
      <w:bookmarkEnd w:id="151"/>
      <w:bookmarkEnd w:id="152"/>
      <w:r w:rsidR="00B55118" w:rsidRPr="00205C60">
        <w:rPr>
          <w:rFonts w:ascii="Verdana" w:hAnsi="Verdana" w:cs="Arial"/>
          <w:sz w:val="22"/>
          <w:szCs w:val="22"/>
        </w:rPr>
        <w:t xml:space="preserve"> </w:t>
      </w:r>
    </w:p>
    <w:p w14:paraId="3BD4906A" w14:textId="434DDA95" w:rsidR="00060ABB" w:rsidRPr="00205C60" w:rsidRDefault="00060ABB" w:rsidP="00060ABB"/>
    <w:p w14:paraId="3CA7F150" w14:textId="1DE3C553" w:rsidR="00D360AD" w:rsidRPr="00205C60" w:rsidRDefault="00D360AD" w:rsidP="00D360AD">
      <w:pPr>
        <w:autoSpaceDE w:val="0"/>
        <w:autoSpaceDN w:val="0"/>
        <w:adjustRightInd w:val="0"/>
        <w:jc w:val="both"/>
        <w:rPr>
          <w:rFonts w:ascii="Verdana" w:hAnsi="Verdana" w:cs="Arial"/>
          <w:color w:val="000000"/>
          <w:sz w:val="22"/>
          <w:szCs w:val="22"/>
          <w:lang w:val="es-CR" w:eastAsia="es-CR"/>
        </w:rPr>
      </w:pPr>
      <w:r w:rsidRPr="00205C60">
        <w:rPr>
          <w:rFonts w:ascii="Verdana" w:hAnsi="Verdana" w:cs="Arial"/>
          <w:color w:val="000000"/>
          <w:sz w:val="22"/>
          <w:szCs w:val="22"/>
          <w:lang w:val="es-CR" w:eastAsia="es-CR"/>
        </w:rPr>
        <w:t xml:space="preserve">En resumen, del desempeño macroeconómico de Costa Rica en </w:t>
      </w:r>
      <w:r w:rsidR="004A5C0C" w:rsidRPr="00205C60">
        <w:rPr>
          <w:rFonts w:ascii="Verdana" w:hAnsi="Verdana" w:cs="Arial"/>
          <w:color w:val="000000"/>
          <w:sz w:val="22"/>
          <w:szCs w:val="22"/>
          <w:lang w:val="es-CR" w:eastAsia="es-CR"/>
        </w:rPr>
        <w:t xml:space="preserve">el </w:t>
      </w:r>
      <w:r w:rsidRPr="00205C60">
        <w:rPr>
          <w:rFonts w:ascii="Verdana" w:hAnsi="Verdana" w:cs="Arial"/>
          <w:sz w:val="22"/>
          <w:szCs w:val="22"/>
          <w:lang w:val="es-CR" w:eastAsia="es-CR"/>
        </w:rPr>
        <w:t>20</w:t>
      </w:r>
      <w:r w:rsidR="00D64387" w:rsidRPr="00205C60">
        <w:rPr>
          <w:rFonts w:ascii="Verdana" w:hAnsi="Verdana" w:cs="Arial"/>
          <w:sz w:val="22"/>
          <w:szCs w:val="22"/>
          <w:lang w:val="es-CR" w:eastAsia="es-CR"/>
        </w:rPr>
        <w:t>2</w:t>
      </w:r>
      <w:r w:rsidR="005D23EA" w:rsidRPr="00205C60">
        <w:rPr>
          <w:rFonts w:ascii="Verdana" w:hAnsi="Verdana" w:cs="Arial"/>
          <w:sz w:val="22"/>
          <w:szCs w:val="22"/>
          <w:lang w:val="es-CR" w:eastAsia="es-CR"/>
        </w:rPr>
        <w:t>2</w:t>
      </w:r>
      <w:r w:rsidRPr="00205C60">
        <w:rPr>
          <w:rFonts w:ascii="Verdana" w:hAnsi="Verdana" w:cs="Arial"/>
          <w:color w:val="000000"/>
          <w:sz w:val="22"/>
          <w:szCs w:val="22"/>
          <w:lang w:val="es-CR" w:eastAsia="es-CR"/>
        </w:rPr>
        <w:t xml:space="preserve"> sobresalió lo siguiente: </w:t>
      </w:r>
    </w:p>
    <w:p w14:paraId="3CA7F151" w14:textId="2BB7CBD9" w:rsidR="000E5675" w:rsidRPr="00205C60" w:rsidRDefault="000E5675" w:rsidP="00D360AD">
      <w:pPr>
        <w:autoSpaceDE w:val="0"/>
        <w:autoSpaceDN w:val="0"/>
        <w:adjustRightInd w:val="0"/>
        <w:jc w:val="both"/>
        <w:rPr>
          <w:rFonts w:ascii="Verdana" w:hAnsi="Verdana" w:cs="Arial"/>
          <w:color w:val="000000"/>
          <w:sz w:val="22"/>
          <w:szCs w:val="22"/>
          <w:lang w:val="es-CR" w:eastAsia="es-CR"/>
        </w:rPr>
      </w:pPr>
    </w:p>
    <w:p w14:paraId="7DA1E8A7" w14:textId="6449827E" w:rsidR="00EE1843" w:rsidRPr="00205C60" w:rsidRDefault="00EE1843" w:rsidP="00EE1843">
      <w:pPr>
        <w:autoSpaceDE w:val="0"/>
        <w:autoSpaceDN w:val="0"/>
        <w:adjustRightInd w:val="0"/>
        <w:jc w:val="both"/>
        <w:rPr>
          <w:rFonts w:ascii="Verdana" w:hAnsi="Verdana" w:cs="Arial"/>
          <w:color w:val="000000"/>
          <w:sz w:val="22"/>
          <w:szCs w:val="22"/>
          <w:lang w:val="es-CR" w:eastAsia="es-CR"/>
        </w:rPr>
      </w:pPr>
      <w:r w:rsidRPr="00205C60">
        <w:rPr>
          <w:rFonts w:ascii="Verdana" w:hAnsi="Verdana" w:cs="Arial"/>
          <w:color w:val="000000"/>
          <w:sz w:val="22"/>
          <w:szCs w:val="22"/>
          <w:lang w:val="es-CR" w:eastAsia="es-CR"/>
        </w:rPr>
        <w:t xml:space="preserve">La inflación mundial ha empezado a ceder en meses recientes debido a la conjunción de varios factores, entre ellos: a) la recuperación de la oferta, luego de la pandemia del COVID-19, y con ello la restauración de las cadenas globales de suministro, b) los efectos sobre la demanda agregada de la política monetaria restrictiva aplicada en muchas economías, c) la reducción de los estímulos fiscales y d) la moderación en los precios de las materias primas. </w:t>
      </w:r>
    </w:p>
    <w:p w14:paraId="73200678" w14:textId="77777777" w:rsidR="00873524" w:rsidRPr="00205C60" w:rsidRDefault="00873524" w:rsidP="00EE1843">
      <w:pPr>
        <w:autoSpaceDE w:val="0"/>
        <w:autoSpaceDN w:val="0"/>
        <w:adjustRightInd w:val="0"/>
        <w:jc w:val="both"/>
        <w:rPr>
          <w:rFonts w:ascii="Verdana" w:hAnsi="Verdana" w:cs="Arial"/>
          <w:color w:val="000000"/>
          <w:sz w:val="22"/>
          <w:szCs w:val="22"/>
          <w:lang w:val="es-CR" w:eastAsia="es-CR"/>
        </w:rPr>
      </w:pPr>
    </w:p>
    <w:p w14:paraId="476747AD" w14:textId="5CE2C873" w:rsidR="00EE1843" w:rsidRPr="00205C60" w:rsidRDefault="00EE1843" w:rsidP="00EE1843">
      <w:pPr>
        <w:autoSpaceDE w:val="0"/>
        <w:autoSpaceDN w:val="0"/>
        <w:adjustRightInd w:val="0"/>
        <w:jc w:val="both"/>
        <w:rPr>
          <w:rFonts w:ascii="Verdana" w:hAnsi="Verdana" w:cs="Arial"/>
          <w:color w:val="000000"/>
          <w:sz w:val="22"/>
          <w:szCs w:val="22"/>
          <w:lang w:val="es-CR" w:eastAsia="es-CR"/>
        </w:rPr>
      </w:pPr>
      <w:r w:rsidRPr="00205C60">
        <w:rPr>
          <w:rFonts w:ascii="Verdana" w:hAnsi="Verdana" w:cs="Arial"/>
          <w:color w:val="000000"/>
          <w:sz w:val="22"/>
          <w:szCs w:val="22"/>
          <w:lang w:val="es-CR" w:eastAsia="es-CR"/>
        </w:rPr>
        <w:t xml:space="preserve">Sin embargo, la inflación aún se encuentra por encima de su nivel previo a la pandemia y del objetivo de los bancos centrales. Debido a ello, los responsables del control de la inflación, en su mayoría, han continuado con incrementos en sus tasas de interés de referencia, aunque en algunos casos a un menor ritmo o bien otros han pausado el ajuste. </w:t>
      </w:r>
    </w:p>
    <w:p w14:paraId="0330D1DA" w14:textId="77777777" w:rsidR="00D80AED" w:rsidRPr="00205C60" w:rsidRDefault="00D80AED" w:rsidP="00EE1843">
      <w:pPr>
        <w:autoSpaceDE w:val="0"/>
        <w:autoSpaceDN w:val="0"/>
        <w:adjustRightInd w:val="0"/>
        <w:jc w:val="both"/>
        <w:rPr>
          <w:rFonts w:ascii="Verdana" w:hAnsi="Verdana" w:cs="Arial"/>
          <w:color w:val="000000"/>
          <w:sz w:val="22"/>
          <w:szCs w:val="22"/>
          <w:lang w:val="es-CR" w:eastAsia="es-CR"/>
        </w:rPr>
      </w:pPr>
    </w:p>
    <w:p w14:paraId="60359F2C" w14:textId="77777777" w:rsidR="00EE1843" w:rsidRPr="00205C60" w:rsidRDefault="00EE1843" w:rsidP="00EE1843">
      <w:pPr>
        <w:autoSpaceDE w:val="0"/>
        <w:autoSpaceDN w:val="0"/>
        <w:adjustRightInd w:val="0"/>
        <w:jc w:val="both"/>
        <w:rPr>
          <w:rFonts w:ascii="Verdana" w:hAnsi="Verdana" w:cs="Arial"/>
          <w:color w:val="000000"/>
          <w:sz w:val="22"/>
          <w:szCs w:val="22"/>
          <w:lang w:val="es-CR" w:eastAsia="es-CR"/>
        </w:rPr>
      </w:pPr>
      <w:r w:rsidRPr="00205C60">
        <w:rPr>
          <w:rFonts w:ascii="Verdana" w:hAnsi="Verdana" w:cs="Arial"/>
          <w:color w:val="000000"/>
          <w:sz w:val="22"/>
          <w:szCs w:val="22"/>
          <w:lang w:val="es-CR" w:eastAsia="es-CR"/>
        </w:rPr>
        <w:lastRenderedPageBreak/>
        <w:t xml:space="preserve">El aumento en las tasas de interés, la incertidumbre y el deterioro en la confianza de los agentes económicos, junto con el impacto de las restricciones impuestas a Rusia por algunos países occidentales en el marco del conflicto bélico entre esa nación y Ucrania, llevaron a una desaceleración de la economía mundial en el 2022. </w:t>
      </w:r>
    </w:p>
    <w:p w14:paraId="303CC269" w14:textId="77777777" w:rsidR="00D80AED" w:rsidRPr="00205C60" w:rsidRDefault="00D80AED" w:rsidP="00EE1843">
      <w:pPr>
        <w:autoSpaceDE w:val="0"/>
        <w:autoSpaceDN w:val="0"/>
        <w:adjustRightInd w:val="0"/>
        <w:jc w:val="both"/>
        <w:rPr>
          <w:rFonts w:ascii="Verdana" w:hAnsi="Verdana" w:cs="Arial"/>
          <w:color w:val="000000"/>
          <w:sz w:val="22"/>
          <w:szCs w:val="22"/>
          <w:lang w:val="es-CR" w:eastAsia="es-CR"/>
        </w:rPr>
      </w:pPr>
    </w:p>
    <w:p w14:paraId="04284756" w14:textId="25FB0D6F" w:rsidR="00EE1843" w:rsidRPr="00205C60" w:rsidRDefault="00EE1843" w:rsidP="00EE1843">
      <w:pPr>
        <w:autoSpaceDE w:val="0"/>
        <w:autoSpaceDN w:val="0"/>
        <w:adjustRightInd w:val="0"/>
        <w:jc w:val="both"/>
        <w:rPr>
          <w:rFonts w:ascii="Verdana" w:hAnsi="Verdana" w:cs="Arial"/>
          <w:color w:val="000000"/>
          <w:sz w:val="22"/>
          <w:szCs w:val="22"/>
          <w:lang w:val="es-CR" w:eastAsia="es-CR"/>
        </w:rPr>
      </w:pPr>
      <w:r w:rsidRPr="00205C60">
        <w:rPr>
          <w:rFonts w:ascii="Verdana" w:hAnsi="Verdana" w:cs="Arial"/>
          <w:color w:val="000000"/>
          <w:sz w:val="22"/>
          <w:szCs w:val="22"/>
          <w:lang w:val="es-CR" w:eastAsia="es-CR"/>
        </w:rPr>
        <w:t xml:space="preserve">En forma coherente con el comportamiento de la economía global, en Costa Rica la inflación tendió a desacelerarse en el tercer cuatrimestre del 2022, en buena medida debido a las menores presiones derivadas de choques externos, en especial, la baja en el precio de las materias primas. Adicionalmente, hubo factores internos que reforzaron dicho comportamiento, entre estos el endurecimiento de la política monetaria. Pese a ello, la inflación todavía supera la meta establecida por el Banco Central. </w:t>
      </w:r>
    </w:p>
    <w:p w14:paraId="2B3F1E9D" w14:textId="77777777" w:rsidR="00D80AED" w:rsidRPr="00205C60" w:rsidRDefault="00D80AED" w:rsidP="00EE1843">
      <w:pPr>
        <w:autoSpaceDE w:val="0"/>
        <w:autoSpaceDN w:val="0"/>
        <w:adjustRightInd w:val="0"/>
        <w:jc w:val="both"/>
        <w:rPr>
          <w:rFonts w:ascii="Verdana" w:hAnsi="Verdana" w:cs="Arial"/>
          <w:color w:val="000000"/>
          <w:sz w:val="22"/>
          <w:szCs w:val="22"/>
          <w:lang w:val="es-CR" w:eastAsia="es-CR"/>
        </w:rPr>
      </w:pPr>
    </w:p>
    <w:p w14:paraId="18455462" w14:textId="4884B736" w:rsidR="00EE1843" w:rsidRPr="00205C60" w:rsidRDefault="00EE1843" w:rsidP="00EE1843">
      <w:pPr>
        <w:autoSpaceDE w:val="0"/>
        <w:autoSpaceDN w:val="0"/>
        <w:adjustRightInd w:val="0"/>
        <w:jc w:val="both"/>
        <w:rPr>
          <w:rFonts w:ascii="Verdana" w:hAnsi="Verdana" w:cs="Arial"/>
          <w:color w:val="000000"/>
          <w:sz w:val="22"/>
          <w:szCs w:val="22"/>
          <w:lang w:val="es-CR" w:eastAsia="es-CR"/>
        </w:rPr>
      </w:pPr>
      <w:r w:rsidRPr="00205C60">
        <w:rPr>
          <w:rFonts w:ascii="Verdana" w:hAnsi="Verdana" w:cs="Arial"/>
          <w:color w:val="000000"/>
          <w:sz w:val="22"/>
          <w:szCs w:val="22"/>
          <w:lang w:val="es-CR" w:eastAsia="es-CR"/>
        </w:rPr>
        <w:t xml:space="preserve">En ese entorno inflacionario y de desaceleración de la economía global, la actividad económica local mostró menos dinamismo en el último trimestre del 2022, tal como se previó en el IPM de octubre pasado. En el 2022 el PIB creció 4,3% en volumen, tasa que, aunque es inferior a la del 2021 (7,8%), supera a la variación media del periodo 2010-2019 (3,6%). Además, como es conocido, el elevado crecimiento en el 2021 estuvo influido por un efecto base, dada la contracción económica en el 2020 como consecuencia de la pandemia. </w:t>
      </w:r>
    </w:p>
    <w:p w14:paraId="267580EA" w14:textId="77777777" w:rsidR="007753E5" w:rsidRPr="00205C60" w:rsidRDefault="007753E5" w:rsidP="00EE1843">
      <w:pPr>
        <w:autoSpaceDE w:val="0"/>
        <w:autoSpaceDN w:val="0"/>
        <w:adjustRightInd w:val="0"/>
        <w:jc w:val="both"/>
        <w:rPr>
          <w:rFonts w:ascii="Verdana" w:hAnsi="Verdana" w:cs="Arial"/>
          <w:color w:val="000000"/>
          <w:sz w:val="22"/>
          <w:szCs w:val="22"/>
          <w:lang w:val="es-CR" w:eastAsia="es-CR"/>
        </w:rPr>
      </w:pPr>
    </w:p>
    <w:p w14:paraId="36C2F889" w14:textId="0E2DE4C7" w:rsidR="00EE1843" w:rsidRPr="00205C60" w:rsidRDefault="00EE1843" w:rsidP="00EE1843">
      <w:pPr>
        <w:autoSpaceDE w:val="0"/>
        <w:autoSpaceDN w:val="0"/>
        <w:adjustRightInd w:val="0"/>
        <w:jc w:val="both"/>
        <w:rPr>
          <w:rFonts w:ascii="Verdana" w:hAnsi="Verdana" w:cs="Arial"/>
          <w:color w:val="000000"/>
          <w:sz w:val="22"/>
          <w:szCs w:val="22"/>
          <w:lang w:val="es-CR" w:eastAsia="es-CR"/>
        </w:rPr>
      </w:pPr>
      <w:r w:rsidRPr="00205C60">
        <w:rPr>
          <w:rFonts w:ascii="Verdana" w:hAnsi="Verdana" w:cs="Arial"/>
          <w:color w:val="000000"/>
          <w:sz w:val="22"/>
          <w:szCs w:val="22"/>
          <w:lang w:val="es-CR" w:eastAsia="es-CR"/>
        </w:rPr>
        <w:t xml:space="preserve">El desempeño de la actividad económica incidió de manera positiva en la confianza de los empresarios y consumidores. Asimismo, permitió la creación de alrededor de 80.000 nuevos puestos de trabajo en el 2022, lo que se tradujo en una reducción de la tasa de desempleo, aunque esta aún supera su nivel histórico (9,9% entre el 2010 y el 2019). Otros indicadores del mercado laboral, como el subempleo y la informalidad, igualmente evidenciaron una mejora. </w:t>
      </w:r>
    </w:p>
    <w:p w14:paraId="11AE59B2" w14:textId="77777777" w:rsidR="008023D0" w:rsidRPr="00205C60" w:rsidRDefault="008023D0" w:rsidP="00EE1843">
      <w:pPr>
        <w:autoSpaceDE w:val="0"/>
        <w:autoSpaceDN w:val="0"/>
        <w:adjustRightInd w:val="0"/>
        <w:jc w:val="both"/>
        <w:rPr>
          <w:rFonts w:ascii="Verdana" w:hAnsi="Verdana" w:cs="Arial"/>
          <w:color w:val="000000"/>
          <w:sz w:val="22"/>
          <w:szCs w:val="22"/>
          <w:lang w:val="es-CR" w:eastAsia="es-CR"/>
        </w:rPr>
      </w:pPr>
    </w:p>
    <w:p w14:paraId="3CA7F18C" w14:textId="7A86B77A" w:rsidR="000A0BBE" w:rsidRPr="00205C60" w:rsidRDefault="00EE1843" w:rsidP="00EE1843">
      <w:pPr>
        <w:autoSpaceDE w:val="0"/>
        <w:autoSpaceDN w:val="0"/>
        <w:adjustRightInd w:val="0"/>
        <w:jc w:val="both"/>
        <w:rPr>
          <w:rFonts w:ascii="Verdana" w:hAnsi="Verdana" w:cs="Arial"/>
          <w:color w:val="000000"/>
          <w:sz w:val="22"/>
          <w:szCs w:val="22"/>
          <w:lang w:val="es-CR" w:eastAsia="es-CR"/>
        </w:rPr>
      </w:pPr>
      <w:r w:rsidRPr="00205C60">
        <w:rPr>
          <w:rFonts w:ascii="Verdana" w:hAnsi="Verdana" w:cs="Arial"/>
          <w:color w:val="000000"/>
          <w:sz w:val="22"/>
          <w:szCs w:val="22"/>
          <w:lang w:val="es-CR" w:eastAsia="es-CR"/>
        </w:rPr>
        <w:t>En el 2022 la mejora en las finanzas públicas fue evidente, explicada por los esfuerzos tanto para contener el crecimiento del gasto como por mejorar la recaudación. Esta activa política fiscal en favor de la sostenibilidad de las finanzas públicas ocurrió en un contexto de relativo alto crecimiento económico y de apreciación del colón, que redujo el valor nominal de la deuda contratada en moneda extranjera.</w:t>
      </w:r>
    </w:p>
    <w:p w14:paraId="1D39B451" w14:textId="49C7379B" w:rsidR="008F23B4" w:rsidRPr="00205C60" w:rsidRDefault="008F23B4" w:rsidP="00EE1843">
      <w:pPr>
        <w:autoSpaceDE w:val="0"/>
        <w:autoSpaceDN w:val="0"/>
        <w:adjustRightInd w:val="0"/>
        <w:jc w:val="both"/>
        <w:rPr>
          <w:rFonts w:ascii="Verdana" w:hAnsi="Verdana" w:cs="Arial"/>
          <w:color w:val="000000"/>
          <w:sz w:val="22"/>
          <w:szCs w:val="22"/>
          <w:lang w:val="es-CR" w:eastAsia="es-CR"/>
        </w:rPr>
      </w:pPr>
    </w:p>
    <w:p w14:paraId="49E1C236" w14:textId="25032B31" w:rsidR="008F23B4" w:rsidRPr="00205C60" w:rsidRDefault="008F23B4" w:rsidP="008F23B4">
      <w:pPr>
        <w:autoSpaceDE w:val="0"/>
        <w:autoSpaceDN w:val="0"/>
        <w:adjustRightInd w:val="0"/>
        <w:jc w:val="both"/>
        <w:rPr>
          <w:rFonts w:ascii="Verdana" w:hAnsi="Verdana" w:cs="Arial"/>
          <w:color w:val="000000"/>
          <w:sz w:val="22"/>
          <w:szCs w:val="22"/>
          <w:lang w:val="es-CR" w:eastAsia="es-CR"/>
        </w:rPr>
      </w:pPr>
      <w:r w:rsidRPr="00205C60">
        <w:rPr>
          <w:rFonts w:ascii="Verdana" w:hAnsi="Verdana" w:cs="Arial"/>
          <w:color w:val="000000"/>
          <w:sz w:val="22"/>
          <w:szCs w:val="22"/>
          <w:lang w:val="es-CR" w:eastAsia="es-CR"/>
        </w:rPr>
        <w:t xml:space="preserve">Según cifras preliminares a diciembre, tanto el resultado primario del Gobierno Central como el financiero mejoraron en comparación con el año anterior y con lo previsto por el Ministerio de Hacienda. Consecuente con ello, la razón de deuda a producto se redujo de manera significativa, lo cual constituye un avance en el proceso hacia la sostenibilidad fiscal iniciado en el 2018. </w:t>
      </w:r>
    </w:p>
    <w:p w14:paraId="059CCD59" w14:textId="77777777" w:rsidR="008F23B4" w:rsidRPr="00205C60" w:rsidRDefault="008F23B4" w:rsidP="008F23B4">
      <w:pPr>
        <w:autoSpaceDE w:val="0"/>
        <w:autoSpaceDN w:val="0"/>
        <w:adjustRightInd w:val="0"/>
        <w:jc w:val="both"/>
        <w:rPr>
          <w:rFonts w:ascii="Verdana" w:hAnsi="Verdana" w:cs="Arial"/>
          <w:color w:val="000000"/>
          <w:sz w:val="22"/>
          <w:szCs w:val="22"/>
          <w:lang w:val="es-CR" w:eastAsia="es-CR"/>
        </w:rPr>
      </w:pPr>
    </w:p>
    <w:p w14:paraId="74E46A1B" w14:textId="6B7E7AF0" w:rsidR="008F23B4" w:rsidRPr="00205C60" w:rsidRDefault="008F23B4" w:rsidP="008F23B4">
      <w:pPr>
        <w:autoSpaceDE w:val="0"/>
        <w:autoSpaceDN w:val="0"/>
        <w:adjustRightInd w:val="0"/>
        <w:jc w:val="both"/>
        <w:rPr>
          <w:rFonts w:ascii="Verdana" w:hAnsi="Verdana" w:cs="Arial"/>
          <w:color w:val="000000"/>
          <w:sz w:val="22"/>
          <w:szCs w:val="22"/>
          <w:lang w:val="es-CR" w:eastAsia="es-CR"/>
        </w:rPr>
      </w:pPr>
      <w:r w:rsidRPr="00205C60">
        <w:rPr>
          <w:rFonts w:ascii="Verdana" w:hAnsi="Verdana" w:cs="Arial"/>
          <w:color w:val="000000"/>
          <w:sz w:val="22"/>
          <w:szCs w:val="22"/>
          <w:lang w:val="es-CR" w:eastAsia="es-CR"/>
        </w:rPr>
        <w:t xml:space="preserve">En contraste con los resultados positivos antes comentados, en el 2022 el déficit de la cuenta corriente de la balanza de pagos aumentó en 1,5 puntos porcentuales (p.p.) del PIB con respecto al año anterior. Este comportamiento es consecuencia, en parte, del deterioro en los términos de intercambio (menor en el segundo semestre) y la desmejora en la cuenta de ingreso primario. Sin embargo, es destacable el desempeño tanto de las exportaciones, en especial las de los regímenes especiales, como de la cuenta de servicios. Los flujos de ahorro externo recibidos por el país en ese año permitieron financiar el déficit de la cuenta corriente </w:t>
      </w:r>
      <w:r w:rsidRPr="00205C60">
        <w:rPr>
          <w:rFonts w:ascii="Verdana" w:hAnsi="Verdana" w:cs="Arial"/>
          <w:color w:val="000000"/>
          <w:sz w:val="22"/>
          <w:szCs w:val="22"/>
          <w:lang w:val="es-CR" w:eastAsia="es-CR"/>
        </w:rPr>
        <w:lastRenderedPageBreak/>
        <w:t xml:space="preserve">y propiciar una acumulación de activos de reserva por el equivalente a 2,6% del PIB. </w:t>
      </w:r>
    </w:p>
    <w:p w14:paraId="6E3F3E73" w14:textId="77777777" w:rsidR="008F23B4" w:rsidRPr="00205C60" w:rsidRDefault="008F23B4" w:rsidP="008F23B4">
      <w:pPr>
        <w:autoSpaceDE w:val="0"/>
        <w:autoSpaceDN w:val="0"/>
        <w:adjustRightInd w:val="0"/>
        <w:jc w:val="both"/>
        <w:rPr>
          <w:rFonts w:ascii="Verdana" w:hAnsi="Verdana" w:cs="Arial"/>
          <w:color w:val="000000"/>
          <w:sz w:val="22"/>
          <w:szCs w:val="22"/>
          <w:lang w:val="es-CR" w:eastAsia="es-CR"/>
        </w:rPr>
      </w:pPr>
    </w:p>
    <w:p w14:paraId="79C77B80" w14:textId="11C6682E" w:rsidR="008F23B4" w:rsidRPr="00205C60" w:rsidRDefault="008F23B4" w:rsidP="008F23B4">
      <w:pPr>
        <w:autoSpaceDE w:val="0"/>
        <w:autoSpaceDN w:val="0"/>
        <w:adjustRightInd w:val="0"/>
        <w:jc w:val="both"/>
        <w:rPr>
          <w:rFonts w:ascii="Verdana" w:hAnsi="Verdana" w:cs="Arial"/>
          <w:color w:val="000000"/>
          <w:sz w:val="22"/>
          <w:szCs w:val="22"/>
          <w:lang w:val="es-CR" w:eastAsia="es-CR"/>
        </w:rPr>
      </w:pPr>
      <w:r w:rsidRPr="00205C60">
        <w:rPr>
          <w:rFonts w:ascii="Verdana" w:hAnsi="Verdana" w:cs="Arial"/>
          <w:color w:val="000000"/>
          <w:sz w:val="22"/>
          <w:szCs w:val="22"/>
          <w:lang w:val="es-CR" w:eastAsia="es-CR"/>
        </w:rPr>
        <w:t xml:space="preserve">Por último, en el cuarto trimestre del 2022 se aceleró la tasa de crecimiento de los agregados monetarios amplios; sin embargo, se estima que no generarán presiones inflacionarias futuras, toda vez que crecieron a un menor ritmo que el implícito en el crecimiento real de la producción y la meta de inflación. Además, destacó la contención de la dolarización del ahorro financiero, lo cual responde, en buena medida, a la restitución del premio por ahorrar en moneda nacional. </w:t>
      </w:r>
    </w:p>
    <w:p w14:paraId="0397770B" w14:textId="77777777" w:rsidR="002F28DE" w:rsidRPr="00205C60" w:rsidRDefault="002F28DE" w:rsidP="008F23B4">
      <w:pPr>
        <w:autoSpaceDE w:val="0"/>
        <w:autoSpaceDN w:val="0"/>
        <w:adjustRightInd w:val="0"/>
        <w:jc w:val="both"/>
        <w:rPr>
          <w:rFonts w:ascii="Verdana" w:hAnsi="Verdana" w:cs="Arial"/>
          <w:color w:val="000000"/>
          <w:sz w:val="22"/>
          <w:szCs w:val="22"/>
          <w:lang w:val="es-CR" w:eastAsia="es-CR"/>
        </w:rPr>
      </w:pPr>
    </w:p>
    <w:p w14:paraId="7AAD0747" w14:textId="1F42B58C" w:rsidR="008F23B4" w:rsidRPr="00205C60" w:rsidRDefault="008F23B4" w:rsidP="008F23B4">
      <w:pPr>
        <w:autoSpaceDE w:val="0"/>
        <w:autoSpaceDN w:val="0"/>
        <w:adjustRightInd w:val="0"/>
        <w:jc w:val="both"/>
        <w:rPr>
          <w:rFonts w:ascii="Verdana" w:hAnsi="Verdana" w:cs="Arial"/>
          <w:color w:val="000000"/>
          <w:sz w:val="22"/>
          <w:szCs w:val="22"/>
          <w:lang w:val="es-CR" w:eastAsia="es-CR"/>
        </w:rPr>
      </w:pPr>
      <w:r w:rsidRPr="00205C60">
        <w:rPr>
          <w:rFonts w:ascii="Verdana" w:hAnsi="Verdana" w:cs="Arial"/>
          <w:color w:val="000000"/>
          <w:sz w:val="22"/>
          <w:szCs w:val="22"/>
          <w:lang w:val="es-CR" w:eastAsia="es-CR"/>
        </w:rPr>
        <w:t>De igual modo, el crédito al sector privado se aceleró en ese trimestre, impulsado por el componente en moneda extranjera, situación que se asocia con el aumento de las tasas de interés en colones y con las menores expectativas de depreciación del colón.</w:t>
      </w:r>
    </w:p>
    <w:p w14:paraId="5D3B8A75" w14:textId="503B9919" w:rsidR="00F92D93" w:rsidRPr="00205C60" w:rsidRDefault="00F92D93" w:rsidP="008F23B4">
      <w:pPr>
        <w:autoSpaceDE w:val="0"/>
        <w:autoSpaceDN w:val="0"/>
        <w:adjustRightInd w:val="0"/>
        <w:jc w:val="both"/>
        <w:rPr>
          <w:rFonts w:ascii="Verdana" w:hAnsi="Verdana" w:cs="Arial"/>
          <w:color w:val="000000"/>
          <w:sz w:val="22"/>
          <w:szCs w:val="22"/>
          <w:lang w:val="es-CR" w:eastAsia="es-CR"/>
        </w:rPr>
      </w:pPr>
    </w:p>
    <w:p w14:paraId="6C565F9F" w14:textId="527187ED" w:rsidR="00F92D93" w:rsidRPr="00205C60" w:rsidRDefault="00F92D93" w:rsidP="00F92D93">
      <w:pPr>
        <w:autoSpaceDE w:val="0"/>
        <w:autoSpaceDN w:val="0"/>
        <w:adjustRightInd w:val="0"/>
        <w:jc w:val="both"/>
        <w:rPr>
          <w:rFonts w:ascii="Verdana" w:hAnsi="Verdana" w:cs="Arial"/>
          <w:color w:val="000000"/>
          <w:sz w:val="22"/>
          <w:szCs w:val="22"/>
          <w:lang w:val="es-CR" w:eastAsia="es-CR"/>
        </w:rPr>
      </w:pPr>
      <w:r w:rsidRPr="00205C60">
        <w:rPr>
          <w:rFonts w:ascii="Verdana" w:hAnsi="Verdana" w:cs="Arial"/>
          <w:color w:val="000000"/>
          <w:sz w:val="22"/>
          <w:szCs w:val="22"/>
          <w:lang w:val="es-CR" w:eastAsia="es-CR"/>
        </w:rPr>
        <w:t>Al igual que otros bancos centrales, en el 2022 el BCCR continuó con los aumentos en la tasa de interés de referencia con el propósito de controlar las presiones inflacionarias. Desde el inicio del ciclo de aumentos de la TPM</w:t>
      </w:r>
      <w:r w:rsidR="00E40500">
        <w:rPr>
          <w:rFonts w:ascii="Verdana" w:hAnsi="Verdana" w:cs="Arial"/>
          <w:color w:val="000000"/>
          <w:sz w:val="22"/>
          <w:szCs w:val="22"/>
          <w:lang w:val="es-CR" w:eastAsia="es-CR"/>
        </w:rPr>
        <w:t xml:space="preserve"> (Tasa de política monetaria)</w:t>
      </w:r>
      <w:r w:rsidRPr="00205C60">
        <w:rPr>
          <w:rFonts w:ascii="Verdana" w:hAnsi="Verdana" w:cs="Arial"/>
          <w:color w:val="000000"/>
          <w:sz w:val="22"/>
          <w:szCs w:val="22"/>
          <w:lang w:val="es-CR" w:eastAsia="es-CR"/>
        </w:rPr>
        <w:t xml:space="preserve">, en diciembre del 2021, hasta enero del 2023, dicho indicador se incrementó en 825 puntos básicos (p.b.), para ubicarse en 9,0% desde octubre del 2022. </w:t>
      </w:r>
    </w:p>
    <w:p w14:paraId="27E4D0C6" w14:textId="77777777" w:rsidR="00F92D93" w:rsidRPr="00205C60" w:rsidRDefault="00F92D93" w:rsidP="00F92D93">
      <w:pPr>
        <w:autoSpaceDE w:val="0"/>
        <w:autoSpaceDN w:val="0"/>
        <w:adjustRightInd w:val="0"/>
        <w:jc w:val="both"/>
        <w:rPr>
          <w:rFonts w:ascii="Verdana" w:hAnsi="Verdana" w:cs="Arial"/>
          <w:color w:val="000000"/>
          <w:sz w:val="22"/>
          <w:szCs w:val="22"/>
          <w:lang w:val="es-CR" w:eastAsia="es-CR"/>
        </w:rPr>
      </w:pPr>
    </w:p>
    <w:p w14:paraId="489F4C79" w14:textId="00A80348" w:rsidR="00F92D93" w:rsidRPr="00205C60" w:rsidRDefault="00F92D93" w:rsidP="00F92D93">
      <w:pPr>
        <w:autoSpaceDE w:val="0"/>
        <w:autoSpaceDN w:val="0"/>
        <w:adjustRightInd w:val="0"/>
        <w:jc w:val="both"/>
        <w:rPr>
          <w:rFonts w:ascii="Verdana" w:hAnsi="Verdana" w:cs="Arial"/>
          <w:color w:val="000000"/>
          <w:sz w:val="22"/>
          <w:szCs w:val="22"/>
          <w:lang w:val="es-CR" w:eastAsia="es-CR"/>
        </w:rPr>
      </w:pPr>
      <w:r w:rsidRPr="00205C60">
        <w:rPr>
          <w:rFonts w:ascii="Verdana" w:hAnsi="Verdana" w:cs="Arial"/>
          <w:color w:val="000000"/>
          <w:sz w:val="22"/>
          <w:szCs w:val="22"/>
          <w:lang w:val="es-CR" w:eastAsia="es-CR"/>
        </w:rPr>
        <w:t xml:space="preserve">También, de acuerdo con lo observado en otros países, el ritmo de ajuste en la TPM disminuyó en el último trimestre del 2022. El último ajuste efectuado, si bien menor a los realizados en los meses previos, reafirmó el compromiso del BCCR con la reducción de la inflación. </w:t>
      </w:r>
    </w:p>
    <w:p w14:paraId="48929BD3" w14:textId="77777777" w:rsidR="005D17C7" w:rsidRPr="00205C60" w:rsidRDefault="005D17C7" w:rsidP="00F92D93">
      <w:pPr>
        <w:autoSpaceDE w:val="0"/>
        <w:autoSpaceDN w:val="0"/>
        <w:adjustRightInd w:val="0"/>
        <w:jc w:val="both"/>
        <w:rPr>
          <w:rFonts w:ascii="Verdana" w:hAnsi="Verdana" w:cs="Arial"/>
          <w:color w:val="000000"/>
          <w:sz w:val="22"/>
          <w:szCs w:val="22"/>
          <w:lang w:val="es-CR" w:eastAsia="es-CR"/>
        </w:rPr>
      </w:pPr>
    </w:p>
    <w:p w14:paraId="2245A596" w14:textId="5372E1BA" w:rsidR="00F92D93" w:rsidRPr="00205C60" w:rsidRDefault="005D17C7" w:rsidP="00F92D93">
      <w:pPr>
        <w:autoSpaceDE w:val="0"/>
        <w:autoSpaceDN w:val="0"/>
        <w:adjustRightInd w:val="0"/>
        <w:jc w:val="both"/>
        <w:rPr>
          <w:rFonts w:ascii="Verdana" w:hAnsi="Verdana" w:cs="Arial"/>
          <w:color w:val="000000"/>
          <w:sz w:val="22"/>
          <w:szCs w:val="22"/>
          <w:lang w:val="es-CR" w:eastAsia="es-CR"/>
        </w:rPr>
      </w:pPr>
      <w:r w:rsidRPr="00205C60">
        <w:rPr>
          <w:rFonts w:ascii="Verdana" w:hAnsi="Verdana" w:cs="Arial"/>
          <w:color w:val="000000"/>
          <w:sz w:val="22"/>
          <w:szCs w:val="22"/>
          <w:lang w:val="es-CR" w:eastAsia="es-CR"/>
        </w:rPr>
        <w:t>La</w:t>
      </w:r>
      <w:r w:rsidR="00F92D93" w:rsidRPr="00205C60">
        <w:rPr>
          <w:rFonts w:ascii="Verdana" w:hAnsi="Verdana" w:cs="Arial"/>
          <w:color w:val="000000"/>
          <w:sz w:val="22"/>
          <w:szCs w:val="22"/>
          <w:lang w:val="es-CR" w:eastAsia="es-CR"/>
        </w:rPr>
        <w:t xml:space="preserve"> Junta Directiva del BCCR fundamentó estas decisiones en un análisis del entorno macroeconómico, que incluye la evolución prevista de la inflación y de sus determinantes, así como la valoración de los riesgos alrededor de esas proyecciones. </w:t>
      </w:r>
    </w:p>
    <w:p w14:paraId="794A6CE4" w14:textId="77777777" w:rsidR="005D17C7" w:rsidRPr="00205C60" w:rsidRDefault="005D17C7" w:rsidP="00F92D93">
      <w:pPr>
        <w:autoSpaceDE w:val="0"/>
        <w:autoSpaceDN w:val="0"/>
        <w:adjustRightInd w:val="0"/>
        <w:jc w:val="both"/>
        <w:rPr>
          <w:rFonts w:ascii="Verdana" w:hAnsi="Verdana" w:cs="Arial"/>
          <w:color w:val="000000"/>
          <w:sz w:val="22"/>
          <w:szCs w:val="22"/>
          <w:lang w:val="es-CR" w:eastAsia="es-CR"/>
        </w:rPr>
      </w:pPr>
    </w:p>
    <w:p w14:paraId="196D31D2" w14:textId="70D8E220" w:rsidR="00F92D93" w:rsidRPr="00205C60" w:rsidRDefault="00F92D93" w:rsidP="00F92D93">
      <w:pPr>
        <w:autoSpaceDE w:val="0"/>
        <w:autoSpaceDN w:val="0"/>
        <w:adjustRightInd w:val="0"/>
        <w:jc w:val="both"/>
        <w:rPr>
          <w:rFonts w:ascii="Verdana" w:hAnsi="Verdana" w:cs="Arial"/>
          <w:color w:val="000000"/>
          <w:sz w:val="22"/>
          <w:szCs w:val="22"/>
          <w:lang w:val="es-CR" w:eastAsia="es-CR"/>
        </w:rPr>
      </w:pPr>
      <w:r w:rsidRPr="00205C60">
        <w:rPr>
          <w:rFonts w:ascii="Verdana" w:hAnsi="Verdana" w:cs="Arial"/>
          <w:color w:val="000000"/>
          <w:sz w:val="22"/>
          <w:szCs w:val="22"/>
          <w:lang w:val="es-CR" w:eastAsia="es-CR"/>
        </w:rPr>
        <w:t>Particularmente, las resoluciones tomadas en las reuniones mencionadas se sustentaron, en buena medida, en la desaceleración de los distintos indicadores de inflación (observados y prospectivos), aunque todavía se ubicaban por encima del objetivo</w:t>
      </w:r>
      <w:r w:rsidR="00D67756" w:rsidRPr="00205C60">
        <w:rPr>
          <w:rFonts w:ascii="Verdana" w:hAnsi="Verdana" w:cs="Arial"/>
          <w:color w:val="000000"/>
          <w:sz w:val="22"/>
          <w:szCs w:val="22"/>
          <w:lang w:val="es-CR" w:eastAsia="es-CR"/>
        </w:rPr>
        <w:t xml:space="preserve"> inflacionario, así como la necesidad de reducir la probabilidad de efectos de segunda ronda que prolonguen el período de alta inflación una vez superado el choque externo.</w:t>
      </w:r>
    </w:p>
    <w:p w14:paraId="4B67D7BE" w14:textId="69CC6013" w:rsidR="00682C84" w:rsidRPr="00205C60" w:rsidRDefault="00682C84" w:rsidP="00F92D93">
      <w:pPr>
        <w:autoSpaceDE w:val="0"/>
        <w:autoSpaceDN w:val="0"/>
        <w:adjustRightInd w:val="0"/>
        <w:jc w:val="both"/>
        <w:rPr>
          <w:rFonts w:ascii="Verdana" w:hAnsi="Verdana" w:cs="Arial"/>
          <w:color w:val="000000"/>
          <w:sz w:val="22"/>
          <w:szCs w:val="22"/>
          <w:lang w:val="es-CR" w:eastAsia="es-CR"/>
        </w:rPr>
      </w:pPr>
    </w:p>
    <w:p w14:paraId="3001DFD2" w14:textId="3DD9F19F" w:rsidR="00682C84" w:rsidRPr="00205C60" w:rsidRDefault="00682C84" w:rsidP="00682C84">
      <w:pPr>
        <w:autoSpaceDE w:val="0"/>
        <w:autoSpaceDN w:val="0"/>
        <w:adjustRightInd w:val="0"/>
        <w:jc w:val="both"/>
        <w:rPr>
          <w:rFonts w:ascii="Verdana" w:hAnsi="Verdana" w:cs="Arial"/>
          <w:color w:val="000000"/>
          <w:sz w:val="22"/>
          <w:szCs w:val="22"/>
          <w:lang w:val="es-CR" w:eastAsia="es-CR"/>
        </w:rPr>
      </w:pPr>
      <w:r w:rsidRPr="00205C60">
        <w:rPr>
          <w:rFonts w:ascii="Verdana" w:hAnsi="Verdana" w:cs="Arial"/>
          <w:color w:val="000000"/>
          <w:sz w:val="22"/>
          <w:szCs w:val="22"/>
          <w:lang w:val="es-CR" w:eastAsia="es-CR"/>
        </w:rPr>
        <w:t xml:space="preserve">Como complemento a los incrementos en la TPM, el BCCR aprobó un aumento de 3 p.p. (de 12% a 15%) en la tasa de encaje mínimo legal en colones a partir de julio pasado. La medida contrajo la liquidez de manera significativa; sin embargo, este efecto fue luego más que compensado por la expansión monetaria asociada a la compra de divisas para restituir parte de las vendidas previamente al SPNB. </w:t>
      </w:r>
    </w:p>
    <w:p w14:paraId="6D173966" w14:textId="77777777" w:rsidR="00682C84" w:rsidRPr="00205C60" w:rsidRDefault="00682C84" w:rsidP="00682C84">
      <w:pPr>
        <w:autoSpaceDE w:val="0"/>
        <w:autoSpaceDN w:val="0"/>
        <w:adjustRightInd w:val="0"/>
        <w:jc w:val="both"/>
        <w:rPr>
          <w:rFonts w:ascii="Verdana" w:hAnsi="Verdana" w:cs="Arial"/>
          <w:color w:val="000000"/>
          <w:sz w:val="22"/>
          <w:szCs w:val="22"/>
          <w:lang w:val="es-CR" w:eastAsia="es-CR"/>
        </w:rPr>
      </w:pPr>
    </w:p>
    <w:p w14:paraId="701C1CD0" w14:textId="77777777" w:rsidR="00E40500" w:rsidRDefault="00682C84" w:rsidP="00682C84">
      <w:pPr>
        <w:autoSpaceDE w:val="0"/>
        <w:autoSpaceDN w:val="0"/>
        <w:adjustRightInd w:val="0"/>
        <w:jc w:val="both"/>
        <w:rPr>
          <w:rFonts w:ascii="Verdana" w:hAnsi="Verdana" w:cs="Arial"/>
          <w:color w:val="000000"/>
          <w:sz w:val="22"/>
          <w:szCs w:val="22"/>
          <w:lang w:val="es-CR" w:eastAsia="es-CR"/>
        </w:rPr>
      </w:pPr>
      <w:r w:rsidRPr="00205C60">
        <w:rPr>
          <w:rFonts w:ascii="Verdana" w:hAnsi="Verdana" w:cs="Arial"/>
          <w:color w:val="000000"/>
          <w:sz w:val="22"/>
          <w:szCs w:val="22"/>
          <w:lang w:val="es-CR" w:eastAsia="es-CR"/>
        </w:rPr>
        <w:t xml:space="preserve">Esa compra se realizó en un contexto de abundancia de moneda extranjera en el mercado cambiario a lo largo del segundo semestre del 2022 (que continúa en lo que transcurre del presente año), explicada por distintos factores, entre ellos los </w:t>
      </w:r>
    </w:p>
    <w:p w14:paraId="2F8757B8" w14:textId="77777777" w:rsidR="00E40500" w:rsidRDefault="00E40500" w:rsidP="00682C84">
      <w:pPr>
        <w:autoSpaceDE w:val="0"/>
        <w:autoSpaceDN w:val="0"/>
        <w:adjustRightInd w:val="0"/>
        <w:jc w:val="both"/>
        <w:rPr>
          <w:rFonts w:ascii="Verdana" w:hAnsi="Verdana" w:cs="Arial"/>
          <w:color w:val="000000"/>
          <w:sz w:val="22"/>
          <w:szCs w:val="22"/>
          <w:lang w:val="es-CR" w:eastAsia="es-CR"/>
        </w:rPr>
      </w:pPr>
    </w:p>
    <w:p w14:paraId="52F43668" w14:textId="018A3E5E" w:rsidR="00682C84" w:rsidRPr="00205C60" w:rsidRDefault="00682C84" w:rsidP="00682C84">
      <w:pPr>
        <w:autoSpaceDE w:val="0"/>
        <w:autoSpaceDN w:val="0"/>
        <w:adjustRightInd w:val="0"/>
        <w:jc w:val="both"/>
        <w:rPr>
          <w:rFonts w:ascii="Verdana" w:hAnsi="Verdana" w:cs="Arial"/>
          <w:color w:val="000000"/>
          <w:sz w:val="22"/>
          <w:szCs w:val="22"/>
          <w:lang w:val="es-CR" w:eastAsia="es-CR"/>
        </w:rPr>
      </w:pPr>
      <w:r w:rsidRPr="00205C60">
        <w:rPr>
          <w:rFonts w:ascii="Verdana" w:hAnsi="Verdana" w:cs="Arial"/>
          <w:color w:val="000000"/>
          <w:sz w:val="22"/>
          <w:szCs w:val="22"/>
          <w:lang w:val="es-CR" w:eastAsia="es-CR"/>
        </w:rPr>
        <w:lastRenderedPageBreak/>
        <w:t xml:space="preserve">ingresos por turismo, la instalación de empresas de inversión extranjera, la mejora relativa en los términos de intercambio en esta segunda mitad del año, la menor demanda de divisas por parte de los administradores de fondos de terceros (en especial, las operadoras de fondos de pensiones) y la recuperación del premio por ahorrar en colones. </w:t>
      </w:r>
    </w:p>
    <w:p w14:paraId="79D4A3AF" w14:textId="77777777" w:rsidR="00682C84" w:rsidRPr="00205C60" w:rsidRDefault="00682C84" w:rsidP="00682C84">
      <w:pPr>
        <w:autoSpaceDE w:val="0"/>
        <w:autoSpaceDN w:val="0"/>
        <w:adjustRightInd w:val="0"/>
        <w:jc w:val="both"/>
        <w:rPr>
          <w:rFonts w:ascii="Verdana" w:hAnsi="Verdana" w:cs="Arial"/>
          <w:color w:val="000000"/>
          <w:sz w:val="22"/>
          <w:szCs w:val="22"/>
          <w:lang w:val="es-CR" w:eastAsia="es-CR"/>
        </w:rPr>
      </w:pPr>
    </w:p>
    <w:p w14:paraId="608EA0C0" w14:textId="7DD819AE" w:rsidR="00682C84" w:rsidRPr="00205C60" w:rsidRDefault="00682C84" w:rsidP="00682C84">
      <w:pPr>
        <w:autoSpaceDE w:val="0"/>
        <w:autoSpaceDN w:val="0"/>
        <w:adjustRightInd w:val="0"/>
        <w:jc w:val="both"/>
        <w:rPr>
          <w:rFonts w:ascii="Verdana" w:hAnsi="Verdana" w:cs="Arial"/>
          <w:color w:val="000000"/>
          <w:sz w:val="22"/>
          <w:szCs w:val="22"/>
          <w:lang w:val="es-CR" w:eastAsia="es-CR"/>
        </w:rPr>
      </w:pPr>
      <w:r w:rsidRPr="00205C60">
        <w:rPr>
          <w:rFonts w:ascii="Verdana" w:hAnsi="Verdana" w:cs="Arial"/>
          <w:color w:val="000000"/>
          <w:sz w:val="22"/>
          <w:szCs w:val="22"/>
          <w:lang w:val="es-CR" w:eastAsia="es-CR"/>
        </w:rPr>
        <w:t>Pese a la activa participación del Banco Central en el mercado cambiario como comprador neto de divisas, la mayor disponibilidad de dólares llevó a una apreciación de la moneda nacional en el segundo semestre del 2022, condición que continúa en lo que transcurre del presente año.</w:t>
      </w:r>
    </w:p>
    <w:p w14:paraId="01C16A0F" w14:textId="740E7AFE" w:rsidR="0055079A" w:rsidRPr="00205C60" w:rsidRDefault="0055079A" w:rsidP="00D360AD">
      <w:pPr>
        <w:autoSpaceDE w:val="0"/>
        <w:autoSpaceDN w:val="0"/>
        <w:adjustRightInd w:val="0"/>
        <w:jc w:val="both"/>
        <w:rPr>
          <w:rFonts w:ascii="Verdana" w:hAnsi="Verdana" w:cs="Arial"/>
          <w:color w:val="000000"/>
          <w:sz w:val="22"/>
          <w:szCs w:val="22"/>
          <w:lang w:val="es-CR" w:eastAsia="es-CR"/>
        </w:rPr>
      </w:pPr>
    </w:p>
    <w:p w14:paraId="3CA7F18D" w14:textId="442E1745" w:rsidR="009D2B37" w:rsidRPr="00205C60" w:rsidRDefault="009D2B37" w:rsidP="009D2B37">
      <w:pPr>
        <w:jc w:val="both"/>
        <w:rPr>
          <w:rFonts w:ascii="Verdana" w:hAnsi="Verdana" w:cs="Arial"/>
          <w:sz w:val="22"/>
          <w:szCs w:val="22"/>
        </w:rPr>
      </w:pPr>
      <w:r w:rsidRPr="00205C60">
        <w:rPr>
          <w:rFonts w:ascii="Verdana" w:hAnsi="Verdana" w:cs="Arial"/>
          <w:sz w:val="22"/>
          <w:szCs w:val="22"/>
        </w:rPr>
        <w:t>Toda esta realidad se reflejó de una u otra manera en el ambiente financiero de las empresas y la C</w:t>
      </w:r>
      <w:r w:rsidR="00FB670F" w:rsidRPr="00205C60">
        <w:rPr>
          <w:rFonts w:ascii="Verdana" w:hAnsi="Verdana" w:cs="Arial"/>
          <w:sz w:val="22"/>
          <w:szCs w:val="22"/>
        </w:rPr>
        <w:t>NFL</w:t>
      </w:r>
      <w:r w:rsidRPr="00205C60">
        <w:rPr>
          <w:rFonts w:ascii="Verdana" w:hAnsi="Verdana" w:cs="Arial"/>
          <w:sz w:val="22"/>
          <w:szCs w:val="22"/>
        </w:rPr>
        <w:t xml:space="preserve"> no fue la excepción. </w:t>
      </w:r>
    </w:p>
    <w:p w14:paraId="04D33A75" w14:textId="0DACBEDE" w:rsidR="00050452" w:rsidRPr="00205C60" w:rsidRDefault="00050452" w:rsidP="009D2B37">
      <w:pPr>
        <w:jc w:val="both"/>
        <w:rPr>
          <w:rFonts w:ascii="Verdana" w:hAnsi="Verdana" w:cs="Arial"/>
          <w:sz w:val="22"/>
          <w:szCs w:val="22"/>
        </w:rPr>
      </w:pPr>
    </w:p>
    <w:p w14:paraId="3722F642" w14:textId="50B68ED1" w:rsidR="00376E63" w:rsidRPr="00205C60" w:rsidRDefault="00376E63" w:rsidP="009D2B37">
      <w:pPr>
        <w:jc w:val="both"/>
        <w:rPr>
          <w:rFonts w:ascii="Verdana" w:hAnsi="Verdana" w:cs="Arial"/>
          <w:b/>
          <w:bCs/>
          <w:color w:val="FF0000"/>
          <w:sz w:val="22"/>
          <w:szCs w:val="22"/>
        </w:rPr>
      </w:pPr>
    </w:p>
    <w:p w14:paraId="3CA7F18E" w14:textId="77777777" w:rsidR="009D2B37" w:rsidRPr="00205C60" w:rsidRDefault="009D2B37" w:rsidP="009D2B37">
      <w:pPr>
        <w:jc w:val="both"/>
        <w:rPr>
          <w:rFonts w:ascii="Verdana" w:hAnsi="Verdana" w:cs="Arial"/>
          <w:sz w:val="22"/>
          <w:szCs w:val="22"/>
        </w:rPr>
      </w:pPr>
    </w:p>
    <w:p w14:paraId="3CA7F190" w14:textId="2728D825" w:rsidR="00B44125" w:rsidRPr="00205C60" w:rsidRDefault="00B44125" w:rsidP="00307E2B">
      <w:pPr>
        <w:pStyle w:val="Ttulo2"/>
        <w:numPr>
          <w:ilvl w:val="1"/>
          <w:numId w:val="1"/>
        </w:numPr>
        <w:tabs>
          <w:tab w:val="clear" w:pos="720"/>
          <w:tab w:val="left" w:pos="708"/>
        </w:tabs>
        <w:rPr>
          <w:rFonts w:ascii="Verdana" w:hAnsi="Verdana" w:cs="Arial"/>
          <w:sz w:val="22"/>
          <w:szCs w:val="22"/>
        </w:rPr>
      </w:pPr>
      <w:bookmarkStart w:id="153" w:name="_Toc104529481"/>
      <w:r w:rsidRPr="00205C60">
        <w:rPr>
          <w:rFonts w:ascii="Verdana" w:hAnsi="Verdana" w:cs="Arial"/>
          <w:sz w:val="22"/>
          <w:szCs w:val="22"/>
        </w:rPr>
        <w:t>Resultados de Operación</w:t>
      </w:r>
      <w:bookmarkEnd w:id="153"/>
    </w:p>
    <w:p w14:paraId="3CA7F191" w14:textId="77777777" w:rsidR="003E5CBD" w:rsidRPr="00205C60" w:rsidRDefault="003E5CBD" w:rsidP="003E5CBD">
      <w:pPr>
        <w:rPr>
          <w:rFonts w:ascii="Verdana" w:hAnsi="Verdana"/>
          <w:sz w:val="22"/>
          <w:szCs w:val="22"/>
        </w:rPr>
      </w:pPr>
    </w:p>
    <w:p w14:paraId="3CA7F192" w14:textId="77777777" w:rsidR="00B44125" w:rsidRPr="00205C60" w:rsidRDefault="00B44125">
      <w:pPr>
        <w:jc w:val="both"/>
        <w:rPr>
          <w:rFonts w:ascii="Verdana" w:hAnsi="Verdana" w:cs="Arial"/>
          <w:sz w:val="22"/>
          <w:szCs w:val="22"/>
        </w:rPr>
      </w:pPr>
      <w:r w:rsidRPr="00205C60">
        <w:rPr>
          <w:rFonts w:ascii="Verdana" w:hAnsi="Verdana" w:cs="Arial"/>
          <w:sz w:val="22"/>
          <w:szCs w:val="22"/>
        </w:rPr>
        <w:t>La CNFL es una empresa comprometida con la búsqueda continua de la excelencia en la utilización de los recursos. Por esta razón, la Empresa debe buscar cubrir tanto sus actividades de operación e inversión con los recursos que se generan por concepto de ventas de energía eléctrica y fuentes de financiamiento.</w:t>
      </w:r>
    </w:p>
    <w:p w14:paraId="3CA7F193" w14:textId="77777777" w:rsidR="00B44125" w:rsidRPr="00205C60" w:rsidRDefault="00B44125">
      <w:pPr>
        <w:jc w:val="both"/>
        <w:rPr>
          <w:rFonts w:ascii="Verdana" w:hAnsi="Verdana" w:cs="Arial"/>
          <w:sz w:val="22"/>
          <w:szCs w:val="22"/>
        </w:rPr>
      </w:pPr>
      <w:r w:rsidRPr="00205C60">
        <w:rPr>
          <w:rFonts w:ascii="Verdana" w:hAnsi="Verdana" w:cs="Arial"/>
          <w:sz w:val="22"/>
          <w:szCs w:val="22"/>
        </w:rPr>
        <w:t xml:space="preserve"> </w:t>
      </w:r>
    </w:p>
    <w:p w14:paraId="3CA7F194" w14:textId="5F0848B1" w:rsidR="004B60D5" w:rsidRPr="00205C60" w:rsidRDefault="001B48BF" w:rsidP="006E5A2C">
      <w:pPr>
        <w:jc w:val="both"/>
        <w:rPr>
          <w:rFonts w:ascii="Verdana" w:hAnsi="Verdana" w:cs="Arial"/>
          <w:sz w:val="22"/>
          <w:szCs w:val="22"/>
        </w:rPr>
      </w:pPr>
      <w:r w:rsidRPr="00205C60">
        <w:rPr>
          <w:rFonts w:ascii="Verdana" w:hAnsi="Verdana" w:cs="Arial"/>
          <w:sz w:val="22"/>
          <w:szCs w:val="22"/>
        </w:rPr>
        <w:t xml:space="preserve">En </w:t>
      </w:r>
      <w:r w:rsidR="00191269" w:rsidRPr="00205C60">
        <w:rPr>
          <w:rFonts w:ascii="Verdana" w:hAnsi="Verdana" w:cs="Arial"/>
          <w:sz w:val="22"/>
          <w:szCs w:val="22"/>
        </w:rPr>
        <w:t>el año 20</w:t>
      </w:r>
      <w:r w:rsidR="000A08EE" w:rsidRPr="00205C60">
        <w:rPr>
          <w:rFonts w:ascii="Verdana" w:hAnsi="Verdana" w:cs="Arial"/>
          <w:sz w:val="22"/>
          <w:szCs w:val="22"/>
        </w:rPr>
        <w:t>2</w:t>
      </w:r>
      <w:r w:rsidR="00D474F9" w:rsidRPr="00205C60">
        <w:rPr>
          <w:rFonts w:ascii="Verdana" w:hAnsi="Verdana" w:cs="Arial"/>
          <w:sz w:val="22"/>
          <w:szCs w:val="22"/>
        </w:rPr>
        <w:t>2</w:t>
      </w:r>
      <w:r w:rsidR="00191269" w:rsidRPr="00205C60">
        <w:rPr>
          <w:rFonts w:ascii="Verdana" w:hAnsi="Verdana" w:cs="Arial"/>
          <w:sz w:val="22"/>
          <w:szCs w:val="22"/>
        </w:rPr>
        <w:t xml:space="preserve"> la Compañía registr</w:t>
      </w:r>
      <w:r w:rsidR="00976D49" w:rsidRPr="00205C60">
        <w:rPr>
          <w:rFonts w:ascii="Verdana" w:hAnsi="Verdana" w:cs="Arial"/>
          <w:sz w:val="22"/>
          <w:szCs w:val="22"/>
        </w:rPr>
        <w:t>ó</w:t>
      </w:r>
      <w:r w:rsidR="00191269" w:rsidRPr="00205C60">
        <w:rPr>
          <w:rFonts w:ascii="Verdana" w:hAnsi="Verdana" w:cs="Arial"/>
          <w:sz w:val="22"/>
          <w:szCs w:val="22"/>
        </w:rPr>
        <w:t xml:space="preserve"> una </w:t>
      </w:r>
      <w:r w:rsidR="00D64A51" w:rsidRPr="00205C60">
        <w:rPr>
          <w:rFonts w:ascii="Verdana" w:hAnsi="Verdana" w:cs="Arial"/>
          <w:sz w:val="22"/>
          <w:szCs w:val="22"/>
        </w:rPr>
        <w:t>utilidad</w:t>
      </w:r>
      <w:r w:rsidR="00191269" w:rsidRPr="00205C60">
        <w:rPr>
          <w:rFonts w:ascii="Verdana" w:hAnsi="Verdana" w:cs="Arial"/>
          <w:sz w:val="22"/>
          <w:szCs w:val="22"/>
        </w:rPr>
        <w:t xml:space="preserve"> neta </w:t>
      </w:r>
      <w:r w:rsidR="004675F2" w:rsidRPr="00205C60">
        <w:rPr>
          <w:rFonts w:ascii="Verdana" w:hAnsi="Verdana" w:cs="Arial"/>
          <w:sz w:val="22"/>
          <w:szCs w:val="22"/>
        </w:rPr>
        <w:t xml:space="preserve">de </w:t>
      </w:r>
      <w:r w:rsidR="00FF1A73" w:rsidRPr="00205C60">
        <w:rPr>
          <w:rFonts w:ascii="Verdana" w:hAnsi="Verdana" w:cs="Arial"/>
          <w:sz w:val="22"/>
          <w:szCs w:val="22"/>
        </w:rPr>
        <w:t xml:space="preserve">₡ </w:t>
      </w:r>
      <w:r w:rsidR="00D64A51" w:rsidRPr="00205C60">
        <w:rPr>
          <w:rFonts w:ascii="Verdana" w:hAnsi="Verdana" w:cs="Arial"/>
          <w:sz w:val="22"/>
          <w:szCs w:val="22"/>
        </w:rPr>
        <w:t>20</w:t>
      </w:r>
      <w:r w:rsidR="008942EB" w:rsidRPr="00205C60">
        <w:rPr>
          <w:rFonts w:ascii="Verdana" w:hAnsi="Verdana" w:cs="Arial"/>
          <w:sz w:val="22"/>
          <w:szCs w:val="22"/>
        </w:rPr>
        <w:t>.</w:t>
      </w:r>
      <w:r w:rsidR="00D64A51" w:rsidRPr="00205C60">
        <w:rPr>
          <w:rFonts w:ascii="Verdana" w:hAnsi="Verdana" w:cs="Arial"/>
          <w:sz w:val="22"/>
          <w:szCs w:val="22"/>
        </w:rPr>
        <w:t>343</w:t>
      </w:r>
      <w:r w:rsidR="00E40500">
        <w:rPr>
          <w:rFonts w:ascii="Verdana" w:hAnsi="Verdana" w:cs="Arial"/>
          <w:sz w:val="22"/>
          <w:szCs w:val="22"/>
        </w:rPr>
        <w:t>,</w:t>
      </w:r>
      <w:r w:rsidR="00D64A51" w:rsidRPr="00205C60">
        <w:rPr>
          <w:rFonts w:ascii="Verdana" w:hAnsi="Verdana" w:cs="Arial"/>
          <w:sz w:val="22"/>
          <w:szCs w:val="22"/>
        </w:rPr>
        <w:t>026</w:t>
      </w:r>
      <w:r w:rsidR="00191269" w:rsidRPr="00205C60">
        <w:rPr>
          <w:rFonts w:ascii="Verdana" w:hAnsi="Verdana" w:cs="Arial"/>
          <w:sz w:val="22"/>
          <w:szCs w:val="22"/>
        </w:rPr>
        <w:t xml:space="preserve"> </w:t>
      </w:r>
      <w:r w:rsidR="009E70C4" w:rsidRPr="00205C60">
        <w:rPr>
          <w:rFonts w:ascii="Verdana" w:hAnsi="Verdana" w:cs="Arial"/>
          <w:sz w:val="22"/>
          <w:szCs w:val="22"/>
        </w:rPr>
        <w:t>mi</w:t>
      </w:r>
      <w:r w:rsidR="006E5A2C" w:rsidRPr="00205C60">
        <w:rPr>
          <w:rFonts w:ascii="Verdana" w:hAnsi="Verdana" w:cs="Arial"/>
          <w:sz w:val="22"/>
          <w:szCs w:val="22"/>
        </w:rPr>
        <w:t>l</w:t>
      </w:r>
      <w:r w:rsidR="00EF4C10">
        <w:rPr>
          <w:rFonts w:ascii="Verdana" w:hAnsi="Verdana" w:cs="Arial"/>
          <w:sz w:val="22"/>
          <w:szCs w:val="22"/>
        </w:rPr>
        <w:t>lon</w:t>
      </w:r>
      <w:r w:rsidR="006E5A2C" w:rsidRPr="00205C60">
        <w:rPr>
          <w:rFonts w:ascii="Verdana" w:hAnsi="Verdana" w:cs="Arial"/>
          <w:sz w:val="22"/>
          <w:szCs w:val="22"/>
        </w:rPr>
        <w:t>es</w:t>
      </w:r>
      <w:r w:rsidR="004B60D5" w:rsidRPr="00205C60">
        <w:rPr>
          <w:rFonts w:ascii="Verdana" w:hAnsi="Verdana" w:cs="Arial"/>
          <w:sz w:val="22"/>
          <w:szCs w:val="22"/>
        </w:rPr>
        <w:t xml:space="preserve"> </w:t>
      </w:r>
      <w:r w:rsidR="006E5A2C" w:rsidRPr="00205C60">
        <w:rPr>
          <w:rFonts w:ascii="Verdana" w:hAnsi="Verdana" w:cs="Arial"/>
          <w:sz w:val="22"/>
          <w:szCs w:val="22"/>
        </w:rPr>
        <w:t xml:space="preserve">y una utilidad de operación de </w:t>
      </w:r>
      <w:r w:rsidR="00FF1A73" w:rsidRPr="00205C60">
        <w:rPr>
          <w:rFonts w:ascii="Verdana" w:hAnsi="Verdana" w:cs="Arial"/>
          <w:sz w:val="22"/>
          <w:szCs w:val="22"/>
        </w:rPr>
        <w:t xml:space="preserve">₡ </w:t>
      </w:r>
      <w:r w:rsidR="00A13D20" w:rsidRPr="00205C60">
        <w:rPr>
          <w:rFonts w:ascii="Verdana" w:hAnsi="Verdana" w:cs="Arial"/>
          <w:sz w:val="22"/>
          <w:szCs w:val="22"/>
        </w:rPr>
        <w:t>2</w:t>
      </w:r>
      <w:r w:rsidR="00D9404D" w:rsidRPr="00205C60">
        <w:rPr>
          <w:rFonts w:ascii="Verdana" w:hAnsi="Verdana" w:cs="Arial"/>
          <w:sz w:val="22"/>
          <w:szCs w:val="22"/>
        </w:rPr>
        <w:t>5</w:t>
      </w:r>
      <w:r w:rsidR="00A13D20" w:rsidRPr="00205C60">
        <w:rPr>
          <w:rFonts w:ascii="Verdana" w:hAnsi="Verdana" w:cs="Arial"/>
          <w:sz w:val="22"/>
          <w:szCs w:val="22"/>
        </w:rPr>
        <w:t>.</w:t>
      </w:r>
      <w:r w:rsidR="00D9404D" w:rsidRPr="00205C60">
        <w:rPr>
          <w:rFonts w:ascii="Verdana" w:hAnsi="Verdana" w:cs="Arial"/>
          <w:sz w:val="22"/>
          <w:szCs w:val="22"/>
        </w:rPr>
        <w:t>389</w:t>
      </w:r>
      <w:r w:rsidR="00EF4C10">
        <w:rPr>
          <w:rFonts w:ascii="Verdana" w:hAnsi="Verdana" w:cs="Arial"/>
          <w:sz w:val="22"/>
          <w:szCs w:val="22"/>
        </w:rPr>
        <w:t>,</w:t>
      </w:r>
      <w:r w:rsidR="00A13D20" w:rsidRPr="00205C60">
        <w:rPr>
          <w:rFonts w:ascii="Verdana" w:hAnsi="Verdana" w:cs="Arial"/>
          <w:sz w:val="22"/>
          <w:szCs w:val="22"/>
        </w:rPr>
        <w:t>6</w:t>
      </w:r>
      <w:r w:rsidR="00D9404D" w:rsidRPr="00205C60">
        <w:rPr>
          <w:rFonts w:ascii="Verdana" w:hAnsi="Verdana" w:cs="Arial"/>
          <w:sz w:val="22"/>
          <w:szCs w:val="22"/>
        </w:rPr>
        <w:t>4</w:t>
      </w:r>
      <w:r w:rsidR="006E5A2C" w:rsidRPr="00205C60">
        <w:rPr>
          <w:rFonts w:ascii="Verdana" w:hAnsi="Verdana" w:cs="Arial"/>
          <w:sz w:val="22"/>
          <w:szCs w:val="22"/>
        </w:rPr>
        <w:t xml:space="preserve"> mil</w:t>
      </w:r>
      <w:r w:rsidR="00EF4C10">
        <w:rPr>
          <w:rFonts w:ascii="Verdana" w:hAnsi="Verdana" w:cs="Arial"/>
          <w:sz w:val="22"/>
          <w:szCs w:val="22"/>
        </w:rPr>
        <w:t>lon</w:t>
      </w:r>
      <w:r w:rsidR="006E5A2C" w:rsidRPr="00205C60">
        <w:rPr>
          <w:rFonts w:ascii="Verdana" w:hAnsi="Verdana" w:cs="Arial"/>
          <w:sz w:val="22"/>
          <w:szCs w:val="22"/>
        </w:rPr>
        <w:t>es.</w:t>
      </w:r>
      <w:r w:rsidR="00E70C26" w:rsidRPr="00205C60">
        <w:rPr>
          <w:rFonts w:ascii="Verdana" w:hAnsi="Verdana" w:cs="Arial"/>
          <w:sz w:val="22"/>
          <w:szCs w:val="22"/>
        </w:rPr>
        <w:t xml:space="preserve"> Recordar las variables que </w:t>
      </w:r>
      <w:r w:rsidR="00BB356C" w:rsidRPr="00205C60">
        <w:rPr>
          <w:rFonts w:ascii="Verdana" w:hAnsi="Verdana" w:cs="Arial"/>
          <w:sz w:val="22"/>
          <w:szCs w:val="22"/>
        </w:rPr>
        <w:t>influyeron en</w:t>
      </w:r>
      <w:r w:rsidR="00E70C26" w:rsidRPr="00205C60">
        <w:rPr>
          <w:rFonts w:ascii="Verdana" w:hAnsi="Verdana" w:cs="Arial"/>
          <w:sz w:val="22"/>
          <w:szCs w:val="22"/>
        </w:rPr>
        <w:t xml:space="preserve"> el resultado neto explicadas en el inciso a) del punto 2.1.5.2. </w:t>
      </w:r>
    </w:p>
    <w:p w14:paraId="3CA7F196" w14:textId="77777777" w:rsidR="00255F92" w:rsidRPr="00205C60" w:rsidRDefault="00255F92" w:rsidP="00E72BB9">
      <w:pPr>
        <w:jc w:val="both"/>
        <w:rPr>
          <w:rFonts w:ascii="Verdana" w:hAnsi="Verdana" w:cs="Arial"/>
          <w:sz w:val="22"/>
          <w:szCs w:val="22"/>
          <w:lang w:val="es-CR"/>
        </w:rPr>
      </w:pPr>
    </w:p>
    <w:p w14:paraId="3CA7F197" w14:textId="77777777" w:rsidR="00B44125" w:rsidRPr="00205C60" w:rsidRDefault="00B44125" w:rsidP="00307E2B">
      <w:pPr>
        <w:pStyle w:val="Ttulo2"/>
        <w:numPr>
          <w:ilvl w:val="2"/>
          <w:numId w:val="1"/>
        </w:numPr>
        <w:tabs>
          <w:tab w:val="left" w:pos="708"/>
        </w:tabs>
        <w:rPr>
          <w:rFonts w:ascii="Verdana" w:hAnsi="Verdana" w:cs="Arial"/>
          <w:sz w:val="22"/>
          <w:szCs w:val="22"/>
        </w:rPr>
      </w:pPr>
      <w:bookmarkStart w:id="154" w:name="_Toc104529482"/>
      <w:r w:rsidRPr="00205C60">
        <w:rPr>
          <w:rFonts w:ascii="Verdana" w:hAnsi="Verdana" w:cs="Arial"/>
          <w:sz w:val="22"/>
          <w:szCs w:val="22"/>
        </w:rPr>
        <w:t>Estructura de Ingresos</w:t>
      </w:r>
      <w:bookmarkEnd w:id="154"/>
    </w:p>
    <w:p w14:paraId="3CA7F198" w14:textId="77777777" w:rsidR="008F65FC" w:rsidRPr="00205C60" w:rsidRDefault="008F65FC" w:rsidP="008F65FC">
      <w:pPr>
        <w:rPr>
          <w:rFonts w:ascii="Verdana" w:hAnsi="Verdana"/>
          <w:sz w:val="22"/>
          <w:szCs w:val="22"/>
        </w:rPr>
      </w:pPr>
    </w:p>
    <w:p w14:paraId="3CA7F199" w14:textId="77777777" w:rsidR="009623D7" w:rsidRPr="00205C60" w:rsidRDefault="009623D7" w:rsidP="009623D7">
      <w:pPr>
        <w:jc w:val="both"/>
        <w:rPr>
          <w:rFonts w:ascii="Verdana" w:hAnsi="Verdana" w:cs="Arial"/>
          <w:sz w:val="22"/>
          <w:szCs w:val="22"/>
        </w:rPr>
      </w:pPr>
      <w:r w:rsidRPr="00205C60">
        <w:rPr>
          <w:rFonts w:ascii="Verdana" w:hAnsi="Verdana" w:cs="Arial"/>
          <w:sz w:val="22"/>
          <w:szCs w:val="22"/>
        </w:rPr>
        <w:t>Por la forma en que el mercado eléctrico está estructurado para efectos de fijaciones tarifarias, los ingresos de la Compañía están determinados en función de esa composición del mercado, tal y como se muestra en el cuadro siguiente:</w:t>
      </w:r>
    </w:p>
    <w:p w14:paraId="3CA7F19A" w14:textId="77777777" w:rsidR="00C552E3" w:rsidRPr="00205C60" w:rsidRDefault="00C552E3" w:rsidP="009623D7">
      <w:pPr>
        <w:jc w:val="both"/>
        <w:rPr>
          <w:rFonts w:ascii="Verdana" w:hAnsi="Verdana"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5"/>
        <w:gridCol w:w="3262"/>
      </w:tblGrid>
      <w:tr w:rsidR="00FD4C24" w:rsidRPr="00205C60" w14:paraId="3CA7F19D" w14:textId="77777777" w:rsidTr="00CE0622">
        <w:trPr>
          <w:trHeight w:val="564"/>
          <w:jc w:val="center"/>
        </w:trPr>
        <w:tc>
          <w:tcPr>
            <w:tcW w:w="6307" w:type="dxa"/>
            <w:gridSpan w:val="2"/>
            <w:vAlign w:val="center"/>
          </w:tcPr>
          <w:p w14:paraId="3CA7F19B" w14:textId="77777777" w:rsidR="00FD4C24" w:rsidRPr="00205C60" w:rsidRDefault="00FD4C24" w:rsidP="00CE0622">
            <w:pPr>
              <w:jc w:val="center"/>
              <w:rPr>
                <w:rFonts w:ascii="Verdana" w:hAnsi="Verdana" w:cs="Arial"/>
                <w:b/>
                <w:sz w:val="22"/>
                <w:szCs w:val="22"/>
              </w:rPr>
            </w:pPr>
            <w:r w:rsidRPr="00205C60">
              <w:rPr>
                <w:rFonts w:ascii="Verdana" w:hAnsi="Verdana" w:cs="Arial"/>
                <w:b/>
                <w:sz w:val="22"/>
                <w:szCs w:val="22"/>
              </w:rPr>
              <w:t xml:space="preserve">Ventas de </w:t>
            </w:r>
            <w:r w:rsidR="009137D2" w:rsidRPr="00205C60">
              <w:rPr>
                <w:rFonts w:ascii="Verdana" w:hAnsi="Verdana" w:cs="Arial"/>
                <w:b/>
                <w:sz w:val="22"/>
                <w:szCs w:val="22"/>
              </w:rPr>
              <w:t>energía</w:t>
            </w:r>
          </w:p>
          <w:p w14:paraId="3CA7F19C" w14:textId="77777777" w:rsidR="00FD4C24" w:rsidRPr="00205C60" w:rsidRDefault="00FD4C24" w:rsidP="00CE0622">
            <w:pPr>
              <w:jc w:val="center"/>
              <w:rPr>
                <w:rFonts w:ascii="Verdana" w:hAnsi="Verdana" w:cs="Arial"/>
                <w:b/>
                <w:sz w:val="22"/>
                <w:szCs w:val="22"/>
              </w:rPr>
            </w:pPr>
            <w:r w:rsidRPr="00205C60">
              <w:rPr>
                <w:rFonts w:ascii="Verdana" w:hAnsi="Verdana" w:cs="Arial"/>
                <w:b/>
                <w:sz w:val="22"/>
                <w:szCs w:val="22"/>
              </w:rPr>
              <w:t>(Cifras en miles de colones)</w:t>
            </w:r>
          </w:p>
        </w:tc>
      </w:tr>
      <w:tr w:rsidR="00FD4C24" w:rsidRPr="00205C60" w14:paraId="3CA7F1A0" w14:textId="77777777" w:rsidTr="00CE0622">
        <w:trPr>
          <w:trHeight w:val="416"/>
          <w:jc w:val="center"/>
        </w:trPr>
        <w:tc>
          <w:tcPr>
            <w:tcW w:w="3045" w:type="dxa"/>
            <w:vAlign w:val="center"/>
          </w:tcPr>
          <w:p w14:paraId="3CA7F19E" w14:textId="77777777" w:rsidR="00FD4C24" w:rsidRPr="00205C60" w:rsidRDefault="00FD4C24" w:rsidP="00CE0622">
            <w:pPr>
              <w:jc w:val="center"/>
              <w:rPr>
                <w:rFonts w:ascii="Verdana" w:hAnsi="Verdana" w:cs="Arial"/>
                <w:b/>
                <w:sz w:val="22"/>
                <w:szCs w:val="22"/>
              </w:rPr>
            </w:pPr>
            <w:r w:rsidRPr="00205C60">
              <w:rPr>
                <w:rFonts w:ascii="Verdana" w:hAnsi="Verdana" w:cs="Arial"/>
                <w:b/>
                <w:sz w:val="22"/>
                <w:szCs w:val="22"/>
              </w:rPr>
              <w:t>Sector</w:t>
            </w:r>
          </w:p>
        </w:tc>
        <w:tc>
          <w:tcPr>
            <w:tcW w:w="3262" w:type="dxa"/>
            <w:vAlign w:val="center"/>
          </w:tcPr>
          <w:p w14:paraId="3CA7F19F" w14:textId="23FE4023" w:rsidR="00FD4C24" w:rsidRPr="00205C60" w:rsidRDefault="00FD4C24" w:rsidP="00AA7938">
            <w:pPr>
              <w:jc w:val="center"/>
              <w:rPr>
                <w:rFonts w:ascii="Verdana" w:hAnsi="Verdana" w:cs="Arial"/>
                <w:b/>
                <w:color w:val="C00000"/>
                <w:sz w:val="22"/>
                <w:szCs w:val="22"/>
              </w:rPr>
            </w:pPr>
            <w:r w:rsidRPr="00205C60">
              <w:rPr>
                <w:rFonts w:ascii="Verdana" w:hAnsi="Verdana" w:cs="Arial"/>
                <w:b/>
                <w:sz w:val="22"/>
                <w:szCs w:val="22"/>
              </w:rPr>
              <w:t>Año 20</w:t>
            </w:r>
            <w:r w:rsidR="00AA7938" w:rsidRPr="00205C60">
              <w:rPr>
                <w:rFonts w:ascii="Verdana" w:hAnsi="Verdana" w:cs="Arial"/>
                <w:b/>
                <w:sz w:val="22"/>
                <w:szCs w:val="22"/>
              </w:rPr>
              <w:t>2</w:t>
            </w:r>
            <w:r w:rsidR="003E258C" w:rsidRPr="00205C60">
              <w:rPr>
                <w:rFonts w:ascii="Verdana" w:hAnsi="Verdana" w:cs="Arial"/>
                <w:b/>
                <w:sz w:val="22"/>
                <w:szCs w:val="22"/>
              </w:rPr>
              <w:t>2</w:t>
            </w:r>
          </w:p>
        </w:tc>
      </w:tr>
      <w:tr w:rsidR="00FD4C24" w:rsidRPr="00205C60" w14:paraId="3CA7F1A3" w14:textId="77777777" w:rsidTr="00CE0622">
        <w:trPr>
          <w:jc w:val="center"/>
        </w:trPr>
        <w:tc>
          <w:tcPr>
            <w:tcW w:w="3045" w:type="dxa"/>
            <w:vAlign w:val="center"/>
          </w:tcPr>
          <w:p w14:paraId="3CA7F1A1" w14:textId="77777777" w:rsidR="00FD4C24" w:rsidRPr="00205C60" w:rsidRDefault="00FD4C24" w:rsidP="00CE0622">
            <w:pPr>
              <w:jc w:val="center"/>
              <w:rPr>
                <w:rFonts w:ascii="Verdana" w:hAnsi="Verdana" w:cs="Arial"/>
                <w:sz w:val="22"/>
                <w:szCs w:val="22"/>
              </w:rPr>
            </w:pPr>
            <w:r w:rsidRPr="00205C60">
              <w:rPr>
                <w:rFonts w:ascii="Verdana" w:hAnsi="Verdana" w:cs="Arial"/>
                <w:sz w:val="22"/>
                <w:szCs w:val="22"/>
              </w:rPr>
              <w:t>Residencial</w:t>
            </w:r>
          </w:p>
        </w:tc>
        <w:tc>
          <w:tcPr>
            <w:tcW w:w="3262" w:type="dxa"/>
            <w:vAlign w:val="center"/>
          </w:tcPr>
          <w:p w14:paraId="3CA7F1A2" w14:textId="597AE157" w:rsidR="00FD4C24" w:rsidRPr="00205C60" w:rsidRDefault="00050452" w:rsidP="00AA7938">
            <w:pPr>
              <w:jc w:val="center"/>
              <w:rPr>
                <w:rFonts w:ascii="Verdana" w:hAnsi="Verdana" w:cs="Arial"/>
                <w:sz w:val="22"/>
                <w:szCs w:val="22"/>
              </w:rPr>
            </w:pPr>
            <w:r w:rsidRPr="00205C60">
              <w:rPr>
                <w:rFonts w:ascii="Verdana" w:hAnsi="Verdana" w:cs="Arial"/>
                <w:sz w:val="22"/>
                <w:szCs w:val="22"/>
              </w:rPr>
              <w:t>1</w:t>
            </w:r>
            <w:r w:rsidR="00BE2E7D" w:rsidRPr="00205C60">
              <w:rPr>
                <w:rFonts w:ascii="Verdana" w:hAnsi="Verdana" w:cs="Arial"/>
                <w:sz w:val="22"/>
                <w:szCs w:val="22"/>
              </w:rPr>
              <w:t>24</w:t>
            </w:r>
            <w:r w:rsidRPr="00205C60">
              <w:rPr>
                <w:rFonts w:ascii="Verdana" w:hAnsi="Verdana" w:cs="Arial"/>
                <w:sz w:val="22"/>
                <w:szCs w:val="22"/>
              </w:rPr>
              <w:t>.</w:t>
            </w:r>
            <w:r w:rsidR="00BE2E7D" w:rsidRPr="00205C60">
              <w:rPr>
                <w:rFonts w:ascii="Verdana" w:hAnsi="Verdana" w:cs="Arial"/>
                <w:sz w:val="22"/>
                <w:szCs w:val="22"/>
              </w:rPr>
              <w:t>715</w:t>
            </w:r>
            <w:r w:rsidRPr="00205C60">
              <w:rPr>
                <w:rFonts w:ascii="Verdana" w:hAnsi="Verdana" w:cs="Arial"/>
                <w:sz w:val="22"/>
                <w:szCs w:val="22"/>
              </w:rPr>
              <w:t>.</w:t>
            </w:r>
            <w:r w:rsidR="00BE2E7D" w:rsidRPr="00205C60">
              <w:rPr>
                <w:rFonts w:ascii="Verdana" w:hAnsi="Verdana" w:cs="Arial"/>
                <w:sz w:val="22"/>
                <w:szCs w:val="22"/>
              </w:rPr>
              <w:t>866</w:t>
            </w:r>
          </w:p>
        </w:tc>
      </w:tr>
      <w:tr w:rsidR="00FD4C24" w:rsidRPr="00205C60" w14:paraId="3CA7F1A6" w14:textId="77777777" w:rsidTr="00CE0622">
        <w:trPr>
          <w:jc w:val="center"/>
        </w:trPr>
        <w:tc>
          <w:tcPr>
            <w:tcW w:w="3045" w:type="dxa"/>
            <w:vAlign w:val="center"/>
          </w:tcPr>
          <w:p w14:paraId="3CA7F1A4" w14:textId="77777777" w:rsidR="00FD4C24" w:rsidRPr="00205C60" w:rsidRDefault="00FD4C24" w:rsidP="00CE0622">
            <w:pPr>
              <w:jc w:val="center"/>
              <w:rPr>
                <w:rFonts w:ascii="Verdana" w:hAnsi="Verdana" w:cs="Arial"/>
                <w:sz w:val="22"/>
                <w:szCs w:val="22"/>
              </w:rPr>
            </w:pPr>
            <w:r w:rsidRPr="00205C60">
              <w:rPr>
                <w:rFonts w:ascii="Verdana" w:hAnsi="Verdana" w:cs="Arial"/>
                <w:sz w:val="22"/>
                <w:szCs w:val="22"/>
              </w:rPr>
              <w:t>Comercial</w:t>
            </w:r>
          </w:p>
        </w:tc>
        <w:tc>
          <w:tcPr>
            <w:tcW w:w="3262" w:type="dxa"/>
            <w:vAlign w:val="center"/>
          </w:tcPr>
          <w:p w14:paraId="3CA7F1A5" w14:textId="1ECB31D5" w:rsidR="00FD4C24" w:rsidRPr="00205C60" w:rsidRDefault="00255F92" w:rsidP="00AA7938">
            <w:pPr>
              <w:jc w:val="center"/>
              <w:rPr>
                <w:rFonts w:ascii="Verdana" w:hAnsi="Verdana" w:cs="Arial"/>
                <w:sz w:val="22"/>
                <w:szCs w:val="22"/>
              </w:rPr>
            </w:pPr>
            <w:r w:rsidRPr="00205C60">
              <w:rPr>
                <w:rFonts w:ascii="Verdana" w:hAnsi="Verdana" w:cs="Arial"/>
                <w:sz w:val="22"/>
                <w:szCs w:val="22"/>
              </w:rPr>
              <w:t>1</w:t>
            </w:r>
            <w:r w:rsidR="00BE2E7D" w:rsidRPr="00205C60">
              <w:rPr>
                <w:rFonts w:ascii="Verdana" w:hAnsi="Verdana" w:cs="Arial"/>
                <w:sz w:val="22"/>
                <w:szCs w:val="22"/>
              </w:rPr>
              <w:t>45</w:t>
            </w:r>
            <w:r w:rsidR="00050452" w:rsidRPr="00205C60">
              <w:rPr>
                <w:rFonts w:ascii="Verdana" w:hAnsi="Verdana" w:cs="Arial"/>
                <w:sz w:val="22"/>
                <w:szCs w:val="22"/>
              </w:rPr>
              <w:t>.</w:t>
            </w:r>
            <w:r w:rsidR="00BE2E7D" w:rsidRPr="00205C60">
              <w:rPr>
                <w:rFonts w:ascii="Verdana" w:hAnsi="Verdana" w:cs="Arial"/>
                <w:sz w:val="22"/>
                <w:szCs w:val="22"/>
              </w:rPr>
              <w:t>952</w:t>
            </w:r>
            <w:r w:rsidR="00050452" w:rsidRPr="00205C60">
              <w:rPr>
                <w:rFonts w:ascii="Verdana" w:hAnsi="Verdana" w:cs="Arial"/>
                <w:sz w:val="22"/>
                <w:szCs w:val="22"/>
              </w:rPr>
              <w:t>.</w:t>
            </w:r>
            <w:r w:rsidR="00BE2E7D" w:rsidRPr="00205C60">
              <w:rPr>
                <w:rFonts w:ascii="Verdana" w:hAnsi="Verdana" w:cs="Arial"/>
                <w:sz w:val="22"/>
                <w:szCs w:val="22"/>
              </w:rPr>
              <w:t>864</w:t>
            </w:r>
          </w:p>
        </w:tc>
      </w:tr>
      <w:tr w:rsidR="00FD4C24" w:rsidRPr="00205C60" w14:paraId="3CA7F1A9" w14:textId="77777777" w:rsidTr="00CE0622">
        <w:trPr>
          <w:jc w:val="center"/>
        </w:trPr>
        <w:tc>
          <w:tcPr>
            <w:tcW w:w="3045" w:type="dxa"/>
            <w:vAlign w:val="center"/>
          </w:tcPr>
          <w:p w14:paraId="3CA7F1A7" w14:textId="77777777" w:rsidR="00FD4C24" w:rsidRPr="00205C60" w:rsidRDefault="00FD4C24" w:rsidP="00CE0622">
            <w:pPr>
              <w:jc w:val="center"/>
              <w:rPr>
                <w:rFonts w:ascii="Verdana" w:hAnsi="Verdana" w:cs="Arial"/>
                <w:sz w:val="22"/>
                <w:szCs w:val="22"/>
              </w:rPr>
            </w:pPr>
            <w:r w:rsidRPr="00205C60">
              <w:rPr>
                <w:rFonts w:ascii="Verdana" w:hAnsi="Verdana" w:cs="Arial"/>
                <w:sz w:val="22"/>
                <w:szCs w:val="22"/>
              </w:rPr>
              <w:t>Industrial</w:t>
            </w:r>
          </w:p>
        </w:tc>
        <w:tc>
          <w:tcPr>
            <w:tcW w:w="3262" w:type="dxa"/>
            <w:vAlign w:val="center"/>
          </w:tcPr>
          <w:p w14:paraId="3CA7F1A8" w14:textId="1D0323BA" w:rsidR="00FD4C24" w:rsidRPr="00205C60" w:rsidRDefault="00050452" w:rsidP="00AA7938">
            <w:pPr>
              <w:jc w:val="center"/>
              <w:rPr>
                <w:rFonts w:ascii="Verdana" w:hAnsi="Verdana" w:cs="Arial"/>
                <w:sz w:val="22"/>
                <w:szCs w:val="22"/>
              </w:rPr>
            </w:pPr>
            <w:r w:rsidRPr="00205C60">
              <w:rPr>
                <w:rFonts w:ascii="Verdana" w:hAnsi="Verdana" w:cs="Arial"/>
                <w:sz w:val="22"/>
                <w:szCs w:val="22"/>
              </w:rPr>
              <w:t>30.</w:t>
            </w:r>
            <w:r w:rsidR="00BE2E7D" w:rsidRPr="00205C60">
              <w:rPr>
                <w:rFonts w:ascii="Verdana" w:hAnsi="Verdana" w:cs="Arial"/>
                <w:sz w:val="22"/>
                <w:szCs w:val="22"/>
              </w:rPr>
              <w:t>903</w:t>
            </w:r>
            <w:r w:rsidRPr="00205C60">
              <w:rPr>
                <w:rFonts w:ascii="Verdana" w:hAnsi="Verdana" w:cs="Arial"/>
                <w:sz w:val="22"/>
                <w:szCs w:val="22"/>
              </w:rPr>
              <w:t>.</w:t>
            </w:r>
            <w:r w:rsidR="00BE2E7D" w:rsidRPr="00205C60">
              <w:rPr>
                <w:rFonts w:ascii="Verdana" w:hAnsi="Verdana" w:cs="Arial"/>
                <w:sz w:val="22"/>
                <w:szCs w:val="22"/>
              </w:rPr>
              <w:t>687</w:t>
            </w:r>
          </w:p>
        </w:tc>
      </w:tr>
      <w:tr w:rsidR="00FD4C24" w:rsidRPr="00205C60" w14:paraId="3CA7F1AC" w14:textId="77777777" w:rsidTr="00CE0622">
        <w:trPr>
          <w:jc w:val="center"/>
        </w:trPr>
        <w:tc>
          <w:tcPr>
            <w:tcW w:w="3045" w:type="dxa"/>
            <w:vAlign w:val="center"/>
          </w:tcPr>
          <w:p w14:paraId="3CA7F1AA" w14:textId="77777777" w:rsidR="00FD4C24" w:rsidRPr="00205C60" w:rsidRDefault="00FD4C24" w:rsidP="00CE0622">
            <w:pPr>
              <w:jc w:val="center"/>
              <w:rPr>
                <w:rFonts w:ascii="Verdana" w:hAnsi="Verdana" w:cs="Arial"/>
                <w:sz w:val="22"/>
                <w:szCs w:val="22"/>
              </w:rPr>
            </w:pPr>
            <w:r w:rsidRPr="00205C60">
              <w:rPr>
                <w:rFonts w:ascii="Verdana" w:hAnsi="Verdana" w:cs="Arial"/>
                <w:sz w:val="22"/>
                <w:szCs w:val="22"/>
              </w:rPr>
              <w:t>Alumbrado Público</w:t>
            </w:r>
          </w:p>
        </w:tc>
        <w:tc>
          <w:tcPr>
            <w:tcW w:w="3262" w:type="dxa"/>
            <w:vAlign w:val="center"/>
          </w:tcPr>
          <w:p w14:paraId="3CA7F1AB" w14:textId="03335142" w:rsidR="00FD4C24" w:rsidRPr="00205C60" w:rsidRDefault="00050452" w:rsidP="00AA7938">
            <w:pPr>
              <w:jc w:val="center"/>
              <w:rPr>
                <w:rFonts w:ascii="Verdana" w:hAnsi="Verdana" w:cs="Arial"/>
                <w:sz w:val="22"/>
                <w:szCs w:val="22"/>
              </w:rPr>
            </w:pPr>
            <w:r w:rsidRPr="00205C60">
              <w:rPr>
                <w:rFonts w:ascii="Verdana" w:hAnsi="Verdana" w:cs="Arial"/>
                <w:sz w:val="22"/>
                <w:szCs w:val="22"/>
              </w:rPr>
              <w:t>8.</w:t>
            </w:r>
            <w:r w:rsidR="00BE2E7D" w:rsidRPr="00205C60">
              <w:rPr>
                <w:rFonts w:ascii="Verdana" w:hAnsi="Verdana" w:cs="Arial"/>
                <w:sz w:val="22"/>
                <w:szCs w:val="22"/>
              </w:rPr>
              <w:t>617</w:t>
            </w:r>
            <w:r w:rsidRPr="00205C60">
              <w:rPr>
                <w:rFonts w:ascii="Verdana" w:hAnsi="Verdana" w:cs="Arial"/>
                <w:sz w:val="22"/>
                <w:szCs w:val="22"/>
              </w:rPr>
              <w:t>.</w:t>
            </w:r>
            <w:r w:rsidR="00662752" w:rsidRPr="00205C60">
              <w:rPr>
                <w:rFonts w:ascii="Verdana" w:hAnsi="Verdana" w:cs="Arial"/>
                <w:sz w:val="22"/>
                <w:szCs w:val="22"/>
              </w:rPr>
              <w:t>753</w:t>
            </w:r>
          </w:p>
        </w:tc>
      </w:tr>
      <w:tr w:rsidR="00FD4C24" w:rsidRPr="00205C60" w14:paraId="3CA7F1AF" w14:textId="77777777" w:rsidTr="00CE0622">
        <w:trPr>
          <w:trHeight w:val="435"/>
          <w:jc w:val="center"/>
        </w:trPr>
        <w:tc>
          <w:tcPr>
            <w:tcW w:w="3045" w:type="dxa"/>
            <w:vAlign w:val="center"/>
          </w:tcPr>
          <w:p w14:paraId="3CA7F1AD" w14:textId="77777777" w:rsidR="00FD4C24" w:rsidRPr="00205C60" w:rsidRDefault="00CE0622" w:rsidP="00CE0622">
            <w:pPr>
              <w:jc w:val="center"/>
              <w:rPr>
                <w:rFonts w:ascii="Verdana" w:hAnsi="Verdana" w:cs="Arial"/>
                <w:b/>
                <w:sz w:val="22"/>
                <w:szCs w:val="22"/>
              </w:rPr>
            </w:pPr>
            <w:r w:rsidRPr="00205C60">
              <w:rPr>
                <w:rFonts w:ascii="Verdana" w:hAnsi="Verdana" w:cs="Arial"/>
                <w:b/>
                <w:sz w:val="22"/>
                <w:szCs w:val="22"/>
              </w:rPr>
              <w:t>Total ventas de energía</w:t>
            </w:r>
          </w:p>
        </w:tc>
        <w:tc>
          <w:tcPr>
            <w:tcW w:w="3262" w:type="dxa"/>
            <w:vAlign w:val="center"/>
          </w:tcPr>
          <w:p w14:paraId="3CA7F1AE" w14:textId="5C65DAC3" w:rsidR="00FD4C24" w:rsidRPr="00205C60" w:rsidRDefault="00662752" w:rsidP="00AA7938">
            <w:pPr>
              <w:jc w:val="center"/>
              <w:rPr>
                <w:rFonts w:ascii="Verdana" w:hAnsi="Verdana" w:cs="Arial"/>
                <w:b/>
                <w:sz w:val="22"/>
                <w:szCs w:val="22"/>
              </w:rPr>
            </w:pPr>
            <w:r w:rsidRPr="00205C60">
              <w:rPr>
                <w:rFonts w:ascii="Verdana" w:hAnsi="Verdana" w:cs="Arial"/>
                <w:b/>
                <w:sz w:val="22"/>
                <w:szCs w:val="22"/>
              </w:rPr>
              <w:t>310</w:t>
            </w:r>
            <w:r w:rsidR="00050452" w:rsidRPr="00205C60">
              <w:rPr>
                <w:rFonts w:ascii="Verdana" w:hAnsi="Verdana" w:cs="Arial"/>
                <w:b/>
                <w:sz w:val="22"/>
                <w:szCs w:val="22"/>
              </w:rPr>
              <w:t>.</w:t>
            </w:r>
            <w:r w:rsidRPr="00205C60">
              <w:rPr>
                <w:rFonts w:ascii="Verdana" w:hAnsi="Verdana" w:cs="Arial"/>
                <w:b/>
                <w:sz w:val="22"/>
                <w:szCs w:val="22"/>
              </w:rPr>
              <w:t>190</w:t>
            </w:r>
            <w:r w:rsidR="00050452" w:rsidRPr="00205C60">
              <w:rPr>
                <w:rFonts w:ascii="Verdana" w:hAnsi="Verdana" w:cs="Arial"/>
                <w:b/>
                <w:sz w:val="22"/>
                <w:szCs w:val="22"/>
              </w:rPr>
              <w:t>.</w:t>
            </w:r>
            <w:r w:rsidRPr="00205C60">
              <w:rPr>
                <w:rFonts w:ascii="Verdana" w:hAnsi="Verdana" w:cs="Arial"/>
                <w:b/>
                <w:sz w:val="22"/>
                <w:szCs w:val="22"/>
              </w:rPr>
              <w:t>170</w:t>
            </w:r>
          </w:p>
        </w:tc>
      </w:tr>
    </w:tbl>
    <w:p w14:paraId="3CA7F1B0" w14:textId="77777777" w:rsidR="009E56F8" w:rsidRPr="00205C60" w:rsidRDefault="008F65FC" w:rsidP="008F65FC">
      <w:pPr>
        <w:jc w:val="both"/>
        <w:rPr>
          <w:rFonts w:ascii="Verdana" w:hAnsi="Verdana" w:cs="Arial"/>
          <w:sz w:val="22"/>
          <w:szCs w:val="22"/>
        </w:rPr>
      </w:pPr>
      <w:r w:rsidRPr="00205C60">
        <w:rPr>
          <w:rFonts w:ascii="Verdana" w:hAnsi="Verdana" w:cs="Arial"/>
          <w:sz w:val="22"/>
          <w:szCs w:val="22"/>
        </w:rPr>
        <w:t xml:space="preserve">                </w:t>
      </w:r>
      <w:r w:rsidR="00CE0622" w:rsidRPr="00205C60">
        <w:rPr>
          <w:rFonts w:ascii="Verdana" w:hAnsi="Verdana" w:cs="Arial"/>
          <w:sz w:val="22"/>
          <w:szCs w:val="22"/>
        </w:rPr>
        <w:tab/>
      </w:r>
    </w:p>
    <w:p w14:paraId="3CA7F1B1" w14:textId="3874C05E" w:rsidR="00FD4C24" w:rsidRPr="00205C60" w:rsidRDefault="00FD4C24" w:rsidP="009E56F8">
      <w:pPr>
        <w:ind w:left="706" w:firstLine="706"/>
        <w:jc w:val="both"/>
        <w:rPr>
          <w:rFonts w:ascii="Verdana" w:hAnsi="Verdana" w:cs="Arial"/>
          <w:sz w:val="22"/>
          <w:szCs w:val="22"/>
        </w:rPr>
      </w:pPr>
      <w:r w:rsidRPr="00205C60">
        <w:rPr>
          <w:rFonts w:ascii="Verdana" w:hAnsi="Verdana" w:cs="Arial"/>
          <w:sz w:val="22"/>
          <w:szCs w:val="22"/>
        </w:rPr>
        <w:t>Fuente: Estados Financieros Auditados 20</w:t>
      </w:r>
      <w:r w:rsidR="00C77E1D" w:rsidRPr="00205C60">
        <w:rPr>
          <w:rFonts w:ascii="Verdana" w:hAnsi="Verdana" w:cs="Arial"/>
          <w:sz w:val="22"/>
          <w:szCs w:val="22"/>
        </w:rPr>
        <w:t>2</w:t>
      </w:r>
      <w:r w:rsidR="003E258C" w:rsidRPr="00205C60">
        <w:rPr>
          <w:rFonts w:ascii="Verdana" w:hAnsi="Verdana" w:cs="Arial"/>
          <w:sz w:val="22"/>
          <w:szCs w:val="22"/>
        </w:rPr>
        <w:t>2</w:t>
      </w:r>
      <w:r w:rsidRPr="00205C60">
        <w:rPr>
          <w:rFonts w:ascii="Verdana" w:hAnsi="Verdana" w:cs="Arial"/>
          <w:sz w:val="22"/>
          <w:szCs w:val="22"/>
        </w:rPr>
        <w:t>.</w:t>
      </w:r>
      <w:r w:rsidR="00555DC1" w:rsidRPr="00205C60">
        <w:rPr>
          <w:rFonts w:ascii="Verdana" w:hAnsi="Verdana" w:cs="Arial"/>
          <w:sz w:val="22"/>
          <w:szCs w:val="22"/>
        </w:rPr>
        <w:t xml:space="preserve"> (</w:t>
      </w:r>
      <w:r w:rsidR="00E70C26" w:rsidRPr="00205C60">
        <w:rPr>
          <w:rFonts w:ascii="Verdana" w:hAnsi="Verdana" w:cs="Arial"/>
          <w:sz w:val="22"/>
          <w:szCs w:val="22"/>
        </w:rPr>
        <w:t>pág.</w:t>
      </w:r>
      <w:r w:rsidR="00050452" w:rsidRPr="00205C60">
        <w:rPr>
          <w:rFonts w:ascii="Verdana" w:hAnsi="Verdana" w:cs="Arial"/>
          <w:sz w:val="22"/>
          <w:szCs w:val="22"/>
        </w:rPr>
        <w:t xml:space="preserve"> </w:t>
      </w:r>
      <w:r w:rsidR="00225DAC" w:rsidRPr="00205C60">
        <w:rPr>
          <w:rFonts w:ascii="Verdana" w:hAnsi="Verdana" w:cs="Arial"/>
          <w:sz w:val="22"/>
          <w:szCs w:val="22"/>
        </w:rPr>
        <w:t>54</w:t>
      </w:r>
      <w:r w:rsidR="00050452" w:rsidRPr="00205C60">
        <w:rPr>
          <w:rFonts w:ascii="Verdana" w:hAnsi="Verdana" w:cs="Arial"/>
          <w:sz w:val="22"/>
          <w:szCs w:val="22"/>
        </w:rPr>
        <w:t>)</w:t>
      </w:r>
    </w:p>
    <w:p w14:paraId="3CA7F1B2" w14:textId="71274FDE" w:rsidR="00FD4C24" w:rsidRPr="00205C60" w:rsidRDefault="00FD4C24" w:rsidP="009623D7">
      <w:pPr>
        <w:jc w:val="both"/>
        <w:rPr>
          <w:rFonts w:ascii="Verdana" w:hAnsi="Verdana" w:cs="Arial"/>
          <w:sz w:val="22"/>
          <w:szCs w:val="22"/>
        </w:rPr>
      </w:pPr>
    </w:p>
    <w:p w14:paraId="0C2FDA8F" w14:textId="18B46455" w:rsidR="0000580B" w:rsidRPr="00205C60" w:rsidRDefault="0000580B" w:rsidP="009623D7">
      <w:pPr>
        <w:jc w:val="both"/>
        <w:rPr>
          <w:rFonts w:ascii="Verdana" w:hAnsi="Verdana" w:cs="Arial"/>
          <w:sz w:val="22"/>
          <w:szCs w:val="22"/>
        </w:rPr>
      </w:pPr>
    </w:p>
    <w:p w14:paraId="5B79C0D5" w14:textId="40F36FD9" w:rsidR="00644CCB" w:rsidRPr="00205C60" w:rsidRDefault="00644CCB" w:rsidP="009623D7">
      <w:pPr>
        <w:jc w:val="both"/>
        <w:rPr>
          <w:rFonts w:ascii="Verdana" w:hAnsi="Verdana" w:cs="Arial"/>
          <w:sz w:val="22"/>
          <w:szCs w:val="22"/>
        </w:rPr>
      </w:pPr>
    </w:p>
    <w:p w14:paraId="5616AFA6" w14:textId="3F5D48A6" w:rsidR="00644CCB" w:rsidRPr="00205C60" w:rsidRDefault="00644CCB" w:rsidP="009623D7">
      <w:pPr>
        <w:jc w:val="both"/>
        <w:rPr>
          <w:rFonts w:ascii="Verdana" w:hAnsi="Verdana" w:cs="Arial"/>
          <w:sz w:val="22"/>
          <w:szCs w:val="22"/>
        </w:rPr>
      </w:pPr>
    </w:p>
    <w:p w14:paraId="78B8DDDF" w14:textId="67249E7C" w:rsidR="00644CCB" w:rsidRPr="00205C60" w:rsidRDefault="00644CCB" w:rsidP="009623D7">
      <w:pPr>
        <w:jc w:val="both"/>
        <w:rPr>
          <w:rFonts w:ascii="Verdana" w:hAnsi="Verdana" w:cs="Arial"/>
          <w:sz w:val="22"/>
          <w:szCs w:val="22"/>
        </w:rPr>
      </w:pPr>
    </w:p>
    <w:p w14:paraId="02E0D93C" w14:textId="77777777" w:rsidR="00644CCB" w:rsidRPr="00205C60" w:rsidRDefault="00644CCB" w:rsidP="009623D7">
      <w:pPr>
        <w:jc w:val="both"/>
        <w:rPr>
          <w:rFonts w:ascii="Verdana" w:hAnsi="Verdana" w:cs="Arial"/>
          <w:sz w:val="22"/>
          <w:szCs w:val="22"/>
        </w:rPr>
      </w:pPr>
    </w:p>
    <w:p w14:paraId="0AA3AAE1" w14:textId="43DF2E1D" w:rsidR="00050452" w:rsidRPr="00205C60" w:rsidRDefault="00050452" w:rsidP="009623D7">
      <w:pPr>
        <w:jc w:val="both"/>
        <w:rPr>
          <w:rFonts w:ascii="Verdana" w:hAnsi="Verdana" w:cs="Arial"/>
          <w:sz w:val="22"/>
          <w:szCs w:val="22"/>
        </w:rPr>
      </w:pPr>
    </w:p>
    <w:p w14:paraId="3CA7F1B3" w14:textId="64034866" w:rsidR="009623D7" w:rsidRPr="00205C60" w:rsidRDefault="009623D7" w:rsidP="009623D7">
      <w:pPr>
        <w:jc w:val="both"/>
        <w:rPr>
          <w:rFonts w:ascii="Verdana" w:hAnsi="Verdana" w:cs="Arial"/>
          <w:b/>
          <w:bCs/>
          <w:sz w:val="22"/>
          <w:szCs w:val="22"/>
          <w:u w:val="single"/>
        </w:rPr>
      </w:pPr>
      <w:r w:rsidRPr="00205C60">
        <w:rPr>
          <w:rFonts w:ascii="Verdana" w:hAnsi="Verdana" w:cs="Arial"/>
          <w:b/>
          <w:bCs/>
          <w:sz w:val="22"/>
          <w:szCs w:val="22"/>
          <w:u w:val="single"/>
        </w:rPr>
        <w:t>Para el año 20</w:t>
      </w:r>
      <w:r w:rsidR="00145C18" w:rsidRPr="00205C60">
        <w:rPr>
          <w:rFonts w:ascii="Verdana" w:hAnsi="Verdana" w:cs="Arial"/>
          <w:b/>
          <w:bCs/>
          <w:sz w:val="22"/>
          <w:szCs w:val="22"/>
          <w:u w:val="single"/>
        </w:rPr>
        <w:t>2</w:t>
      </w:r>
      <w:r w:rsidR="00463012" w:rsidRPr="00205C60">
        <w:rPr>
          <w:rFonts w:ascii="Verdana" w:hAnsi="Verdana" w:cs="Arial"/>
          <w:b/>
          <w:bCs/>
          <w:sz w:val="22"/>
          <w:szCs w:val="22"/>
          <w:u w:val="single"/>
        </w:rPr>
        <w:t>2</w:t>
      </w:r>
      <w:r w:rsidRPr="00205C60">
        <w:rPr>
          <w:rFonts w:ascii="Verdana" w:hAnsi="Verdana" w:cs="Arial"/>
          <w:b/>
          <w:bCs/>
          <w:sz w:val="22"/>
          <w:szCs w:val="22"/>
          <w:u w:val="single"/>
        </w:rPr>
        <w:t xml:space="preserve"> lo acontecido en materia tarifaria se detalla </w:t>
      </w:r>
      <w:r w:rsidR="002E7E6F" w:rsidRPr="00205C60">
        <w:rPr>
          <w:rFonts w:ascii="Verdana" w:hAnsi="Verdana" w:cs="Arial"/>
          <w:b/>
          <w:bCs/>
          <w:sz w:val="22"/>
          <w:szCs w:val="22"/>
          <w:u w:val="single"/>
        </w:rPr>
        <w:t>a continuación</w:t>
      </w:r>
      <w:r w:rsidRPr="00205C60">
        <w:rPr>
          <w:rFonts w:ascii="Verdana" w:hAnsi="Verdana" w:cs="Arial"/>
          <w:b/>
          <w:bCs/>
          <w:sz w:val="22"/>
          <w:szCs w:val="22"/>
          <w:u w:val="single"/>
        </w:rPr>
        <w:t>:</w:t>
      </w:r>
    </w:p>
    <w:p w14:paraId="3CA7F1B4" w14:textId="77777777" w:rsidR="00F0489D" w:rsidRPr="00205C60" w:rsidRDefault="00F0489D" w:rsidP="00F0489D">
      <w:pPr>
        <w:jc w:val="both"/>
        <w:rPr>
          <w:rFonts w:ascii="Verdana" w:hAnsi="Verdana" w:cs="Arial"/>
          <w:sz w:val="22"/>
          <w:szCs w:val="22"/>
        </w:rPr>
      </w:pPr>
    </w:p>
    <w:p w14:paraId="516F4B7D" w14:textId="77777777" w:rsidR="001E0F77" w:rsidRPr="00205C60" w:rsidRDefault="001E0F77" w:rsidP="00946FE5">
      <w:pPr>
        <w:spacing w:after="120" w:line="276" w:lineRule="auto"/>
        <w:jc w:val="both"/>
        <w:rPr>
          <w:rFonts w:ascii="Verdana" w:hAnsi="Verdana" w:cs="Arial"/>
          <w:sz w:val="22"/>
          <w:szCs w:val="22"/>
          <w:u w:val="single"/>
        </w:rPr>
      </w:pPr>
      <w:r w:rsidRPr="00205C60">
        <w:rPr>
          <w:rFonts w:ascii="Verdana" w:hAnsi="Verdana" w:cs="Arial"/>
          <w:sz w:val="22"/>
          <w:szCs w:val="22"/>
          <w:u w:val="single"/>
        </w:rPr>
        <w:t xml:space="preserve">Resolución RE-0079-IE-2021: </w:t>
      </w:r>
    </w:p>
    <w:p w14:paraId="35AFCFD4" w14:textId="77777777" w:rsidR="001E0F77" w:rsidRPr="00205C60" w:rsidRDefault="001E0F77" w:rsidP="00946FE5">
      <w:pPr>
        <w:spacing w:after="120" w:line="276" w:lineRule="auto"/>
        <w:jc w:val="both"/>
        <w:rPr>
          <w:rFonts w:ascii="Verdana" w:hAnsi="Verdana" w:cs="Arial"/>
          <w:sz w:val="22"/>
          <w:szCs w:val="22"/>
        </w:rPr>
      </w:pPr>
      <w:r w:rsidRPr="00205C60">
        <w:rPr>
          <w:rFonts w:ascii="Verdana" w:hAnsi="Verdana" w:cs="Arial"/>
          <w:sz w:val="22"/>
          <w:szCs w:val="22"/>
        </w:rPr>
        <w:t>Se publica en el Alcance N° 258, Gaceta N° 243 el 17 de diciembre 2021, para las liquidaciones de los años 2019-2020 y el ajuste ordinario para el 2022 de la tarifa del sistema de generación de energía eléctrica.</w:t>
      </w:r>
    </w:p>
    <w:p w14:paraId="34C4D48E" w14:textId="77777777" w:rsidR="001E0F77" w:rsidRPr="00205C60" w:rsidRDefault="001E0F77" w:rsidP="00946FE5">
      <w:pPr>
        <w:spacing w:after="120" w:line="276" w:lineRule="auto"/>
        <w:jc w:val="both"/>
        <w:rPr>
          <w:rFonts w:ascii="Verdana" w:hAnsi="Verdana" w:cs="Arial"/>
          <w:sz w:val="22"/>
          <w:szCs w:val="22"/>
        </w:rPr>
      </w:pPr>
      <w:r w:rsidRPr="00205C60">
        <w:rPr>
          <w:rFonts w:ascii="Verdana" w:hAnsi="Verdana" w:cs="Arial"/>
          <w:sz w:val="22"/>
          <w:szCs w:val="22"/>
        </w:rPr>
        <w:t>Según el análisis realizado por la Intendencia de Energía, la estructura tarifaria de la CNFL-Generación aprobada es de un -0,94% para el 2022.</w:t>
      </w:r>
    </w:p>
    <w:p w14:paraId="7E1B0B92" w14:textId="77777777" w:rsidR="001E0F77" w:rsidRPr="00205C60" w:rsidRDefault="001E0F77" w:rsidP="00946FE5">
      <w:pPr>
        <w:spacing w:after="120" w:line="276" w:lineRule="auto"/>
        <w:jc w:val="both"/>
        <w:rPr>
          <w:rFonts w:ascii="Verdana" w:hAnsi="Verdana" w:cs="Arial"/>
          <w:sz w:val="22"/>
          <w:szCs w:val="22"/>
          <w:u w:val="single"/>
        </w:rPr>
      </w:pPr>
      <w:r w:rsidRPr="00205C60">
        <w:rPr>
          <w:rFonts w:ascii="Verdana" w:hAnsi="Verdana" w:cs="Arial"/>
          <w:sz w:val="22"/>
          <w:szCs w:val="22"/>
          <w:u w:val="single"/>
        </w:rPr>
        <w:t xml:space="preserve">Resolución RE-0080-IE-2021: </w:t>
      </w:r>
    </w:p>
    <w:p w14:paraId="6E97E4E2" w14:textId="77777777" w:rsidR="001E0F77" w:rsidRPr="00205C60" w:rsidRDefault="001E0F77" w:rsidP="00946FE5">
      <w:pPr>
        <w:spacing w:after="120" w:line="276" w:lineRule="auto"/>
        <w:jc w:val="both"/>
        <w:rPr>
          <w:rFonts w:ascii="Verdana" w:hAnsi="Verdana" w:cs="Arial"/>
          <w:sz w:val="22"/>
          <w:szCs w:val="22"/>
        </w:rPr>
      </w:pPr>
      <w:r w:rsidRPr="00205C60">
        <w:rPr>
          <w:rFonts w:ascii="Verdana" w:hAnsi="Verdana" w:cs="Arial"/>
          <w:sz w:val="22"/>
          <w:szCs w:val="22"/>
        </w:rPr>
        <w:t>Se publica en el Alcance N° 258, Gaceta N° 243 el 17 de diciembre 2021, la solicitud de las liquidaciones para los años 2019-2020 y el ajuste ordinario para el 2022 de la tarifa del sistema de distribución de energía eléctrica.</w:t>
      </w:r>
    </w:p>
    <w:p w14:paraId="5434B440" w14:textId="77777777" w:rsidR="001E0F77" w:rsidRPr="00205C60" w:rsidRDefault="001E0F77" w:rsidP="00946FE5">
      <w:pPr>
        <w:spacing w:after="120" w:line="276" w:lineRule="auto"/>
        <w:jc w:val="both"/>
        <w:rPr>
          <w:rFonts w:ascii="Verdana" w:hAnsi="Verdana" w:cs="Arial"/>
          <w:sz w:val="22"/>
          <w:szCs w:val="22"/>
        </w:rPr>
      </w:pPr>
      <w:r w:rsidRPr="00205C60">
        <w:rPr>
          <w:rFonts w:ascii="Verdana" w:hAnsi="Verdana" w:cs="Arial"/>
          <w:sz w:val="22"/>
          <w:szCs w:val="22"/>
        </w:rPr>
        <w:t>Según el análisis realizado por la Intendencia de Energía, la estructura tarifaria de la CNFL-Distribución aprobó un 1,70% para el 2022.</w:t>
      </w:r>
    </w:p>
    <w:p w14:paraId="04F3E8B9" w14:textId="77777777" w:rsidR="001E0F77" w:rsidRPr="00205C60" w:rsidRDefault="001E0F77" w:rsidP="00946FE5">
      <w:pPr>
        <w:spacing w:after="120" w:line="276" w:lineRule="auto"/>
        <w:jc w:val="both"/>
        <w:rPr>
          <w:rFonts w:ascii="Verdana" w:hAnsi="Verdana" w:cs="Arial"/>
          <w:sz w:val="22"/>
          <w:szCs w:val="22"/>
          <w:u w:val="single"/>
        </w:rPr>
      </w:pPr>
      <w:bookmarkStart w:id="155" w:name="_Hlk124405559"/>
      <w:r w:rsidRPr="00205C60">
        <w:rPr>
          <w:rFonts w:ascii="Verdana" w:hAnsi="Verdana" w:cs="Arial"/>
          <w:sz w:val="22"/>
          <w:szCs w:val="22"/>
          <w:u w:val="single"/>
        </w:rPr>
        <w:t>Resolución RE-0081-IE-2021</w:t>
      </w:r>
      <w:bookmarkEnd w:id="155"/>
      <w:r w:rsidRPr="00205C60">
        <w:rPr>
          <w:rFonts w:ascii="Verdana" w:hAnsi="Verdana" w:cs="Arial"/>
          <w:sz w:val="22"/>
          <w:szCs w:val="22"/>
          <w:u w:val="single"/>
        </w:rPr>
        <w:t xml:space="preserve">: </w:t>
      </w:r>
    </w:p>
    <w:p w14:paraId="1C33C325" w14:textId="77777777" w:rsidR="001E0F77" w:rsidRPr="00205C60" w:rsidRDefault="001E0F77" w:rsidP="00946FE5">
      <w:pPr>
        <w:spacing w:after="120" w:line="276" w:lineRule="auto"/>
        <w:jc w:val="both"/>
        <w:rPr>
          <w:rFonts w:ascii="Verdana" w:hAnsi="Verdana" w:cs="Arial"/>
          <w:sz w:val="22"/>
          <w:szCs w:val="22"/>
        </w:rPr>
      </w:pPr>
      <w:r w:rsidRPr="00205C60">
        <w:rPr>
          <w:rFonts w:ascii="Verdana" w:hAnsi="Verdana" w:cs="Arial"/>
          <w:sz w:val="22"/>
          <w:szCs w:val="22"/>
        </w:rPr>
        <w:t>Se publica en el Alcance N° 259, Gaceta N° 244 el 20 de diciembre 2021 “Metodología para el ajuste extraordinario de las tarifas del servicio de electricidad producto de variaciones en el costo de los combustibles utilizados en la generación térmica para el consumo nacional y las importaciones netas de energía eléctrica de mercado eléctrico regional, (CVG), aplicación para el año 2022.</w:t>
      </w:r>
    </w:p>
    <w:p w14:paraId="08D2364A" w14:textId="5BD9A6A2" w:rsidR="001E0F77" w:rsidRPr="00205C60" w:rsidRDefault="001E0F77" w:rsidP="00946FE5">
      <w:pPr>
        <w:pStyle w:val="Textoindependiente"/>
        <w:rPr>
          <w:rFonts w:ascii="Verdana" w:hAnsi="Verdana" w:cs="Arial"/>
          <w:snapToGrid/>
          <w:color w:val="auto"/>
          <w:sz w:val="22"/>
          <w:szCs w:val="22"/>
        </w:rPr>
      </w:pPr>
      <w:r w:rsidRPr="00205C60">
        <w:rPr>
          <w:rFonts w:ascii="Verdana" w:hAnsi="Verdana" w:cs="Arial"/>
          <w:snapToGrid/>
          <w:color w:val="auto"/>
          <w:sz w:val="22"/>
          <w:szCs w:val="22"/>
        </w:rPr>
        <w:t>Se otorga para el primer trimestre una disminución de -1,62% para Alumbrado Público y un -0,19% para distribución, los demás meses deben ser analizados y ajustados por la ARESEP.</w:t>
      </w:r>
    </w:p>
    <w:p w14:paraId="0379722E" w14:textId="77777777" w:rsidR="001E0F77" w:rsidRPr="00205C60" w:rsidRDefault="001E0F77" w:rsidP="00946FE5">
      <w:pPr>
        <w:pStyle w:val="Textoindependiente"/>
        <w:rPr>
          <w:rFonts w:ascii="Verdana" w:hAnsi="Verdana" w:cs="Arial"/>
          <w:snapToGrid/>
          <w:color w:val="auto"/>
          <w:sz w:val="22"/>
          <w:szCs w:val="22"/>
        </w:rPr>
      </w:pPr>
    </w:p>
    <w:p w14:paraId="651DF226" w14:textId="77777777" w:rsidR="001E0F77" w:rsidRPr="00205C60" w:rsidRDefault="001E0F77" w:rsidP="00946FE5">
      <w:pPr>
        <w:spacing w:after="120" w:line="276" w:lineRule="auto"/>
        <w:jc w:val="both"/>
        <w:rPr>
          <w:rFonts w:ascii="Verdana" w:hAnsi="Verdana" w:cs="Arial"/>
          <w:sz w:val="22"/>
          <w:szCs w:val="22"/>
          <w:u w:val="single"/>
        </w:rPr>
      </w:pPr>
      <w:r w:rsidRPr="00205C60">
        <w:rPr>
          <w:rFonts w:ascii="Verdana" w:hAnsi="Verdana" w:cs="Arial"/>
          <w:sz w:val="22"/>
          <w:szCs w:val="22"/>
          <w:u w:val="single"/>
        </w:rPr>
        <w:t xml:space="preserve">Resolución RE-0003-IE-2022: </w:t>
      </w:r>
    </w:p>
    <w:p w14:paraId="44F52FF6" w14:textId="3BA1A3A3" w:rsidR="001E0F77" w:rsidRPr="00205C60" w:rsidRDefault="001E0F77" w:rsidP="00946FE5">
      <w:pPr>
        <w:autoSpaceDE w:val="0"/>
        <w:autoSpaceDN w:val="0"/>
        <w:adjustRightInd w:val="0"/>
        <w:jc w:val="both"/>
        <w:rPr>
          <w:rFonts w:ascii="Verdana" w:hAnsi="Verdana" w:cs="Arial"/>
          <w:sz w:val="22"/>
          <w:szCs w:val="22"/>
        </w:rPr>
      </w:pPr>
      <w:r w:rsidRPr="00205C60">
        <w:rPr>
          <w:rFonts w:ascii="Verdana" w:hAnsi="Verdana" w:cs="Arial"/>
          <w:sz w:val="22"/>
          <w:szCs w:val="22"/>
        </w:rPr>
        <w:t>Se publica en el Alcance N°8, Gaceta N° 11, el 18 de enero 2022, la rectificación de la</w:t>
      </w:r>
      <w:r w:rsidR="001C5E6A" w:rsidRPr="00205C60">
        <w:rPr>
          <w:rFonts w:ascii="Verdana" w:hAnsi="Verdana" w:cs="Arial"/>
          <w:sz w:val="22"/>
          <w:szCs w:val="22"/>
        </w:rPr>
        <w:t xml:space="preserve"> </w:t>
      </w:r>
      <w:r w:rsidRPr="00205C60">
        <w:rPr>
          <w:rFonts w:ascii="Verdana" w:hAnsi="Verdana" w:cs="Arial"/>
          <w:sz w:val="22"/>
          <w:szCs w:val="22"/>
        </w:rPr>
        <w:t>resolución RE-0081-IE-2021.</w:t>
      </w:r>
    </w:p>
    <w:p w14:paraId="0D3DBB26" w14:textId="77777777" w:rsidR="001E0F77" w:rsidRPr="00205C60" w:rsidRDefault="001E0F77" w:rsidP="00946FE5">
      <w:pPr>
        <w:autoSpaceDE w:val="0"/>
        <w:autoSpaceDN w:val="0"/>
        <w:adjustRightInd w:val="0"/>
        <w:jc w:val="both"/>
        <w:rPr>
          <w:rFonts w:ascii="Verdana" w:hAnsi="Verdana" w:cs="Arial"/>
          <w:sz w:val="22"/>
          <w:szCs w:val="22"/>
        </w:rPr>
      </w:pPr>
    </w:p>
    <w:p w14:paraId="14415EEC" w14:textId="77777777" w:rsidR="001E0F77" w:rsidRPr="00205C60" w:rsidRDefault="001E0F77" w:rsidP="00946FE5">
      <w:pPr>
        <w:autoSpaceDE w:val="0"/>
        <w:autoSpaceDN w:val="0"/>
        <w:adjustRightInd w:val="0"/>
        <w:jc w:val="both"/>
        <w:rPr>
          <w:rFonts w:ascii="Verdana" w:hAnsi="Verdana" w:cs="Arial"/>
          <w:sz w:val="22"/>
          <w:szCs w:val="22"/>
        </w:rPr>
      </w:pPr>
      <w:r w:rsidRPr="00205C60">
        <w:rPr>
          <w:rFonts w:ascii="Verdana" w:hAnsi="Verdana" w:cs="Arial"/>
          <w:sz w:val="22"/>
          <w:szCs w:val="22"/>
        </w:rPr>
        <w:t>El 17 de enero de 2022, mediante el informe técnico IN-0005-IE-2022, la Intendencia de Energía, analizó la presente gestión y en dicho estudio técnico recomendó, rectificar la resolución RE-0081-IE-2021.</w:t>
      </w:r>
    </w:p>
    <w:p w14:paraId="2AE34D77" w14:textId="77777777" w:rsidR="001E0F77" w:rsidRPr="00205C60" w:rsidRDefault="001E0F77" w:rsidP="00946FE5">
      <w:pPr>
        <w:autoSpaceDE w:val="0"/>
        <w:autoSpaceDN w:val="0"/>
        <w:adjustRightInd w:val="0"/>
        <w:jc w:val="both"/>
        <w:rPr>
          <w:rFonts w:ascii="Verdana" w:hAnsi="Verdana" w:cs="Arial"/>
          <w:sz w:val="22"/>
          <w:szCs w:val="22"/>
        </w:rPr>
      </w:pPr>
    </w:p>
    <w:p w14:paraId="6D1F9DE0" w14:textId="77777777" w:rsidR="001E0F77" w:rsidRPr="00205C60" w:rsidRDefault="001E0F77" w:rsidP="00946FE5">
      <w:pPr>
        <w:spacing w:after="120" w:line="276" w:lineRule="auto"/>
        <w:jc w:val="both"/>
        <w:rPr>
          <w:rFonts w:ascii="Verdana" w:hAnsi="Verdana" w:cs="Arial"/>
          <w:sz w:val="22"/>
          <w:szCs w:val="22"/>
          <w:u w:val="single"/>
        </w:rPr>
      </w:pPr>
      <w:r w:rsidRPr="00205C60">
        <w:rPr>
          <w:rFonts w:ascii="Verdana" w:hAnsi="Verdana" w:cs="Arial"/>
          <w:sz w:val="22"/>
          <w:szCs w:val="22"/>
          <w:u w:val="single"/>
        </w:rPr>
        <w:t>Resolución RE-0014-IE-2022</w:t>
      </w:r>
    </w:p>
    <w:p w14:paraId="70F89DCC" w14:textId="77777777" w:rsidR="001E0F77" w:rsidRPr="00205C60" w:rsidRDefault="001E0F77" w:rsidP="00946FE5">
      <w:pPr>
        <w:autoSpaceDE w:val="0"/>
        <w:autoSpaceDN w:val="0"/>
        <w:adjustRightInd w:val="0"/>
        <w:jc w:val="both"/>
        <w:rPr>
          <w:rFonts w:ascii="Verdana" w:hAnsi="Verdana" w:cs="Arial"/>
          <w:sz w:val="22"/>
          <w:szCs w:val="22"/>
        </w:rPr>
      </w:pPr>
      <w:r w:rsidRPr="00205C60">
        <w:rPr>
          <w:rFonts w:ascii="Verdana" w:hAnsi="Verdana" w:cs="Arial"/>
          <w:sz w:val="22"/>
          <w:szCs w:val="22"/>
        </w:rPr>
        <w:t>Se publica en el Alcance N°55, Gaceta N° 50, el 15 de marzo 2022, resolución de ajustes en las tarifas de generación y/o transmisión del ICE.</w:t>
      </w:r>
    </w:p>
    <w:p w14:paraId="0CCA8C08" w14:textId="77777777" w:rsidR="001E0F77" w:rsidRPr="00205C60" w:rsidRDefault="001E0F77" w:rsidP="00946FE5">
      <w:pPr>
        <w:autoSpaceDE w:val="0"/>
        <w:autoSpaceDN w:val="0"/>
        <w:adjustRightInd w:val="0"/>
        <w:jc w:val="both"/>
        <w:rPr>
          <w:rFonts w:ascii="Verdana" w:hAnsi="Verdana" w:cs="Arial"/>
          <w:sz w:val="22"/>
          <w:szCs w:val="22"/>
        </w:rPr>
      </w:pPr>
    </w:p>
    <w:p w14:paraId="25F15EA4" w14:textId="77777777" w:rsidR="00EF4C10" w:rsidRDefault="00EF4C10" w:rsidP="00946FE5">
      <w:pPr>
        <w:spacing w:after="120" w:line="276" w:lineRule="auto"/>
        <w:jc w:val="both"/>
        <w:rPr>
          <w:rFonts w:ascii="Verdana" w:hAnsi="Verdana" w:cs="Arial"/>
          <w:sz w:val="22"/>
          <w:szCs w:val="22"/>
        </w:rPr>
      </w:pPr>
    </w:p>
    <w:p w14:paraId="22E95746" w14:textId="77777777" w:rsidR="00EF4C10" w:rsidRDefault="00EF4C10" w:rsidP="00946FE5">
      <w:pPr>
        <w:spacing w:after="120" w:line="276" w:lineRule="auto"/>
        <w:jc w:val="both"/>
        <w:rPr>
          <w:rFonts w:ascii="Verdana" w:hAnsi="Verdana" w:cs="Arial"/>
          <w:sz w:val="22"/>
          <w:szCs w:val="22"/>
        </w:rPr>
      </w:pPr>
    </w:p>
    <w:p w14:paraId="516AB831" w14:textId="37C886D4" w:rsidR="001E0F77" w:rsidRPr="00205C60" w:rsidRDefault="001E0F77" w:rsidP="00946FE5">
      <w:pPr>
        <w:spacing w:after="120" w:line="276" w:lineRule="auto"/>
        <w:jc w:val="both"/>
        <w:rPr>
          <w:rFonts w:ascii="Verdana" w:hAnsi="Verdana" w:cs="Arial"/>
          <w:sz w:val="22"/>
          <w:szCs w:val="22"/>
        </w:rPr>
      </w:pPr>
      <w:r w:rsidRPr="00205C60">
        <w:rPr>
          <w:rFonts w:ascii="Verdana" w:hAnsi="Verdana" w:cs="Arial"/>
          <w:sz w:val="22"/>
          <w:szCs w:val="22"/>
        </w:rPr>
        <w:t>Según el análisis realizado por la Intendencia de Energía, el ajuste para aplicar a las tarifas de distribución de la CNFL es de un -0,79%, del 01 de abril al 31 de diciembre 2022.</w:t>
      </w:r>
    </w:p>
    <w:p w14:paraId="635AFBF0" w14:textId="77777777" w:rsidR="001E0F77" w:rsidRPr="00205C60" w:rsidRDefault="001E0F77" w:rsidP="00946FE5">
      <w:pPr>
        <w:spacing w:after="120" w:line="276" w:lineRule="auto"/>
        <w:jc w:val="both"/>
        <w:rPr>
          <w:rFonts w:ascii="Verdana" w:hAnsi="Verdana" w:cs="Arial"/>
          <w:sz w:val="22"/>
          <w:szCs w:val="22"/>
          <w:u w:val="single"/>
        </w:rPr>
      </w:pPr>
      <w:r w:rsidRPr="00205C60">
        <w:rPr>
          <w:rFonts w:ascii="Verdana" w:hAnsi="Verdana" w:cs="Arial"/>
          <w:sz w:val="22"/>
          <w:szCs w:val="22"/>
          <w:u w:val="single"/>
        </w:rPr>
        <w:t>Resolución RE-0018-IE-2022</w:t>
      </w:r>
    </w:p>
    <w:p w14:paraId="34800486" w14:textId="77777777" w:rsidR="001E0F77" w:rsidRPr="00205C60" w:rsidRDefault="001E0F77" w:rsidP="00946FE5">
      <w:pPr>
        <w:jc w:val="both"/>
        <w:rPr>
          <w:rFonts w:ascii="Verdana" w:hAnsi="Verdana" w:cs="Arial"/>
          <w:sz w:val="22"/>
          <w:szCs w:val="22"/>
        </w:rPr>
      </w:pPr>
      <w:r w:rsidRPr="00205C60">
        <w:rPr>
          <w:rFonts w:ascii="Verdana" w:hAnsi="Verdana" w:cs="Arial"/>
          <w:sz w:val="22"/>
          <w:szCs w:val="22"/>
        </w:rPr>
        <w:t xml:space="preserve">Se publica en el Alcance N°63, Gaceta N°61, el 30 de marzo del 2022, la resolución RE-0018-IE-2022 (ET-025-2022) correspondiente a la aplicación para el II trimestre 2022 de la Metodología para el ajuste extraordinario de las tarifas del servicio de electricidad producto de variaciones en el costo de los combustibles utilizados en la generación térmica para el consumo nacional y las importaciones netas de energía eléctrica del mercado eléctrico regional (CVG) para el servicio de generación del ICE y el servicio de distribución y alumbrado público de todas las empresas distribuidoras. </w:t>
      </w:r>
    </w:p>
    <w:p w14:paraId="2E3A5675" w14:textId="77777777" w:rsidR="001E0F77" w:rsidRPr="00205C60" w:rsidRDefault="001E0F77" w:rsidP="00946FE5">
      <w:pPr>
        <w:jc w:val="both"/>
        <w:rPr>
          <w:rFonts w:ascii="Verdana" w:hAnsi="Verdana" w:cs="Arial"/>
          <w:sz w:val="22"/>
          <w:szCs w:val="22"/>
        </w:rPr>
      </w:pPr>
    </w:p>
    <w:p w14:paraId="0F138ED0" w14:textId="77777777" w:rsidR="001E0F77" w:rsidRPr="00205C60" w:rsidRDefault="001E0F77" w:rsidP="00946FE5">
      <w:pPr>
        <w:spacing w:after="120" w:line="276" w:lineRule="auto"/>
        <w:jc w:val="both"/>
        <w:rPr>
          <w:rFonts w:ascii="Verdana" w:hAnsi="Verdana" w:cs="Arial"/>
          <w:sz w:val="22"/>
          <w:szCs w:val="22"/>
        </w:rPr>
      </w:pPr>
      <w:r w:rsidRPr="00205C60">
        <w:rPr>
          <w:rFonts w:ascii="Verdana" w:hAnsi="Verdana" w:cs="Arial"/>
          <w:sz w:val="22"/>
          <w:szCs w:val="22"/>
        </w:rPr>
        <w:t>Según el análisis realizado por la Intendencia de Energía, el ajuste para aplicar a las tarifas de CNFL del SD es de un -1,66% y el de AP es de un -1,70% para el II trimestre que va del de abril a junio.</w:t>
      </w:r>
    </w:p>
    <w:p w14:paraId="7C5A7FE6" w14:textId="77777777" w:rsidR="001E0F77" w:rsidRPr="00205C60" w:rsidRDefault="001E0F77" w:rsidP="00946FE5">
      <w:pPr>
        <w:pStyle w:val="Textoindependiente"/>
        <w:rPr>
          <w:rFonts w:ascii="Verdana" w:hAnsi="Verdana" w:cs="Arial"/>
          <w:snapToGrid/>
          <w:color w:val="auto"/>
          <w:sz w:val="22"/>
          <w:szCs w:val="22"/>
        </w:rPr>
      </w:pPr>
    </w:p>
    <w:p w14:paraId="36E99F8E" w14:textId="77777777" w:rsidR="001E0F77" w:rsidRPr="00205C60" w:rsidRDefault="001E0F77" w:rsidP="00946FE5">
      <w:pPr>
        <w:spacing w:after="120" w:line="276" w:lineRule="auto"/>
        <w:jc w:val="both"/>
        <w:rPr>
          <w:rFonts w:ascii="Verdana" w:hAnsi="Verdana" w:cs="Arial"/>
          <w:sz w:val="22"/>
          <w:szCs w:val="22"/>
          <w:u w:val="single"/>
        </w:rPr>
      </w:pPr>
      <w:r w:rsidRPr="00205C60">
        <w:rPr>
          <w:rFonts w:ascii="Verdana" w:hAnsi="Verdana" w:cs="Arial"/>
          <w:sz w:val="22"/>
          <w:szCs w:val="22"/>
          <w:u w:val="single"/>
        </w:rPr>
        <w:t>Resolución RE-0037-IE-2022</w:t>
      </w:r>
    </w:p>
    <w:p w14:paraId="3CDBA211" w14:textId="77777777" w:rsidR="001E0F77" w:rsidRPr="00205C60" w:rsidRDefault="001E0F77" w:rsidP="00946FE5">
      <w:pPr>
        <w:jc w:val="both"/>
        <w:rPr>
          <w:rFonts w:ascii="Verdana" w:hAnsi="Verdana" w:cs="Arial"/>
          <w:sz w:val="22"/>
          <w:szCs w:val="22"/>
        </w:rPr>
      </w:pPr>
      <w:r w:rsidRPr="00205C60">
        <w:rPr>
          <w:rFonts w:ascii="Verdana" w:hAnsi="Verdana" w:cs="Arial"/>
          <w:sz w:val="22"/>
          <w:szCs w:val="22"/>
        </w:rPr>
        <w:t xml:space="preserve">Se publica en el Alcance N°126, Gaceta N°117, el 23 de junio 2022, la resolución RE-0037-IE-2022 (ET-049-2022) correspondiente a la aplicación para el III trimestre 2022  de la Metodología para el ajuste extraordinario de las tarifas del servicio de electricidad producto de variaciones en el costo de los combustibles utilizados en la generación térmica para el consumo nacional y las importaciones netas de energía eléctrica del mercado eléctrico regional (CVG) para el servicio de generación del ICE y el servicio de distribución y alumbrado público de todas las empresas distribuidoras. </w:t>
      </w:r>
    </w:p>
    <w:p w14:paraId="50E54842" w14:textId="77777777" w:rsidR="001E0F77" w:rsidRPr="00205C60" w:rsidRDefault="001E0F77" w:rsidP="00946FE5">
      <w:pPr>
        <w:jc w:val="both"/>
        <w:rPr>
          <w:rFonts w:ascii="Verdana" w:hAnsi="Verdana" w:cs="Arial"/>
          <w:sz w:val="22"/>
          <w:szCs w:val="22"/>
        </w:rPr>
      </w:pPr>
    </w:p>
    <w:p w14:paraId="0711DCE7" w14:textId="639DE999" w:rsidR="001E0F77" w:rsidRPr="00205C60" w:rsidRDefault="001E0F77" w:rsidP="00946FE5">
      <w:pPr>
        <w:jc w:val="both"/>
        <w:rPr>
          <w:rFonts w:ascii="Verdana" w:hAnsi="Verdana" w:cs="Arial"/>
          <w:sz w:val="22"/>
          <w:szCs w:val="22"/>
        </w:rPr>
      </w:pPr>
      <w:r w:rsidRPr="00205C60">
        <w:rPr>
          <w:rFonts w:ascii="Verdana" w:hAnsi="Verdana" w:cs="Arial"/>
          <w:sz w:val="22"/>
          <w:szCs w:val="22"/>
        </w:rPr>
        <w:t>Actualización según la proyección de este trimestre conforme a la información real y nueva proyección. Incluye precios de venta de CNFL, como precios de compra al ICE</w:t>
      </w:r>
      <w:r w:rsidR="001C5E6A" w:rsidRPr="00205C60">
        <w:rPr>
          <w:rFonts w:ascii="Verdana" w:hAnsi="Verdana" w:cs="Arial"/>
          <w:sz w:val="22"/>
          <w:szCs w:val="22"/>
        </w:rPr>
        <w:t>.</w:t>
      </w:r>
    </w:p>
    <w:p w14:paraId="535443FD" w14:textId="77777777" w:rsidR="001E0F77" w:rsidRPr="00205C60" w:rsidRDefault="001E0F77" w:rsidP="00946FE5">
      <w:pPr>
        <w:jc w:val="both"/>
        <w:rPr>
          <w:rFonts w:ascii="Verdana" w:hAnsi="Verdana" w:cs="Arial"/>
          <w:sz w:val="22"/>
          <w:szCs w:val="22"/>
        </w:rPr>
      </w:pPr>
    </w:p>
    <w:p w14:paraId="62C111FB" w14:textId="77777777" w:rsidR="001E0F77" w:rsidRPr="00205C60" w:rsidRDefault="001E0F77" w:rsidP="00946FE5">
      <w:pPr>
        <w:spacing w:after="120" w:line="276" w:lineRule="auto"/>
        <w:jc w:val="both"/>
        <w:rPr>
          <w:rFonts w:ascii="Verdana" w:hAnsi="Verdana" w:cs="Arial"/>
          <w:sz w:val="22"/>
          <w:szCs w:val="22"/>
        </w:rPr>
      </w:pPr>
      <w:r w:rsidRPr="00205C60">
        <w:rPr>
          <w:rFonts w:ascii="Verdana" w:hAnsi="Verdana" w:cs="Arial"/>
          <w:sz w:val="22"/>
          <w:szCs w:val="22"/>
        </w:rPr>
        <w:t>Según el análisis realizado por la Intendencia de Energía, el ajuste para aplicar a las tarifas de CNFL es Sistema Distribución un -2,97% y el de Sistema Alumbrado Público un -3,75%, para el III trimestre que va del de julio a setiembre.</w:t>
      </w:r>
    </w:p>
    <w:p w14:paraId="23DBB88E" w14:textId="77777777" w:rsidR="001E0F77" w:rsidRPr="00205C60" w:rsidRDefault="001E0F77" w:rsidP="00946FE5">
      <w:pPr>
        <w:pStyle w:val="Textoindependiente"/>
        <w:rPr>
          <w:rFonts w:ascii="Verdana" w:hAnsi="Verdana" w:cs="Arial"/>
          <w:snapToGrid/>
          <w:color w:val="auto"/>
          <w:sz w:val="22"/>
          <w:szCs w:val="22"/>
        </w:rPr>
      </w:pPr>
    </w:p>
    <w:p w14:paraId="3F43E86B" w14:textId="77777777" w:rsidR="001E0F77" w:rsidRPr="00205C60" w:rsidRDefault="001E0F77" w:rsidP="00946FE5">
      <w:pPr>
        <w:spacing w:after="120" w:line="276" w:lineRule="auto"/>
        <w:jc w:val="both"/>
        <w:rPr>
          <w:rFonts w:ascii="Verdana" w:hAnsi="Verdana" w:cs="Arial"/>
          <w:sz w:val="22"/>
          <w:szCs w:val="22"/>
          <w:u w:val="single"/>
        </w:rPr>
      </w:pPr>
      <w:r w:rsidRPr="00205C60">
        <w:rPr>
          <w:rFonts w:ascii="Verdana" w:hAnsi="Verdana" w:cs="Arial"/>
          <w:sz w:val="22"/>
          <w:szCs w:val="22"/>
          <w:u w:val="single"/>
        </w:rPr>
        <w:t>Resolución RE-0067-IE-2022</w:t>
      </w:r>
    </w:p>
    <w:p w14:paraId="7B60129F" w14:textId="77777777" w:rsidR="00EF4C10" w:rsidRDefault="001E0F77" w:rsidP="00946FE5">
      <w:pPr>
        <w:jc w:val="both"/>
        <w:rPr>
          <w:rFonts w:ascii="Verdana" w:hAnsi="Verdana" w:cs="Arial"/>
          <w:sz w:val="22"/>
          <w:szCs w:val="22"/>
        </w:rPr>
      </w:pPr>
      <w:r w:rsidRPr="00205C60">
        <w:rPr>
          <w:rFonts w:ascii="Verdana" w:hAnsi="Verdana" w:cs="Arial"/>
          <w:sz w:val="22"/>
          <w:szCs w:val="22"/>
        </w:rPr>
        <w:t xml:space="preserve">Se publica en el Alcance N° 205, Gaceta N° 184, el 28 de setiembre 2022, la resolución RE-0067-IE-2022 (ET-076-2022) correspondiente a la aplicación para el IV trimestre </w:t>
      </w:r>
      <w:proofErr w:type="gramStart"/>
      <w:r w:rsidRPr="00205C60">
        <w:rPr>
          <w:rFonts w:ascii="Verdana" w:hAnsi="Verdana" w:cs="Arial"/>
          <w:sz w:val="22"/>
          <w:szCs w:val="22"/>
        </w:rPr>
        <w:t>2022  de</w:t>
      </w:r>
      <w:proofErr w:type="gramEnd"/>
      <w:r w:rsidRPr="00205C60">
        <w:rPr>
          <w:rFonts w:ascii="Verdana" w:hAnsi="Verdana" w:cs="Arial"/>
          <w:sz w:val="22"/>
          <w:szCs w:val="22"/>
        </w:rPr>
        <w:t xml:space="preserve"> la Metodología para el ajuste extraordinario de las tarifas del servicio de electricidad producto de variaciones en el costo de los combustibles utilizados en la generación térmica para el consumo nacional y las importaciones netas de energía eléctrica del mercado eléctrico regional (CVG) para el servicio de </w:t>
      </w:r>
    </w:p>
    <w:p w14:paraId="28ED1ADC" w14:textId="77777777" w:rsidR="00EF4C10" w:rsidRDefault="00EF4C10" w:rsidP="00946FE5">
      <w:pPr>
        <w:jc w:val="both"/>
        <w:rPr>
          <w:rFonts w:ascii="Verdana" w:hAnsi="Verdana" w:cs="Arial"/>
          <w:sz w:val="22"/>
          <w:szCs w:val="22"/>
        </w:rPr>
      </w:pPr>
    </w:p>
    <w:p w14:paraId="575F38FE" w14:textId="77777777" w:rsidR="00EF4C10" w:rsidRDefault="00EF4C10" w:rsidP="00946FE5">
      <w:pPr>
        <w:jc w:val="both"/>
        <w:rPr>
          <w:rFonts w:ascii="Verdana" w:hAnsi="Verdana" w:cs="Arial"/>
          <w:sz w:val="22"/>
          <w:szCs w:val="22"/>
        </w:rPr>
      </w:pPr>
    </w:p>
    <w:p w14:paraId="2B3819A1" w14:textId="2B2C239E" w:rsidR="001E0F77" w:rsidRPr="00205C60" w:rsidRDefault="001E0F77" w:rsidP="00946FE5">
      <w:pPr>
        <w:jc w:val="both"/>
        <w:rPr>
          <w:rFonts w:ascii="Verdana" w:hAnsi="Verdana" w:cs="Arial"/>
          <w:sz w:val="22"/>
          <w:szCs w:val="22"/>
        </w:rPr>
      </w:pPr>
      <w:r w:rsidRPr="00205C60">
        <w:rPr>
          <w:rFonts w:ascii="Verdana" w:hAnsi="Verdana" w:cs="Arial"/>
          <w:sz w:val="22"/>
          <w:szCs w:val="22"/>
        </w:rPr>
        <w:t>generación del ICE y el servicio de distribución y alumbrado público de todas las empresas distribuidoras.</w:t>
      </w:r>
    </w:p>
    <w:p w14:paraId="223BF747" w14:textId="77777777" w:rsidR="001E0F77" w:rsidRPr="00205C60" w:rsidRDefault="001E0F77" w:rsidP="00946FE5">
      <w:pPr>
        <w:jc w:val="both"/>
        <w:rPr>
          <w:rFonts w:ascii="Verdana" w:hAnsi="Verdana" w:cs="Arial"/>
          <w:sz w:val="22"/>
          <w:szCs w:val="22"/>
        </w:rPr>
      </w:pPr>
    </w:p>
    <w:p w14:paraId="718A24B3" w14:textId="77777777" w:rsidR="001E0F77" w:rsidRPr="00205C60" w:rsidRDefault="001E0F77" w:rsidP="00946FE5">
      <w:pPr>
        <w:jc w:val="both"/>
        <w:rPr>
          <w:rFonts w:ascii="Verdana" w:hAnsi="Verdana" w:cs="Arial"/>
          <w:sz w:val="22"/>
          <w:szCs w:val="22"/>
        </w:rPr>
      </w:pPr>
      <w:r w:rsidRPr="00205C60">
        <w:rPr>
          <w:rFonts w:ascii="Verdana" w:hAnsi="Verdana" w:cs="Arial"/>
          <w:sz w:val="22"/>
          <w:szCs w:val="22"/>
        </w:rPr>
        <w:t>Actualización según la proyección de este trimestre conforme a la información real y nueva proyección. Incluye precios de venta de CNFL, como precios de compra al ICE</w:t>
      </w:r>
    </w:p>
    <w:p w14:paraId="5BAED2EC" w14:textId="77777777" w:rsidR="001E0F77" w:rsidRPr="00205C60" w:rsidRDefault="001E0F77" w:rsidP="00946FE5">
      <w:pPr>
        <w:pStyle w:val="Textoindependiente"/>
        <w:rPr>
          <w:rFonts w:ascii="Verdana" w:hAnsi="Verdana" w:cs="Arial"/>
          <w:snapToGrid/>
          <w:color w:val="auto"/>
          <w:sz w:val="22"/>
          <w:szCs w:val="22"/>
        </w:rPr>
      </w:pPr>
    </w:p>
    <w:p w14:paraId="5AB9ECF8" w14:textId="7D98973E" w:rsidR="00386DC2" w:rsidRPr="00205C60" w:rsidRDefault="001E0F77" w:rsidP="00946FE5">
      <w:pPr>
        <w:spacing w:after="120" w:line="276" w:lineRule="auto"/>
        <w:jc w:val="both"/>
        <w:rPr>
          <w:rFonts w:ascii="Verdana" w:eastAsia="Calibri" w:hAnsi="Verdana"/>
          <w:b/>
          <w:bCs/>
          <w:sz w:val="22"/>
          <w:szCs w:val="22"/>
          <w:u w:val="single"/>
          <w:lang w:val="es-CR"/>
        </w:rPr>
      </w:pPr>
      <w:r w:rsidRPr="00205C60">
        <w:rPr>
          <w:rFonts w:ascii="Verdana" w:hAnsi="Verdana" w:cs="Arial"/>
          <w:sz w:val="22"/>
          <w:szCs w:val="22"/>
        </w:rPr>
        <w:t>Según el análisis realizado por la Intendencia de Energía, el ajuste para aplicar a las tarifas de CNFL es Sistema Distribución un -14,99% y el de Sistema Alumbrado Público un -11,80%, para el IV trimestre que va del de octubre a diciembre.</w:t>
      </w:r>
    </w:p>
    <w:p w14:paraId="7BB5C37B" w14:textId="77777777" w:rsidR="00386DC2" w:rsidRPr="00205C60" w:rsidRDefault="00386DC2" w:rsidP="008665F5">
      <w:pPr>
        <w:jc w:val="both"/>
        <w:rPr>
          <w:rFonts w:ascii="Verdana" w:eastAsia="Calibri" w:hAnsi="Verdana"/>
          <w:b/>
          <w:bCs/>
          <w:sz w:val="22"/>
          <w:szCs w:val="22"/>
          <w:u w:val="single"/>
          <w:lang w:val="es-CR"/>
        </w:rPr>
      </w:pPr>
    </w:p>
    <w:p w14:paraId="3CA7F1D6" w14:textId="77777777" w:rsidR="00B44125" w:rsidRPr="00205C60" w:rsidRDefault="00B44125" w:rsidP="00307E2B">
      <w:pPr>
        <w:pStyle w:val="Ttulo2"/>
        <w:numPr>
          <w:ilvl w:val="2"/>
          <w:numId w:val="1"/>
        </w:numPr>
        <w:tabs>
          <w:tab w:val="left" w:pos="708"/>
        </w:tabs>
        <w:rPr>
          <w:rFonts w:ascii="Verdana" w:hAnsi="Verdana" w:cs="Arial"/>
          <w:sz w:val="22"/>
          <w:szCs w:val="22"/>
        </w:rPr>
      </w:pPr>
      <w:bookmarkStart w:id="156" w:name="_Toc104529483"/>
      <w:r w:rsidRPr="00205C60">
        <w:rPr>
          <w:rFonts w:ascii="Verdana" w:hAnsi="Verdana" w:cs="Arial"/>
          <w:sz w:val="22"/>
          <w:szCs w:val="22"/>
        </w:rPr>
        <w:t>Estructura de Gastos</w:t>
      </w:r>
      <w:bookmarkEnd w:id="156"/>
    </w:p>
    <w:p w14:paraId="3CA7F1D7" w14:textId="77777777" w:rsidR="00E94CEC" w:rsidRPr="00205C60" w:rsidRDefault="00E94CEC">
      <w:pPr>
        <w:jc w:val="both"/>
        <w:rPr>
          <w:rFonts w:ascii="Verdana" w:hAnsi="Verdana" w:cs="Arial"/>
          <w:sz w:val="22"/>
          <w:szCs w:val="22"/>
        </w:rPr>
      </w:pPr>
    </w:p>
    <w:p w14:paraId="3CA7F1D8" w14:textId="5AFC8817" w:rsidR="00E50586" w:rsidRPr="00205C60" w:rsidRDefault="00B44125">
      <w:pPr>
        <w:jc w:val="both"/>
        <w:rPr>
          <w:rFonts w:ascii="Verdana" w:hAnsi="Verdana" w:cs="Arial"/>
          <w:sz w:val="22"/>
          <w:szCs w:val="22"/>
        </w:rPr>
      </w:pPr>
      <w:r w:rsidRPr="00205C60">
        <w:rPr>
          <w:rFonts w:ascii="Verdana" w:hAnsi="Verdana" w:cs="Arial"/>
          <w:sz w:val="22"/>
          <w:szCs w:val="22"/>
        </w:rPr>
        <w:t xml:space="preserve">La estructura de gastos de la Compañía se encuentra conformada por los </w:t>
      </w:r>
      <w:r w:rsidR="00BA06EE" w:rsidRPr="00205C60">
        <w:rPr>
          <w:rFonts w:ascii="Verdana" w:hAnsi="Verdana" w:cs="Arial"/>
          <w:sz w:val="22"/>
          <w:szCs w:val="22"/>
        </w:rPr>
        <w:t xml:space="preserve">costos </w:t>
      </w:r>
      <w:r w:rsidR="00E85AD7" w:rsidRPr="00205C60">
        <w:rPr>
          <w:rFonts w:ascii="Verdana" w:hAnsi="Verdana" w:cs="Arial"/>
          <w:sz w:val="22"/>
          <w:szCs w:val="22"/>
        </w:rPr>
        <w:t>de operación</w:t>
      </w:r>
      <w:r w:rsidR="00BA0335" w:rsidRPr="00205C60">
        <w:rPr>
          <w:rFonts w:ascii="Verdana" w:hAnsi="Verdana" w:cs="Arial"/>
          <w:sz w:val="22"/>
          <w:szCs w:val="22"/>
        </w:rPr>
        <w:t>, de personal y administrativos,</w:t>
      </w:r>
      <w:r w:rsidRPr="00205C60">
        <w:rPr>
          <w:rFonts w:ascii="Verdana" w:hAnsi="Verdana" w:cs="Arial"/>
          <w:sz w:val="22"/>
          <w:szCs w:val="22"/>
        </w:rPr>
        <w:t xml:space="preserve"> y los gastos financieros. </w:t>
      </w:r>
      <w:r w:rsidR="004A28FA" w:rsidRPr="00205C60">
        <w:rPr>
          <w:rFonts w:ascii="Verdana" w:hAnsi="Verdana" w:cs="Arial"/>
          <w:sz w:val="22"/>
          <w:szCs w:val="22"/>
        </w:rPr>
        <w:t xml:space="preserve">Anualmente estos gastos aumentan según el impacto </w:t>
      </w:r>
      <w:r w:rsidRPr="00205C60">
        <w:rPr>
          <w:rFonts w:ascii="Verdana" w:hAnsi="Verdana" w:cs="Arial"/>
          <w:sz w:val="22"/>
          <w:szCs w:val="22"/>
        </w:rPr>
        <w:t>de la inflación</w:t>
      </w:r>
      <w:r w:rsidR="004A28FA" w:rsidRPr="00205C60">
        <w:rPr>
          <w:rFonts w:ascii="Verdana" w:hAnsi="Verdana" w:cs="Arial"/>
          <w:sz w:val="22"/>
          <w:szCs w:val="22"/>
        </w:rPr>
        <w:t xml:space="preserve"> en el precio de los bienes y servicios internos</w:t>
      </w:r>
      <w:r w:rsidRPr="00205C60">
        <w:rPr>
          <w:rFonts w:ascii="Verdana" w:hAnsi="Verdana" w:cs="Arial"/>
          <w:sz w:val="22"/>
          <w:szCs w:val="22"/>
        </w:rPr>
        <w:t>, el incremento en el precio de compra de energía al ICE, l</w:t>
      </w:r>
      <w:r w:rsidR="004A28FA" w:rsidRPr="00205C60">
        <w:rPr>
          <w:rFonts w:ascii="Verdana" w:hAnsi="Verdana" w:cs="Arial"/>
          <w:sz w:val="22"/>
          <w:szCs w:val="22"/>
        </w:rPr>
        <w:t>a</w:t>
      </w:r>
      <w:r w:rsidRPr="00205C60">
        <w:rPr>
          <w:rFonts w:ascii="Verdana" w:hAnsi="Verdana" w:cs="Arial"/>
          <w:sz w:val="22"/>
          <w:szCs w:val="22"/>
        </w:rPr>
        <w:t xml:space="preserve">s </w:t>
      </w:r>
      <w:r w:rsidR="004A28FA" w:rsidRPr="00205C60">
        <w:rPr>
          <w:rFonts w:ascii="Verdana" w:hAnsi="Verdana" w:cs="Arial"/>
          <w:sz w:val="22"/>
          <w:szCs w:val="22"/>
        </w:rPr>
        <w:t xml:space="preserve">políticas </w:t>
      </w:r>
      <w:r w:rsidRPr="00205C60">
        <w:rPr>
          <w:rFonts w:ascii="Verdana" w:hAnsi="Verdana" w:cs="Arial"/>
          <w:sz w:val="22"/>
          <w:szCs w:val="22"/>
        </w:rPr>
        <w:t xml:space="preserve">salariales </w:t>
      </w:r>
      <w:r w:rsidR="004A28FA" w:rsidRPr="00205C60">
        <w:rPr>
          <w:rFonts w:ascii="Verdana" w:hAnsi="Verdana" w:cs="Arial"/>
          <w:sz w:val="22"/>
          <w:szCs w:val="22"/>
        </w:rPr>
        <w:t xml:space="preserve">del </w:t>
      </w:r>
      <w:r w:rsidRPr="00205C60">
        <w:rPr>
          <w:rFonts w:ascii="Verdana" w:hAnsi="Verdana" w:cs="Arial"/>
          <w:sz w:val="22"/>
          <w:szCs w:val="22"/>
        </w:rPr>
        <w:t>Gobierno</w:t>
      </w:r>
      <w:r w:rsidR="004A28FA" w:rsidRPr="00205C60">
        <w:rPr>
          <w:rFonts w:ascii="Verdana" w:hAnsi="Verdana" w:cs="Arial"/>
          <w:sz w:val="22"/>
          <w:szCs w:val="22"/>
        </w:rPr>
        <w:t xml:space="preserve"> y </w:t>
      </w:r>
      <w:r w:rsidR="00123479" w:rsidRPr="00205C60">
        <w:rPr>
          <w:rFonts w:ascii="Verdana" w:hAnsi="Verdana" w:cs="Arial"/>
          <w:sz w:val="22"/>
          <w:szCs w:val="22"/>
        </w:rPr>
        <w:t xml:space="preserve">se ven afectados por el comportamiento </w:t>
      </w:r>
      <w:r w:rsidR="004A28FA" w:rsidRPr="00205C60">
        <w:rPr>
          <w:rFonts w:ascii="Verdana" w:hAnsi="Verdana" w:cs="Arial"/>
          <w:sz w:val="22"/>
          <w:szCs w:val="22"/>
        </w:rPr>
        <w:t xml:space="preserve">de la devaluación del colón </w:t>
      </w:r>
      <w:r w:rsidR="00CC0550" w:rsidRPr="00205C60">
        <w:rPr>
          <w:rFonts w:ascii="Verdana" w:hAnsi="Verdana" w:cs="Arial"/>
          <w:sz w:val="22"/>
          <w:szCs w:val="22"/>
        </w:rPr>
        <w:t xml:space="preserve">y de las tasas internacionales </w:t>
      </w:r>
      <w:r w:rsidR="004A28FA" w:rsidRPr="00205C60">
        <w:rPr>
          <w:rFonts w:ascii="Verdana" w:hAnsi="Verdana" w:cs="Arial"/>
          <w:sz w:val="22"/>
          <w:szCs w:val="22"/>
        </w:rPr>
        <w:t>sobre el servicio de la deuda contraída en dólares para el desarrollo de obras de inversión y la compra de bienes y servicios en el exterior.</w:t>
      </w:r>
      <w:r w:rsidR="00BB5D21" w:rsidRPr="00205C60">
        <w:rPr>
          <w:rFonts w:ascii="Verdana" w:hAnsi="Verdana" w:cs="Arial"/>
          <w:sz w:val="22"/>
          <w:szCs w:val="22"/>
        </w:rPr>
        <w:t xml:space="preserve">  </w:t>
      </w:r>
    </w:p>
    <w:p w14:paraId="3CA7F1D9" w14:textId="77777777" w:rsidR="00E50586" w:rsidRPr="00205C60" w:rsidRDefault="00E50586">
      <w:pPr>
        <w:jc w:val="both"/>
        <w:rPr>
          <w:rFonts w:ascii="Verdana" w:hAnsi="Verdana" w:cs="Arial"/>
          <w:sz w:val="22"/>
          <w:szCs w:val="22"/>
        </w:rPr>
      </w:pPr>
    </w:p>
    <w:p w14:paraId="3CA7F1DA" w14:textId="4B7879C0" w:rsidR="00B44125" w:rsidRPr="00205C60" w:rsidRDefault="00BB5D21">
      <w:pPr>
        <w:jc w:val="both"/>
        <w:rPr>
          <w:rFonts w:ascii="Verdana" w:hAnsi="Verdana" w:cs="Arial"/>
          <w:sz w:val="22"/>
          <w:szCs w:val="22"/>
        </w:rPr>
      </w:pPr>
      <w:r w:rsidRPr="00205C60">
        <w:rPr>
          <w:rFonts w:ascii="Verdana" w:hAnsi="Verdana" w:cs="Arial"/>
          <w:sz w:val="22"/>
          <w:szCs w:val="22"/>
        </w:rPr>
        <w:t xml:space="preserve">A </w:t>
      </w:r>
      <w:r w:rsidR="00E85AD7" w:rsidRPr="00205C60">
        <w:rPr>
          <w:rFonts w:ascii="Verdana" w:hAnsi="Verdana" w:cs="Arial"/>
          <w:sz w:val="22"/>
          <w:szCs w:val="22"/>
        </w:rPr>
        <w:t>continuación,</w:t>
      </w:r>
      <w:r w:rsidRPr="00205C60">
        <w:rPr>
          <w:rFonts w:ascii="Verdana" w:hAnsi="Verdana" w:cs="Arial"/>
          <w:sz w:val="22"/>
          <w:szCs w:val="22"/>
        </w:rPr>
        <w:t xml:space="preserve"> se presenta un análisis horizontal de los gastos de operación y de los gastos financieros correspondiente al período 20</w:t>
      </w:r>
      <w:r w:rsidR="00E85AD7" w:rsidRPr="00205C60">
        <w:rPr>
          <w:rFonts w:ascii="Verdana" w:hAnsi="Verdana" w:cs="Arial"/>
          <w:sz w:val="22"/>
          <w:szCs w:val="22"/>
        </w:rPr>
        <w:t>2</w:t>
      </w:r>
      <w:r w:rsidR="00A07C57" w:rsidRPr="00205C60">
        <w:rPr>
          <w:rFonts w:ascii="Verdana" w:hAnsi="Verdana" w:cs="Arial"/>
          <w:sz w:val="22"/>
          <w:szCs w:val="22"/>
        </w:rPr>
        <w:t>1</w:t>
      </w:r>
      <w:r w:rsidRPr="00205C60">
        <w:rPr>
          <w:rFonts w:ascii="Verdana" w:hAnsi="Verdana" w:cs="Arial"/>
          <w:sz w:val="22"/>
          <w:szCs w:val="22"/>
        </w:rPr>
        <w:t>-20</w:t>
      </w:r>
      <w:r w:rsidR="008665F5" w:rsidRPr="00205C60">
        <w:rPr>
          <w:rFonts w:ascii="Verdana" w:hAnsi="Verdana" w:cs="Arial"/>
          <w:sz w:val="22"/>
          <w:szCs w:val="22"/>
        </w:rPr>
        <w:t>2</w:t>
      </w:r>
      <w:r w:rsidR="00A07C57" w:rsidRPr="00205C60">
        <w:rPr>
          <w:rFonts w:ascii="Verdana" w:hAnsi="Verdana" w:cs="Arial"/>
          <w:sz w:val="22"/>
          <w:szCs w:val="22"/>
        </w:rPr>
        <w:t>2</w:t>
      </w:r>
      <w:r w:rsidR="004E612C" w:rsidRPr="00205C60">
        <w:rPr>
          <w:rFonts w:ascii="Verdana" w:hAnsi="Verdana" w:cs="Arial"/>
          <w:sz w:val="22"/>
          <w:szCs w:val="22"/>
        </w:rPr>
        <w:t xml:space="preserve">, considerando los incrementos </w:t>
      </w:r>
      <w:r w:rsidR="00B832CB" w:rsidRPr="00205C60">
        <w:rPr>
          <w:rFonts w:ascii="Verdana" w:hAnsi="Verdana" w:cs="Arial"/>
          <w:sz w:val="22"/>
          <w:szCs w:val="22"/>
        </w:rPr>
        <w:t xml:space="preserve">y disminuciones </w:t>
      </w:r>
      <w:r w:rsidR="004E612C" w:rsidRPr="00205C60">
        <w:rPr>
          <w:rFonts w:ascii="Verdana" w:hAnsi="Verdana" w:cs="Arial"/>
          <w:sz w:val="22"/>
          <w:szCs w:val="22"/>
        </w:rPr>
        <w:t>más significativ</w:t>
      </w:r>
      <w:r w:rsidR="00B832CB" w:rsidRPr="00205C60">
        <w:rPr>
          <w:rFonts w:ascii="Verdana" w:hAnsi="Verdana" w:cs="Arial"/>
          <w:sz w:val="22"/>
          <w:szCs w:val="22"/>
        </w:rPr>
        <w:t>o</w:t>
      </w:r>
      <w:r w:rsidR="004E612C" w:rsidRPr="00205C60">
        <w:rPr>
          <w:rFonts w:ascii="Verdana" w:hAnsi="Verdana" w:cs="Arial"/>
          <w:sz w:val="22"/>
          <w:szCs w:val="22"/>
        </w:rPr>
        <w:t>s:</w:t>
      </w:r>
    </w:p>
    <w:p w14:paraId="02EEF361" w14:textId="5A93299D" w:rsidR="009C7D6E" w:rsidRPr="00205C60" w:rsidRDefault="009C7D6E">
      <w:pPr>
        <w:jc w:val="both"/>
        <w:rPr>
          <w:rFonts w:ascii="Verdana" w:hAnsi="Verdana" w:cs="Arial"/>
          <w:sz w:val="22"/>
          <w:szCs w:val="22"/>
        </w:rPr>
      </w:pPr>
    </w:p>
    <w:tbl>
      <w:tblPr>
        <w:tblW w:w="9233" w:type="dxa"/>
        <w:tblCellMar>
          <w:left w:w="70" w:type="dxa"/>
          <w:right w:w="70" w:type="dxa"/>
        </w:tblCellMar>
        <w:tblLook w:val="04A0" w:firstRow="1" w:lastRow="0" w:firstColumn="1" w:lastColumn="0" w:noHBand="0" w:noVBand="1"/>
      </w:tblPr>
      <w:tblGrid>
        <w:gridCol w:w="3738"/>
        <w:gridCol w:w="1425"/>
        <w:gridCol w:w="1359"/>
        <w:gridCol w:w="1553"/>
        <w:gridCol w:w="1158"/>
      </w:tblGrid>
      <w:tr w:rsidR="00113940" w:rsidRPr="00205C60" w14:paraId="2696AA3E" w14:textId="77777777" w:rsidTr="00EF4C10">
        <w:trPr>
          <w:trHeight w:val="220"/>
        </w:trPr>
        <w:tc>
          <w:tcPr>
            <w:tcW w:w="9233"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44AFC7F4" w14:textId="77777777" w:rsidR="00113940" w:rsidRPr="00205C60" w:rsidRDefault="00113940" w:rsidP="00113940">
            <w:pPr>
              <w:jc w:val="center"/>
              <w:rPr>
                <w:rFonts w:ascii="Arial" w:hAnsi="Arial" w:cs="Arial"/>
                <w:b/>
                <w:bCs/>
                <w:color w:val="000000"/>
                <w:sz w:val="18"/>
                <w:szCs w:val="18"/>
                <w:lang w:val="es-CR" w:eastAsia="es-CR"/>
              </w:rPr>
            </w:pPr>
            <w:r w:rsidRPr="00205C60">
              <w:rPr>
                <w:rFonts w:ascii="Arial" w:hAnsi="Arial" w:cs="Arial"/>
                <w:b/>
                <w:bCs/>
                <w:color w:val="000000"/>
                <w:sz w:val="18"/>
                <w:szCs w:val="18"/>
                <w:lang w:val="es-CR" w:eastAsia="es-CR"/>
              </w:rPr>
              <w:t>ANALISIS HORIZONTAL DE GASTOS</w:t>
            </w:r>
          </w:p>
        </w:tc>
      </w:tr>
      <w:tr w:rsidR="00113940" w:rsidRPr="00205C60" w14:paraId="16A7CDDA" w14:textId="77777777" w:rsidTr="00EF4C10">
        <w:trPr>
          <w:trHeight w:val="220"/>
        </w:trPr>
        <w:tc>
          <w:tcPr>
            <w:tcW w:w="9233" w:type="dxa"/>
            <w:gridSpan w:val="5"/>
            <w:tcBorders>
              <w:top w:val="nil"/>
              <w:left w:val="single" w:sz="4" w:space="0" w:color="auto"/>
              <w:bottom w:val="nil"/>
              <w:right w:val="single" w:sz="4" w:space="0" w:color="000000"/>
            </w:tcBorders>
            <w:shd w:val="clear" w:color="auto" w:fill="auto"/>
            <w:noWrap/>
            <w:vAlign w:val="bottom"/>
            <w:hideMark/>
          </w:tcPr>
          <w:p w14:paraId="7D0DD4C0" w14:textId="77777777" w:rsidR="00113940" w:rsidRPr="00205C60" w:rsidRDefault="00113940" w:rsidP="00113940">
            <w:pPr>
              <w:jc w:val="center"/>
              <w:rPr>
                <w:rFonts w:ascii="Arial" w:hAnsi="Arial" w:cs="Arial"/>
                <w:b/>
                <w:bCs/>
                <w:color w:val="000000"/>
                <w:sz w:val="18"/>
                <w:szCs w:val="18"/>
                <w:lang w:val="es-CR" w:eastAsia="es-CR"/>
              </w:rPr>
            </w:pPr>
            <w:r w:rsidRPr="00205C60">
              <w:rPr>
                <w:rFonts w:ascii="Arial" w:hAnsi="Arial" w:cs="Arial"/>
                <w:b/>
                <w:bCs/>
                <w:color w:val="000000"/>
                <w:sz w:val="18"/>
                <w:szCs w:val="18"/>
                <w:lang w:val="es-CR" w:eastAsia="es-CR"/>
              </w:rPr>
              <w:t>PERIODO 2020-2021</w:t>
            </w:r>
          </w:p>
        </w:tc>
      </w:tr>
      <w:tr w:rsidR="00113940" w:rsidRPr="00205C60" w14:paraId="5707A3A3" w14:textId="77777777" w:rsidTr="00EF4C10">
        <w:trPr>
          <w:trHeight w:val="220"/>
        </w:trPr>
        <w:tc>
          <w:tcPr>
            <w:tcW w:w="9233" w:type="dxa"/>
            <w:gridSpan w:val="5"/>
            <w:tcBorders>
              <w:top w:val="nil"/>
              <w:left w:val="single" w:sz="4" w:space="0" w:color="auto"/>
              <w:bottom w:val="nil"/>
              <w:right w:val="single" w:sz="4" w:space="0" w:color="000000"/>
            </w:tcBorders>
            <w:shd w:val="clear" w:color="auto" w:fill="auto"/>
            <w:noWrap/>
            <w:vAlign w:val="bottom"/>
            <w:hideMark/>
          </w:tcPr>
          <w:p w14:paraId="3E90E0AA" w14:textId="77777777" w:rsidR="00113940" w:rsidRPr="00205C60" w:rsidRDefault="00113940" w:rsidP="00113940">
            <w:pPr>
              <w:jc w:val="center"/>
              <w:rPr>
                <w:rFonts w:ascii="Arial" w:hAnsi="Arial" w:cs="Arial"/>
                <w:b/>
                <w:bCs/>
                <w:color w:val="000000"/>
                <w:sz w:val="18"/>
                <w:szCs w:val="18"/>
                <w:lang w:val="es-CR" w:eastAsia="es-CR"/>
              </w:rPr>
            </w:pPr>
            <w:r w:rsidRPr="00205C60">
              <w:rPr>
                <w:rFonts w:ascii="Arial" w:hAnsi="Arial" w:cs="Arial"/>
                <w:b/>
                <w:bCs/>
                <w:color w:val="000000"/>
                <w:sz w:val="18"/>
                <w:szCs w:val="18"/>
                <w:lang w:val="es-CR" w:eastAsia="es-CR"/>
              </w:rPr>
              <w:t>(Cifras en miles de colones)</w:t>
            </w:r>
          </w:p>
        </w:tc>
      </w:tr>
      <w:tr w:rsidR="007C28F6" w:rsidRPr="00205C60" w14:paraId="3FB9184A" w14:textId="77777777" w:rsidTr="00EF4C10">
        <w:trPr>
          <w:trHeight w:val="220"/>
        </w:trPr>
        <w:tc>
          <w:tcPr>
            <w:tcW w:w="3738" w:type="dxa"/>
            <w:tcBorders>
              <w:top w:val="single" w:sz="4" w:space="0" w:color="auto"/>
              <w:left w:val="single" w:sz="4" w:space="0" w:color="auto"/>
              <w:bottom w:val="single" w:sz="4" w:space="0" w:color="auto"/>
              <w:right w:val="nil"/>
            </w:tcBorders>
            <w:shd w:val="clear" w:color="auto" w:fill="auto"/>
            <w:noWrap/>
            <w:vAlign w:val="bottom"/>
            <w:hideMark/>
          </w:tcPr>
          <w:p w14:paraId="5B1D81CD" w14:textId="77777777" w:rsidR="00113940" w:rsidRPr="00205C60" w:rsidRDefault="00113940" w:rsidP="00113940">
            <w:pPr>
              <w:jc w:val="center"/>
              <w:rPr>
                <w:rFonts w:ascii="Arial" w:hAnsi="Arial" w:cs="Arial"/>
                <w:b/>
                <w:bCs/>
                <w:color w:val="000000"/>
                <w:sz w:val="18"/>
                <w:szCs w:val="18"/>
                <w:lang w:val="es-CR" w:eastAsia="es-CR"/>
              </w:rPr>
            </w:pPr>
            <w:r w:rsidRPr="00205C60">
              <w:rPr>
                <w:rFonts w:ascii="Arial" w:hAnsi="Arial" w:cs="Arial"/>
                <w:b/>
                <w:bCs/>
                <w:color w:val="000000"/>
                <w:sz w:val="18"/>
                <w:szCs w:val="18"/>
                <w:lang w:val="es-CR" w:eastAsia="es-CR"/>
              </w:rPr>
              <w:t>DETALLE</w:t>
            </w:r>
          </w:p>
        </w:tc>
        <w:tc>
          <w:tcPr>
            <w:tcW w:w="1425" w:type="dxa"/>
            <w:tcBorders>
              <w:top w:val="single" w:sz="4" w:space="0" w:color="auto"/>
              <w:left w:val="nil"/>
              <w:bottom w:val="single" w:sz="4" w:space="0" w:color="auto"/>
              <w:right w:val="nil"/>
            </w:tcBorders>
            <w:shd w:val="clear" w:color="auto" w:fill="auto"/>
            <w:noWrap/>
            <w:vAlign w:val="bottom"/>
            <w:hideMark/>
          </w:tcPr>
          <w:p w14:paraId="16096A4B" w14:textId="6D09B702" w:rsidR="00113940" w:rsidRPr="00205C60" w:rsidRDefault="00113940" w:rsidP="00113940">
            <w:pPr>
              <w:jc w:val="center"/>
              <w:rPr>
                <w:rFonts w:ascii="Arial" w:hAnsi="Arial" w:cs="Arial"/>
                <w:b/>
                <w:bCs/>
                <w:color w:val="000000"/>
                <w:sz w:val="18"/>
                <w:szCs w:val="18"/>
                <w:lang w:val="es-CR" w:eastAsia="es-CR"/>
              </w:rPr>
            </w:pPr>
            <w:r w:rsidRPr="00205C60">
              <w:rPr>
                <w:rFonts w:ascii="Arial" w:hAnsi="Arial" w:cs="Arial"/>
                <w:b/>
                <w:bCs/>
                <w:color w:val="000000"/>
                <w:sz w:val="18"/>
                <w:szCs w:val="18"/>
                <w:lang w:val="es-CR" w:eastAsia="es-CR"/>
              </w:rPr>
              <w:t>202</w:t>
            </w:r>
            <w:r w:rsidR="00FD7F21" w:rsidRPr="00205C60">
              <w:rPr>
                <w:rFonts w:ascii="Arial" w:hAnsi="Arial" w:cs="Arial"/>
                <w:b/>
                <w:bCs/>
                <w:color w:val="000000"/>
                <w:sz w:val="18"/>
                <w:szCs w:val="18"/>
                <w:lang w:val="es-CR" w:eastAsia="es-CR"/>
              </w:rPr>
              <w:t>1</w:t>
            </w:r>
          </w:p>
        </w:tc>
        <w:tc>
          <w:tcPr>
            <w:tcW w:w="1359" w:type="dxa"/>
            <w:tcBorders>
              <w:top w:val="single" w:sz="4" w:space="0" w:color="auto"/>
              <w:left w:val="nil"/>
              <w:bottom w:val="single" w:sz="4" w:space="0" w:color="auto"/>
              <w:right w:val="nil"/>
            </w:tcBorders>
            <w:shd w:val="clear" w:color="auto" w:fill="auto"/>
            <w:noWrap/>
            <w:vAlign w:val="bottom"/>
            <w:hideMark/>
          </w:tcPr>
          <w:p w14:paraId="023F8A67" w14:textId="354E9DBB" w:rsidR="00113940" w:rsidRPr="00205C60" w:rsidRDefault="00113940" w:rsidP="00113940">
            <w:pPr>
              <w:jc w:val="center"/>
              <w:rPr>
                <w:rFonts w:ascii="Arial" w:hAnsi="Arial" w:cs="Arial"/>
                <w:b/>
                <w:bCs/>
                <w:color w:val="000000"/>
                <w:sz w:val="18"/>
                <w:szCs w:val="18"/>
                <w:lang w:val="es-CR" w:eastAsia="es-CR"/>
              </w:rPr>
            </w:pPr>
            <w:r w:rsidRPr="00205C60">
              <w:rPr>
                <w:rFonts w:ascii="Arial" w:hAnsi="Arial" w:cs="Arial"/>
                <w:b/>
                <w:bCs/>
                <w:color w:val="000000"/>
                <w:sz w:val="18"/>
                <w:szCs w:val="18"/>
                <w:lang w:val="es-CR" w:eastAsia="es-CR"/>
              </w:rPr>
              <w:t>202</w:t>
            </w:r>
            <w:r w:rsidR="00FD7F21" w:rsidRPr="00205C60">
              <w:rPr>
                <w:rFonts w:ascii="Arial" w:hAnsi="Arial" w:cs="Arial"/>
                <w:b/>
                <w:bCs/>
                <w:color w:val="000000"/>
                <w:sz w:val="18"/>
                <w:szCs w:val="18"/>
                <w:lang w:val="es-CR" w:eastAsia="es-CR"/>
              </w:rPr>
              <w:t>2</w:t>
            </w:r>
          </w:p>
        </w:tc>
        <w:tc>
          <w:tcPr>
            <w:tcW w:w="1553" w:type="dxa"/>
            <w:tcBorders>
              <w:top w:val="single" w:sz="4" w:space="0" w:color="auto"/>
              <w:left w:val="nil"/>
              <w:bottom w:val="single" w:sz="4" w:space="0" w:color="auto"/>
              <w:right w:val="nil"/>
            </w:tcBorders>
            <w:shd w:val="clear" w:color="auto" w:fill="auto"/>
            <w:noWrap/>
            <w:vAlign w:val="bottom"/>
            <w:hideMark/>
          </w:tcPr>
          <w:p w14:paraId="5AAD4C03" w14:textId="77777777" w:rsidR="00113940" w:rsidRPr="00205C60" w:rsidRDefault="00113940" w:rsidP="00113940">
            <w:pPr>
              <w:jc w:val="center"/>
              <w:rPr>
                <w:rFonts w:ascii="Arial" w:hAnsi="Arial" w:cs="Arial"/>
                <w:b/>
                <w:bCs/>
                <w:color w:val="000000"/>
                <w:sz w:val="18"/>
                <w:szCs w:val="18"/>
                <w:lang w:val="es-CR" w:eastAsia="es-CR"/>
              </w:rPr>
            </w:pPr>
            <w:r w:rsidRPr="00205C60">
              <w:rPr>
                <w:rFonts w:ascii="Arial" w:hAnsi="Arial" w:cs="Arial"/>
                <w:b/>
                <w:bCs/>
                <w:color w:val="000000"/>
                <w:sz w:val="18"/>
                <w:szCs w:val="18"/>
                <w:lang w:val="es-CR" w:eastAsia="es-CR"/>
              </w:rPr>
              <w:t>DIFERENCIA</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14:paraId="4549EA94" w14:textId="77777777" w:rsidR="00113940" w:rsidRPr="00205C60" w:rsidRDefault="00113940" w:rsidP="00113940">
            <w:pPr>
              <w:jc w:val="center"/>
              <w:rPr>
                <w:rFonts w:ascii="Arial" w:hAnsi="Arial" w:cs="Arial"/>
                <w:b/>
                <w:bCs/>
                <w:color w:val="000000"/>
                <w:sz w:val="18"/>
                <w:szCs w:val="18"/>
                <w:lang w:val="es-CR" w:eastAsia="es-CR"/>
              </w:rPr>
            </w:pPr>
            <w:r w:rsidRPr="00205C60">
              <w:rPr>
                <w:rFonts w:ascii="Arial" w:hAnsi="Arial" w:cs="Arial"/>
                <w:b/>
                <w:bCs/>
                <w:color w:val="000000"/>
                <w:sz w:val="18"/>
                <w:szCs w:val="18"/>
                <w:lang w:val="es-CR" w:eastAsia="es-CR"/>
              </w:rPr>
              <w:t>%</w:t>
            </w:r>
          </w:p>
        </w:tc>
      </w:tr>
      <w:tr w:rsidR="007C28F6" w:rsidRPr="00205C60" w14:paraId="7A1D06A7" w14:textId="77777777" w:rsidTr="00EF4C10">
        <w:trPr>
          <w:trHeight w:val="220"/>
        </w:trPr>
        <w:tc>
          <w:tcPr>
            <w:tcW w:w="3738" w:type="dxa"/>
            <w:tcBorders>
              <w:top w:val="nil"/>
              <w:left w:val="single" w:sz="4" w:space="0" w:color="auto"/>
              <w:bottom w:val="nil"/>
              <w:right w:val="nil"/>
            </w:tcBorders>
            <w:shd w:val="clear" w:color="auto" w:fill="auto"/>
            <w:noWrap/>
            <w:vAlign w:val="bottom"/>
            <w:hideMark/>
          </w:tcPr>
          <w:p w14:paraId="3AE5B7A2" w14:textId="77777777" w:rsidR="00113940" w:rsidRPr="00205C60" w:rsidRDefault="00113940" w:rsidP="00113940">
            <w:pPr>
              <w:rPr>
                <w:rFonts w:ascii="Arial" w:hAnsi="Arial" w:cs="Arial"/>
                <w:b/>
                <w:bCs/>
                <w:color w:val="000000"/>
                <w:sz w:val="18"/>
                <w:szCs w:val="18"/>
                <w:lang w:val="es-CR" w:eastAsia="es-CR"/>
              </w:rPr>
            </w:pPr>
            <w:r w:rsidRPr="00205C60">
              <w:rPr>
                <w:rFonts w:ascii="Arial" w:hAnsi="Arial" w:cs="Arial"/>
                <w:b/>
                <w:bCs/>
                <w:color w:val="000000"/>
                <w:sz w:val="18"/>
                <w:szCs w:val="18"/>
                <w:lang w:val="es-CR" w:eastAsia="es-CR"/>
              </w:rPr>
              <w:t>Costos de Operación</w:t>
            </w:r>
          </w:p>
        </w:tc>
        <w:tc>
          <w:tcPr>
            <w:tcW w:w="1425" w:type="dxa"/>
            <w:tcBorders>
              <w:top w:val="nil"/>
              <w:left w:val="nil"/>
              <w:bottom w:val="nil"/>
              <w:right w:val="nil"/>
            </w:tcBorders>
            <w:shd w:val="clear" w:color="auto" w:fill="auto"/>
            <w:noWrap/>
            <w:vAlign w:val="bottom"/>
            <w:hideMark/>
          </w:tcPr>
          <w:p w14:paraId="19C29925" w14:textId="77777777" w:rsidR="00113940" w:rsidRPr="00205C60" w:rsidRDefault="00113940" w:rsidP="00113940">
            <w:pPr>
              <w:rPr>
                <w:rFonts w:ascii="Arial" w:hAnsi="Arial" w:cs="Arial"/>
                <w:b/>
                <w:bCs/>
                <w:color w:val="000000"/>
                <w:sz w:val="18"/>
                <w:szCs w:val="18"/>
                <w:lang w:val="es-CR" w:eastAsia="es-CR"/>
              </w:rPr>
            </w:pPr>
          </w:p>
        </w:tc>
        <w:tc>
          <w:tcPr>
            <w:tcW w:w="1359" w:type="dxa"/>
            <w:tcBorders>
              <w:top w:val="nil"/>
              <w:left w:val="nil"/>
              <w:bottom w:val="nil"/>
              <w:right w:val="nil"/>
            </w:tcBorders>
            <w:shd w:val="clear" w:color="auto" w:fill="auto"/>
            <w:noWrap/>
            <w:vAlign w:val="bottom"/>
            <w:hideMark/>
          </w:tcPr>
          <w:p w14:paraId="5979EB5E" w14:textId="77777777" w:rsidR="00113940" w:rsidRPr="00205C60" w:rsidRDefault="00113940" w:rsidP="00113940">
            <w:pPr>
              <w:rPr>
                <w:sz w:val="18"/>
                <w:szCs w:val="18"/>
                <w:lang w:val="es-CR" w:eastAsia="es-CR"/>
              </w:rPr>
            </w:pPr>
          </w:p>
        </w:tc>
        <w:tc>
          <w:tcPr>
            <w:tcW w:w="1553" w:type="dxa"/>
            <w:tcBorders>
              <w:top w:val="nil"/>
              <w:left w:val="nil"/>
              <w:bottom w:val="nil"/>
              <w:right w:val="nil"/>
            </w:tcBorders>
            <w:shd w:val="clear" w:color="auto" w:fill="auto"/>
            <w:noWrap/>
            <w:vAlign w:val="bottom"/>
            <w:hideMark/>
          </w:tcPr>
          <w:p w14:paraId="35476791" w14:textId="77777777" w:rsidR="00113940" w:rsidRPr="00205C60" w:rsidRDefault="00113940" w:rsidP="00113940">
            <w:pPr>
              <w:rPr>
                <w:sz w:val="18"/>
                <w:szCs w:val="18"/>
                <w:lang w:val="es-CR" w:eastAsia="es-CR"/>
              </w:rPr>
            </w:pPr>
          </w:p>
        </w:tc>
        <w:tc>
          <w:tcPr>
            <w:tcW w:w="1158" w:type="dxa"/>
            <w:tcBorders>
              <w:top w:val="nil"/>
              <w:left w:val="nil"/>
              <w:bottom w:val="nil"/>
              <w:right w:val="nil"/>
            </w:tcBorders>
            <w:shd w:val="clear" w:color="auto" w:fill="auto"/>
            <w:noWrap/>
            <w:vAlign w:val="bottom"/>
            <w:hideMark/>
          </w:tcPr>
          <w:p w14:paraId="0F5CE72B" w14:textId="77777777" w:rsidR="00113940" w:rsidRPr="00205C60" w:rsidRDefault="00113940" w:rsidP="00113940">
            <w:pPr>
              <w:rPr>
                <w:sz w:val="18"/>
                <w:szCs w:val="18"/>
                <w:lang w:val="es-CR" w:eastAsia="es-CR"/>
              </w:rPr>
            </w:pPr>
          </w:p>
        </w:tc>
      </w:tr>
      <w:tr w:rsidR="00300EE7" w:rsidRPr="00205C60" w14:paraId="6A845739" w14:textId="77777777" w:rsidTr="00EF4C10">
        <w:trPr>
          <w:trHeight w:val="220"/>
        </w:trPr>
        <w:tc>
          <w:tcPr>
            <w:tcW w:w="3738" w:type="dxa"/>
            <w:tcBorders>
              <w:top w:val="nil"/>
              <w:left w:val="single" w:sz="4" w:space="0" w:color="auto"/>
              <w:bottom w:val="nil"/>
              <w:right w:val="nil"/>
            </w:tcBorders>
            <w:shd w:val="clear" w:color="auto" w:fill="auto"/>
            <w:noWrap/>
            <w:vAlign w:val="bottom"/>
            <w:hideMark/>
          </w:tcPr>
          <w:p w14:paraId="4695310D" w14:textId="77777777" w:rsidR="00300EE7" w:rsidRPr="00205C60" w:rsidRDefault="00300EE7" w:rsidP="00300EE7">
            <w:pPr>
              <w:rPr>
                <w:rFonts w:ascii="Arial" w:hAnsi="Arial" w:cs="Arial"/>
                <w:color w:val="000000"/>
                <w:sz w:val="18"/>
                <w:szCs w:val="18"/>
                <w:lang w:val="es-CR" w:eastAsia="es-CR"/>
              </w:rPr>
            </w:pPr>
            <w:r w:rsidRPr="00205C60">
              <w:rPr>
                <w:rFonts w:ascii="Arial" w:hAnsi="Arial" w:cs="Arial"/>
                <w:color w:val="000000"/>
                <w:sz w:val="18"/>
                <w:szCs w:val="18"/>
                <w:lang w:val="es-CR" w:eastAsia="es-CR"/>
              </w:rPr>
              <w:t>Compras de Energía</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78747" w14:textId="2BC85878" w:rsidR="00300EE7" w:rsidRPr="00205C60" w:rsidRDefault="00300EE7" w:rsidP="00300EE7">
            <w:pPr>
              <w:rPr>
                <w:rFonts w:ascii="Arial" w:hAnsi="Arial" w:cs="Arial"/>
                <w:color w:val="000000"/>
                <w:sz w:val="18"/>
                <w:szCs w:val="18"/>
                <w:lang w:val="es-CR" w:eastAsia="es-CR"/>
              </w:rPr>
            </w:pPr>
            <w:r w:rsidRPr="00205C60">
              <w:rPr>
                <w:rFonts w:ascii="Arial" w:hAnsi="Arial" w:cs="Arial"/>
                <w:color w:val="000000"/>
                <w:sz w:val="18"/>
                <w:szCs w:val="18"/>
                <w:lang w:val="es-CR" w:eastAsia="es-CR"/>
              </w:rPr>
              <w:t xml:space="preserve">  170 022 971 </w:t>
            </w:r>
          </w:p>
        </w:tc>
        <w:tc>
          <w:tcPr>
            <w:tcW w:w="1359" w:type="dxa"/>
            <w:tcBorders>
              <w:top w:val="single" w:sz="4" w:space="0" w:color="auto"/>
              <w:left w:val="nil"/>
              <w:bottom w:val="single" w:sz="4" w:space="0" w:color="auto"/>
              <w:right w:val="single" w:sz="4" w:space="0" w:color="auto"/>
            </w:tcBorders>
            <w:shd w:val="clear" w:color="auto" w:fill="auto"/>
            <w:noWrap/>
            <w:vAlign w:val="bottom"/>
            <w:hideMark/>
          </w:tcPr>
          <w:p w14:paraId="3E5D9A8A" w14:textId="57CD7D54" w:rsidR="00300EE7" w:rsidRPr="00205C60" w:rsidRDefault="00300EE7" w:rsidP="00300EE7">
            <w:pPr>
              <w:rPr>
                <w:rFonts w:ascii="Arial" w:hAnsi="Arial" w:cs="Arial"/>
                <w:color w:val="000000"/>
                <w:sz w:val="18"/>
                <w:szCs w:val="18"/>
                <w:lang w:val="es-CR" w:eastAsia="es-CR"/>
              </w:rPr>
            </w:pPr>
            <w:r w:rsidRPr="00205C60">
              <w:rPr>
                <w:rFonts w:ascii="Arial" w:hAnsi="Arial" w:cs="Arial"/>
                <w:color w:val="000000"/>
                <w:sz w:val="18"/>
                <w:szCs w:val="18"/>
                <w:lang w:val="es-CR" w:eastAsia="es-CR"/>
              </w:rPr>
              <w:t xml:space="preserve">  176 </w:t>
            </w:r>
            <w:r w:rsidR="00FF5299" w:rsidRPr="00205C60">
              <w:rPr>
                <w:rFonts w:ascii="Arial" w:hAnsi="Arial" w:cs="Arial"/>
                <w:color w:val="000000"/>
                <w:sz w:val="18"/>
                <w:szCs w:val="18"/>
                <w:lang w:val="es-CR" w:eastAsia="es-CR"/>
              </w:rPr>
              <w:t>833 430</w:t>
            </w:r>
            <w:r w:rsidRPr="00205C60">
              <w:rPr>
                <w:rFonts w:ascii="Arial" w:hAnsi="Arial" w:cs="Arial"/>
                <w:color w:val="000000"/>
                <w:sz w:val="18"/>
                <w:szCs w:val="18"/>
                <w:lang w:val="es-CR" w:eastAsia="es-CR"/>
              </w:rPr>
              <w:t xml:space="preserve"> </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27FE819E" w14:textId="4CCCAA29" w:rsidR="00300EE7" w:rsidRPr="00205C60" w:rsidRDefault="00FD7F21" w:rsidP="00300EE7">
            <w:pPr>
              <w:rPr>
                <w:rFonts w:ascii="Arial" w:hAnsi="Arial" w:cs="Arial"/>
                <w:color w:val="000000"/>
                <w:sz w:val="18"/>
                <w:szCs w:val="18"/>
                <w:lang w:val="es-CR" w:eastAsia="es-CR"/>
              </w:rPr>
            </w:pPr>
            <w:r w:rsidRPr="00205C60">
              <w:rPr>
                <w:rFonts w:ascii="Arial" w:hAnsi="Arial" w:cs="Arial"/>
                <w:color w:val="000000"/>
                <w:sz w:val="18"/>
                <w:szCs w:val="18"/>
                <w:lang w:val="es-CR" w:eastAsia="es-CR"/>
              </w:rPr>
              <w:t xml:space="preserve">  </w:t>
            </w:r>
            <w:r w:rsidR="00EF4C10">
              <w:rPr>
                <w:rFonts w:ascii="Arial" w:hAnsi="Arial" w:cs="Arial"/>
                <w:color w:val="000000"/>
                <w:sz w:val="18"/>
                <w:szCs w:val="18"/>
                <w:lang w:val="es-CR" w:eastAsia="es-CR"/>
              </w:rPr>
              <w:t xml:space="preserve">   </w:t>
            </w:r>
            <w:r w:rsidRPr="00205C60">
              <w:rPr>
                <w:rFonts w:ascii="Arial" w:hAnsi="Arial" w:cs="Arial"/>
                <w:color w:val="000000"/>
                <w:sz w:val="18"/>
                <w:szCs w:val="18"/>
                <w:lang w:val="es-CR" w:eastAsia="es-CR"/>
              </w:rPr>
              <w:t xml:space="preserve">      </w:t>
            </w:r>
            <w:r w:rsidR="003E0FEE" w:rsidRPr="00205C60">
              <w:rPr>
                <w:rFonts w:ascii="Arial" w:hAnsi="Arial" w:cs="Arial"/>
                <w:color w:val="000000"/>
                <w:sz w:val="18"/>
                <w:szCs w:val="18"/>
                <w:lang w:val="es-CR" w:eastAsia="es-CR"/>
              </w:rPr>
              <w:t xml:space="preserve"> </w:t>
            </w:r>
            <w:r w:rsidR="00300EE7" w:rsidRPr="00205C60">
              <w:rPr>
                <w:rFonts w:ascii="Arial" w:hAnsi="Arial" w:cs="Arial"/>
                <w:color w:val="000000"/>
                <w:sz w:val="18"/>
                <w:szCs w:val="18"/>
                <w:lang w:val="es-CR" w:eastAsia="es-CR"/>
              </w:rPr>
              <w:t xml:space="preserve">6 </w:t>
            </w:r>
            <w:r w:rsidR="002C64B7" w:rsidRPr="00205C60">
              <w:rPr>
                <w:rFonts w:ascii="Arial" w:hAnsi="Arial" w:cs="Arial"/>
                <w:color w:val="000000"/>
                <w:sz w:val="18"/>
                <w:szCs w:val="18"/>
                <w:lang w:val="es-CR" w:eastAsia="es-CR"/>
              </w:rPr>
              <w:t>810</w:t>
            </w:r>
            <w:r w:rsidR="00300EE7" w:rsidRPr="00205C60">
              <w:rPr>
                <w:rFonts w:ascii="Arial" w:hAnsi="Arial" w:cs="Arial"/>
                <w:color w:val="000000"/>
                <w:sz w:val="18"/>
                <w:szCs w:val="18"/>
                <w:lang w:val="es-CR" w:eastAsia="es-CR"/>
              </w:rPr>
              <w:t xml:space="preserve"> 4</w:t>
            </w:r>
            <w:r w:rsidR="002C64B7" w:rsidRPr="00205C60">
              <w:rPr>
                <w:rFonts w:ascii="Arial" w:hAnsi="Arial" w:cs="Arial"/>
                <w:color w:val="000000"/>
                <w:sz w:val="18"/>
                <w:szCs w:val="18"/>
                <w:lang w:val="es-CR" w:eastAsia="es-CR"/>
              </w:rPr>
              <w:t>59</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14:paraId="69BF49EF" w14:textId="57D383B8" w:rsidR="00300EE7" w:rsidRPr="00205C60" w:rsidRDefault="00F002EF" w:rsidP="00300EE7">
            <w:pPr>
              <w:jc w:val="right"/>
              <w:rPr>
                <w:rFonts w:ascii="Arial" w:hAnsi="Arial" w:cs="Arial"/>
                <w:color w:val="000000"/>
                <w:sz w:val="18"/>
                <w:szCs w:val="18"/>
                <w:lang w:val="es-CR" w:eastAsia="es-CR"/>
              </w:rPr>
            </w:pPr>
            <w:r w:rsidRPr="00205C60">
              <w:rPr>
                <w:rFonts w:ascii="Arial" w:hAnsi="Arial" w:cs="Arial"/>
                <w:color w:val="000000"/>
                <w:sz w:val="18"/>
                <w:szCs w:val="18"/>
                <w:lang w:val="es-CR" w:eastAsia="es-CR"/>
              </w:rPr>
              <w:t>4.01</w:t>
            </w:r>
            <w:r w:rsidR="00300EE7" w:rsidRPr="00205C60">
              <w:rPr>
                <w:rFonts w:ascii="Arial" w:hAnsi="Arial" w:cs="Arial"/>
                <w:color w:val="000000"/>
                <w:sz w:val="18"/>
                <w:szCs w:val="18"/>
                <w:lang w:val="es-CR" w:eastAsia="es-CR"/>
              </w:rPr>
              <w:t>%</w:t>
            </w:r>
          </w:p>
        </w:tc>
      </w:tr>
      <w:tr w:rsidR="00300EE7" w:rsidRPr="00205C60" w14:paraId="12E0719B" w14:textId="77777777" w:rsidTr="00EF4C10">
        <w:trPr>
          <w:trHeight w:val="220"/>
        </w:trPr>
        <w:tc>
          <w:tcPr>
            <w:tcW w:w="3738" w:type="dxa"/>
            <w:tcBorders>
              <w:top w:val="nil"/>
              <w:left w:val="single" w:sz="4" w:space="0" w:color="auto"/>
              <w:bottom w:val="nil"/>
              <w:right w:val="nil"/>
            </w:tcBorders>
            <w:shd w:val="clear" w:color="auto" w:fill="auto"/>
            <w:noWrap/>
            <w:vAlign w:val="bottom"/>
            <w:hideMark/>
          </w:tcPr>
          <w:p w14:paraId="72131A25" w14:textId="77777777" w:rsidR="00300EE7" w:rsidRPr="00205C60" w:rsidRDefault="00300EE7" w:rsidP="00300EE7">
            <w:pPr>
              <w:rPr>
                <w:rFonts w:ascii="Arial" w:hAnsi="Arial" w:cs="Arial"/>
                <w:color w:val="000000"/>
                <w:sz w:val="18"/>
                <w:szCs w:val="18"/>
                <w:lang w:val="es-CR" w:eastAsia="es-CR"/>
              </w:rPr>
            </w:pPr>
            <w:r w:rsidRPr="00205C60">
              <w:rPr>
                <w:rFonts w:ascii="Arial" w:hAnsi="Arial" w:cs="Arial"/>
                <w:color w:val="000000"/>
                <w:sz w:val="18"/>
                <w:szCs w:val="18"/>
                <w:lang w:val="es-CR" w:eastAsia="es-CR"/>
              </w:rPr>
              <w:t>Generación Hidráulica</w:t>
            </w:r>
          </w:p>
        </w:tc>
        <w:tc>
          <w:tcPr>
            <w:tcW w:w="1425" w:type="dxa"/>
            <w:tcBorders>
              <w:top w:val="nil"/>
              <w:left w:val="single" w:sz="4" w:space="0" w:color="auto"/>
              <w:bottom w:val="single" w:sz="4" w:space="0" w:color="auto"/>
              <w:right w:val="single" w:sz="4" w:space="0" w:color="auto"/>
            </w:tcBorders>
            <w:shd w:val="clear" w:color="auto" w:fill="auto"/>
            <w:noWrap/>
            <w:vAlign w:val="bottom"/>
            <w:hideMark/>
          </w:tcPr>
          <w:p w14:paraId="61DEE19E" w14:textId="79E090BE" w:rsidR="00300EE7" w:rsidRPr="00205C60" w:rsidRDefault="00300EE7" w:rsidP="00300EE7">
            <w:pPr>
              <w:rPr>
                <w:rFonts w:ascii="Arial" w:hAnsi="Arial" w:cs="Arial"/>
                <w:color w:val="000000"/>
                <w:sz w:val="18"/>
                <w:szCs w:val="18"/>
                <w:lang w:val="es-CR" w:eastAsia="es-CR"/>
              </w:rPr>
            </w:pPr>
            <w:r w:rsidRPr="00205C60">
              <w:rPr>
                <w:rFonts w:ascii="Arial" w:hAnsi="Arial" w:cs="Arial"/>
                <w:color w:val="000000"/>
                <w:sz w:val="18"/>
                <w:szCs w:val="18"/>
                <w:lang w:val="es-CR" w:eastAsia="es-CR"/>
              </w:rPr>
              <w:t xml:space="preserve">    10 223 786 </w:t>
            </w:r>
          </w:p>
        </w:tc>
        <w:tc>
          <w:tcPr>
            <w:tcW w:w="1359" w:type="dxa"/>
            <w:tcBorders>
              <w:top w:val="nil"/>
              <w:left w:val="nil"/>
              <w:bottom w:val="single" w:sz="4" w:space="0" w:color="auto"/>
              <w:right w:val="single" w:sz="4" w:space="0" w:color="auto"/>
            </w:tcBorders>
            <w:shd w:val="clear" w:color="auto" w:fill="auto"/>
            <w:noWrap/>
            <w:vAlign w:val="bottom"/>
            <w:hideMark/>
          </w:tcPr>
          <w:p w14:paraId="3E82650E" w14:textId="7E07FE1D" w:rsidR="00300EE7" w:rsidRPr="00205C60" w:rsidRDefault="00300EE7" w:rsidP="00300EE7">
            <w:pPr>
              <w:rPr>
                <w:rFonts w:ascii="Arial" w:hAnsi="Arial" w:cs="Arial"/>
                <w:color w:val="000000"/>
                <w:sz w:val="18"/>
                <w:szCs w:val="18"/>
                <w:lang w:val="es-CR" w:eastAsia="es-CR"/>
              </w:rPr>
            </w:pPr>
            <w:r w:rsidRPr="00205C60">
              <w:rPr>
                <w:rFonts w:ascii="Arial" w:hAnsi="Arial" w:cs="Arial"/>
                <w:color w:val="000000"/>
                <w:sz w:val="18"/>
                <w:szCs w:val="18"/>
                <w:lang w:val="es-CR" w:eastAsia="es-CR"/>
              </w:rPr>
              <w:t xml:space="preserve">    </w:t>
            </w:r>
            <w:r w:rsidR="00FF5299" w:rsidRPr="00205C60">
              <w:rPr>
                <w:rFonts w:ascii="Arial" w:hAnsi="Arial" w:cs="Arial"/>
                <w:color w:val="000000"/>
                <w:sz w:val="18"/>
                <w:szCs w:val="18"/>
                <w:lang w:val="es-CR" w:eastAsia="es-CR"/>
              </w:rPr>
              <w:t xml:space="preserve">  9 961 052</w:t>
            </w:r>
            <w:r w:rsidRPr="00205C60">
              <w:rPr>
                <w:rFonts w:ascii="Arial" w:hAnsi="Arial" w:cs="Arial"/>
                <w:color w:val="000000"/>
                <w:sz w:val="18"/>
                <w:szCs w:val="18"/>
                <w:lang w:val="es-CR" w:eastAsia="es-CR"/>
              </w:rPr>
              <w:t xml:space="preserve"> </w:t>
            </w:r>
          </w:p>
        </w:tc>
        <w:tc>
          <w:tcPr>
            <w:tcW w:w="1553" w:type="dxa"/>
            <w:tcBorders>
              <w:top w:val="nil"/>
              <w:left w:val="nil"/>
              <w:bottom w:val="single" w:sz="4" w:space="0" w:color="auto"/>
              <w:right w:val="single" w:sz="4" w:space="0" w:color="auto"/>
            </w:tcBorders>
            <w:shd w:val="clear" w:color="auto" w:fill="auto"/>
            <w:noWrap/>
            <w:vAlign w:val="bottom"/>
          </w:tcPr>
          <w:p w14:paraId="2B6BB130" w14:textId="2405D884" w:rsidR="00300EE7" w:rsidRPr="00205C60" w:rsidRDefault="00FD7F21" w:rsidP="003E0FEE">
            <w:pPr>
              <w:jc w:val="right"/>
              <w:rPr>
                <w:rFonts w:ascii="Arial" w:hAnsi="Arial" w:cs="Arial"/>
                <w:color w:val="000000"/>
                <w:sz w:val="18"/>
                <w:szCs w:val="18"/>
                <w:lang w:val="es-CR" w:eastAsia="es-CR"/>
              </w:rPr>
            </w:pPr>
            <w:r w:rsidRPr="00205C60">
              <w:rPr>
                <w:rFonts w:ascii="Arial" w:hAnsi="Arial" w:cs="Arial"/>
                <w:color w:val="000000"/>
                <w:sz w:val="18"/>
                <w:szCs w:val="18"/>
                <w:lang w:val="es-CR" w:eastAsia="es-CR"/>
              </w:rPr>
              <w:t>-</w:t>
            </w:r>
            <w:r w:rsidR="002C64B7" w:rsidRPr="00205C60">
              <w:rPr>
                <w:rFonts w:ascii="Arial" w:hAnsi="Arial" w:cs="Arial"/>
                <w:color w:val="000000"/>
                <w:sz w:val="18"/>
                <w:szCs w:val="18"/>
                <w:lang w:val="es-CR" w:eastAsia="es-CR"/>
              </w:rPr>
              <w:t>262 734</w:t>
            </w:r>
          </w:p>
        </w:tc>
        <w:tc>
          <w:tcPr>
            <w:tcW w:w="1158" w:type="dxa"/>
            <w:tcBorders>
              <w:top w:val="nil"/>
              <w:left w:val="nil"/>
              <w:bottom w:val="single" w:sz="4" w:space="0" w:color="auto"/>
              <w:right w:val="single" w:sz="4" w:space="0" w:color="auto"/>
            </w:tcBorders>
            <w:shd w:val="clear" w:color="auto" w:fill="auto"/>
            <w:noWrap/>
            <w:vAlign w:val="bottom"/>
            <w:hideMark/>
          </w:tcPr>
          <w:p w14:paraId="5D7955E1" w14:textId="68710E8C" w:rsidR="00300EE7" w:rsidRPr="00205C60" w:rsidRDefault="00AB5025" w:rsidP="00300EE7">
            <w:pPr>
              <w:jc w:val="right"/>
              <w:rPr>
                <w:rFonts w:ascii="Arial" w:hAnsi="Arial" w:cs="Arial"/>
                <w:color w:val="000000"/>
                <w:sz w:val="18"/>
                <w:szCs w:val="18"/>
                <w:lang w:val="es-CR" w:eastAsia="es-CR"/>
              </w:rPr>
            </w:pPr>
            <w:r w:rsidRPr="00205C60">
              <w:rPr>
                <w:rFonts w:ascii="Arial" w:hAnsi="Arial" w:cs="Arial"/>
                <w:color w:val="000000"/>
                <w:sz w:val="18"/>
                <w:szCs w:val="18"/>
                <w:lang w:val="es-CR" w:eastAsia="es-CR"/>
              </w:rPr>
              <w:t>-</w:t>
            </w:r>
            <w:r w:rsidR="00F002EF" w:rsidRPr="00205C60">
              <w:rPr>
                <w:rFonts w:ascii="Arial" w:hAnsi="Arial" w:cs="Arial"/>
                <w:color w:val="000000"/>
                <w:sz w:val="18"/>
                <w:szCs w:val="18"/>
                <w:lang w:val="es-CR" w:eastAsia="es-CR"/>
              </w:rPr>
              <w:t>2.57</w:t>
            </w:r>
            <w:r w:rsidR="00300EE7" w:rsidRPr="00205C60">
              <w:rPr>
                <w:rFonts w:ascii="Arial" w:hAnsi="Arial" w:cs="Arial"/>
                <w:color w:val="000000"/>
                <w:sz w:val="18"/>
                <w:szCs w:val="18"/>
                <w:lang w:val="es-CR" w:eastAsia="es-CR"/>
              </w:rPr>
              <w:t>%</w:t>
            </w:r>
          </w:p>
        </w:tc>
      </w:tr>
      <w:tr w:rsidR="00300EE7" w:rsidRPr="00205C60" w14:paraId="17ACB6C5" w14:textId="77777777" w:rsidTr="00EF4C10">
        <w:trPr>
          <w:trHeight w:val="220"/>
        </w:trPr>
        <w:tc>
          <w:tcPr>
            <w:tcW w:w="3738" w:type="dxa"/>
            <w:tcBorders>
              <w:top w:val="nil"/>
              <w:left w:val="single" w:sz="4" w:space="0" w:color="auto"/>
              <w:bottom w:val="nil"/>
              <w:right w:val="nil"/>
            </w:tcBorders>
            <w:shd w:val="clear" w:color="auto" w:fill="auto"/>
            <w:noWrap/>
            <w:vAlign w:val="bottom"/>
            <w:hideMark/>
          </w:tcPr>
          <w:p w14:paraId="47730B1E" w14:textId="77777777" w:rsidR="00300EE7" w:rsidRPr="00205C60" w:rsidRDefault="00300EE7" w:rsidP="00300EE7">
            <w:pPr>
              <w:rPr>
                <w:rFonts w:ascii="Arial" w:hAnsi="Arial" w:cs="Arial"/>
                <w:color w:val="000000"/>
                <w:sz w:val="18"/>
                <w:szCs w:val="18"/>
                <w:lang w:val="es-CR" w:eastAsia="es-CR"/>
              </w:rPr>
            </w:pPr>
            <w:r w:rsidRPr="00205C60">
              <w:rPr>
                <w:rFonts w:ascii="Arial" w:hAnsi="Arial" w:cs="Arial"/>
                <w:color w:val="000000"/>
                <w:sz w:val="18"/>
                <w:szCs w:val="18"/>
                <w:lang w:val="es-CR" w:eastAsia="es-CR"/>
              </w:rPr>
              <w:t>Distribución y Transmisión</w:t>
            </w:r>
          </w:p>
        </w:tc>
        <w:tc>
          <w:tcPr>
            <w:tcW w:w="1425" w:type="dxa"/>
            <w:tcBorders>
              <w:top w:val="nil"/>
              <w:left w:val="single" w:sz="4" w:space="0" w:color="auto"/>
              <w:bottom w:val="single" w:sz="4" w:space="0" w:color="auto"/>
              <w:right w:val="single" w:sz="4" w:space="0" w:color="auto"/>
            </w:tcBorders>
            <w:shd w:val="clear" w:color="auto" w:fill="auto"/>
            <w:noWrap/>
            <w:vAlign w:val="bottom"/>
            <w:hideMark/>
          </w:tcPr>
          <w:p w14:paraId="237E6680" w14:textId="0D55E0E4" w:rsidR="00300EE7" w:rsidRPr="00205C60" w:rsidRDefault="00300EE7" w:rsidP="00300EE7">
            <w:pPr>
              <w:rPr>
                <w:rFonts w:ascii="Arial" w:hAnsi="Arial" w:cs="Arial"/>
                <w:color w:val="000000"/>
                <w:sz w:val="18"/>
                <w:szCs w:val="18"/>
                <w:lang w:val="es-CR" w:eastAsia="es-CR"/>
              </w:rPr>
            </w:pPr>
            <w:r w:rsidRPr="00205C60">
              <w:rPr>
                <w:rFonts w:ascii="Arial" w:hAnsi="Arial" w:cs="Arial"/>
                <w:color w:val="000000"/>
                <w:sz w:val="18"/>
                <w:szCs w:val="18"/>
                <w:lang w:val="es-CR" w:eastAsia="es-CR"/>
              </w:rPr>
              <w:t xml:space="preserve">    18 902 931 </w:t>
            </w:r>
          </w:p>
        </w:tc>
        <w:tc>
          <w:tcPr>
            <w:tcW w:w="1359" w:type="dxa"/>
            <w:tcBorders>
              <w:top w:val="nil"/>
              <w:left w:val="nil"/>
              <w:bottom w:val="single" w:sz="4" w:space="0" w:color="auto"/>
              <w:right w:val="single" w:sz="4" w:space="0" w:color="auto"/>
            </w:tcBorders>
            <w:shd w:val="clear" w:color="auto" w:fill="auto"/>
            <w:noWrap/>
            <w:vAlign w:val="bottom"/>
            <w:hideMark/>
          </w:tcPr>
          <w:p w14:paraId="432F05DB" w14:textId="1C331589" w:rsidR="00300EE7" w:rsidRPr="00205C60" w:rsidRDefault="00FF5299" w:rsidP="00300EE7">
            <w:pPr>
              <w:rPr>
                <w:rFonts w:ascii="Arial" w:hAnsi="Arial" w:cs="Arial"/>
                <w:color w:val="000000"/>
                <w:sz w:val="18"/>
                <w:szCs w:val="18"/>
                <w:lang w:val="es-CR" w:eastAsia="es-CR"/>
              </w:rPr>
            </w:pPr>
            <w:r w:rsidRPr="00205C60">
              <w:rPr>
                <w:rFonts w:ascii="Arial" w:hAnsi="Arial" w:cs="Arial"/>
                <w:color w:val="000000"/>
                <w:sz w:val="18"/>
                <w:szCs w:val="18"/>
                <w:lang w:val="es-CR" w:eastAsia="es-CR"/>
              </w:rPr>
              <w:t xml:space="preserve">    18 675 654</w:t>
            </w:r>
            <w:r w:rsidR="00300EE7" w:rsidRPr="00205C60">
              <w:rPr>
                <w:rFonts w:ascii="Arial" w:hAnsi="Arial" w:cs="Arial"/>
                <w:color w:val="000000"/>
                <w:sz w:val="18"/>
                <w:szCs w:val="18"/>
                <w:lang w:val="es-CR" w:eastAsia="es-CR"/>
              </w:rPr>
              <w:t xml:space="preserve"> </w:t>
            </w:r>
          </w:p>
        </w:tc>
        <w:tc>
          <w:tcPr>
            <w:tcW w:w="1553" w:type="dxa"/>
            <w:tcBorders>
              <w:top w:val="nil"/>
              <w:left w:val="nil"/>
              <w:bottom w:val="single" w:sz="4" w:space="0" w:color="auto"/>
              <w:right w:val="single" w:sz="4" w:space="0" w:color="auto"/>
            </w:tcBorders>
            <w:shd w:val="clear" w:color="auto" w:fill="auto"/>
            <w:noWrap/>
            <w:vAlign w:val="bottom"/>
          </w:tcPr>
          <w:p w14:paraId="7E0075BA" w14:textId="0F5001AB" w:rsidR="00300EE7" w:rsidRPr="00205C60" w:rsidRDefault="00FD7F21" w:rsidP="003E0FEE">
            <w:pPr>
              <w:jc w:val="right"/>
              <w:rPr>
                <w:rFonts w:ascii="Arial" w:hAnsi="Arial" w:cs="Arial"/>
                <w:color w:val="000000"/>
                <w:sz w:val="18"/>
                <w:szCs w:val="18"/>
                <w:lang w:val="es-CR" w:eastAsia="es-CR"/>
              </w:rPr>
            </w:pPr>
            <w:r w:rsidRPr="00205C60">
              <w:rPr>
                <w:rFonts w:ascii="Arial" w:hAnsi="Arial" w:cs="Arial"/>
                <w:color w:val="000000"/>
                <w:sz w:val="18"/>
                <w:szCs w:val="18"/>
                <w:lang w:val="es-CR" w:eastAsia="es-CR"/>
              </w:rPr>
              <w:t>-</w:t>
            </w:r>
            <w:r w:rsidR="002C64B7" w:rsidRPr="00205C60">
              <w:rPr>
                <w:rFonts w:ascii="Arial" w:hAnsi="Arial" w:cs="Arial"/>
                <w:color w:val="000000"/>
                <w:sz w:val="18"/>
                <w:szCs w:val="18"/>
                <w:lang w:val="es-CR" w:eastAsia="es-CR"/>
              </w:rPr>
              <w:t>227 277</w:t>
            </w:r>
          </w:p>
        </w:tc>
        <w:tc>
          <w:tcPr>
            <w:tcW w:w="1158" w:type="dxa"/>
            <w:tcBorders>
              <w:top w:val="nil"/>
              <w:left w:val="nil"/>
              <w:bottom w:val="single" w:sz="4" w:space="0" w:color="auto"/>
              <w:right w:val="single" w:sz="4" w:space="0" w:color="auto"/>
            </w:tcBorders>
            <w:shd w:val="clear" w:color="auto" w:fill="auto"/>
            <w:noWrap/>
            <w:vAlign w:val="bottom"/>
            <w:hideMark/>
          </w:tcPr>
          <w:p w14:paraId="72B1523C" w14:textId="5447EF7E" w:rsidR="00300EE7" w:rsidRPr="00205C60" w:rsidRDefault="00AB5025" w:rsidP="00300EE7">
            <w:pPr>
              <w:jc w:val="right"/>
              <w:rPr>
                <w:rFonts w:ascii="Arial" w:hAnsi="Arial" w:cs="Arial"/>
                <w:color w:val="000000"/>
                <w:sz w:val="18"/>
                <w:szCs w:val="18"/>
                <w:lang w:val="es-CR" w:eastAsia="es-CR"/>
              </w:rPr>
            </w:pPr>
            <w:r w:rsidRPr="00205C60">
              <w:rPr>
                <w:rFonts w:ascii="Arial" w:hAnsi="Arial" w:cs="Arial"/>
                <w:color w:val="000000"/>
                <w:sz w:val="18"/>
                <w:szCs w:val="18"/>
                <w:lang w:val="es-CR" w:eastAsia="es-CR"/>
              </w:rPr>
              <w:t>-</w:t>
            </w:r>
            <w:r w:rsidR="00645D53" w:rsidRPr="00205C60">
              <w:rPr>
                <w:rFonts w:ascii="Arial" w:hAnsi="Arial" w:cs="Arial"/>
                <w:color w:val="000000"/>
                <w:sz w:val="18"/>
                <w:szCs w:val="18"/>
                <w:lang w:val="es-CR" w:eastAsia="es-CR"/>
              </w:rPr>
              <w:t>1</w:t>
            </w:r>
            <w:r w:rsidR="00300EE7" w:rsidRPr="00205C60">
              <w:rPr>
                <w:rFonts w:ascii="Arial" w:hAnsi="Arial" w:cs="Arial"/>
                <w:color w:val="000000"/>
                <w:sz w:val="18"/>
                <w:szCs w:val="18"/>
                <w:lang w:val="es-CR" w:eastAsia="es-CR"/>
              </w:rPr>
              <w:t>,</w:t>
            </w:r>
            <w:r w:rsidR="00645D53" w:rsidRPr="00205C60">
              <w:rPr>
                <w:rFonts w:ascii="Arial" w:hAnsi="Arial" w:cs="Arial"/>
                <w:color w:val="000000"/>
                <w:sz w:val="18"/>
                <w:szCs w:val="18"/>
                <w:lang w:val="es-CR" w:eastAsia="es-CR"/>
              </w:rPr>
              <w:t>20</w:t>
            </w:r>
            <w:r w:rsidR="00300EE7" w:rsidRPr="00205C60">
              <w:rPr>
                <w:rFonts w:ascii="Arial" w:hAnsi="Arial" w:cs="Arial"/>
                <w:color w:val="000000"/>
                <w:sz w:val="18"/>
                <w:szCs w:val="18"/>
                <w:lang w:val="es-CR" w:eastAsia="es-CR"/>
              </w:rPr>
              <w:t>%</w:t>
            </w:r>
          </w:p>
        </w:tc>
      </w:tr>
      <w:tr w:rsidR="00300EE7" w:rsidRPr="00205C60" w14:paraId="79F42FA0" w14:textId="77777777" w:rsidTr="00EF4C10">
        <w:trPr>
          <w:trHeight w:val="220"/>
        </w:trPr>
        <w:tc>
          <w:tcPr>
            <w:tcW w:w="3738" w:type="dxa"/>
            <w:tcBorders>
              <w:top w:val="nil"/>
              <w:left w:val="single" w:sz="4" w:space="0" w:color="auto"/>
              <w:bottom w:val="nil"/>
              <w:right w:val="nil"/>
            </w:tcBorders>
            <w:shd w:val="clear" w:color="auto" w:fill="auto"/>
            <w:noWrap/>
            <w:vAlign w:val="bottom"/>
            <w:hideMark/>
          </w:tcPr>
          <w:p w14:paraId="57EC577E" w14:textId="77777777" w:rsidR="00300EE7" w:rsidRPr="00205C60" w:rsidRDefault="00300EE7" w:rsidP="00300EE7">
            <w:pPr>
              <w:rPr>
                <w:rFonts w:ascii="Arial" w:hAnsi="Arial" w:cs="Arial"/>
                <w:b/>
                <w:bCs/>
                <w:color w:val="000000"/>
                <w:sz w:val="18"/>
                <w:szCs w:val="18"/>
                <w:lang w:val="es-CR" w:eastAsia="es-CR"/>
              </w:rPr>
            </w:pPr>
            <w:r w:rsidRPr="00205C60">
              <w:rPr>
                <w:rFonts w:ascii="Arial" w:hAnsi="Arial" w:cs="Arial"/>
                <w:b/>
                <w:bCs/>
                <w:color w:val="000000"/>
                <w:sz w:val="18"/>
                <w:szCs w:val="18"/>
                <w:lang w:val="es-CR" w:eastAsia="es-CR"/>
              </w:rPr>
              <w:t>Total Costos Operación</w:t>
            </w:r>
          </w:p>
        </w:tc>
        <w:tc>
          <w:tcPr>
            <w:tcW w:w="1425" w:type="dxa"/>
            <w:tcBorders>
              <w:top w:val="nil"/>
              <w:left w:val="single" w:sz="4" w:space="0" w:color="auto"/>
              <w:bottom w:val="single" w:sz="4" w:space="0" w:color="auto"/>
              <w:right w:val="single" w:sz="4" w:space="0" w:color="auto"/>
            </w:tcBorders>
            <w:shd w:val="clear" w:color="auto" w:fill="auto"/>
            <w:noWrap/>
            <w:vAlign w:val="bottom"/>
            <w:hideMark/>
          </w:tcPr>
          <w:p w14:paraId="20E551E5" w14:textId="7092147A" w:rsidR="00300EE7" w:rsidRPr="00205C60" w:rsidRDefault="00300EE7" w:rsidP="00300EE7">
            <w:pPr>
              <w:rPr>
                <w:rFonts w:ascii="Arial" w:hAnsi="Arial" w:cs="Arial"/>
                <w:b/>
                <w:bCs/>
                <w:color w:val="000000"/>
                <w:sz w:val="18"/>
                <w:szCs w:val="18"/>
                <w:lang w:val="es-CR" w:eastAsia="es-CR"/>
              </w:rPr>
            </w:pPr>
            <w:r w:rsidRPr="00205C60">
              <w:rPr>
                <w:rFonts w:ascii="Arial" w:hAnsi="Arial" w:cs="Arial"/>
                <w:b/>
                <w:bCs/>
                <w:color w:val="000000"/>
                <w:sz w:val="18"/>
                <w:szCs w:val="18"/>
                <w:lang w:val="es-CR" w:eastAsia="es-CR"/>
              </w:rPr>
              <w:t xml:space="preserve">  199 149 688 </w:t>
            </w:r>
          </w:p>
        </w:tc>
        <w:tc>
          <w:tcPr>
            <w:tcW w:w="1359" w:type="dxa"/>
            <w:tcBorders>
              <w:top w:val="nil"/>
              <w:left w:val="nil"/>
              <w:bottom w:val="single" w:sz="4" w:space="0" w:color="auto"/>
              <w:right w:val="single" w:sz="4" w:space="0" w:color="auto"/>
            </w:tcBorders>
            <w:shd w:val="clear" w:color="auto" w:fill="auto"/>
            <w:noWrap/>
            <w:vAlign w:val="bottom"/>
            <w:hideMark/>
          </w:tcPr>
          <w:p w14:paraId="18837EDB" w14:textId="1B93B53B" w:rsidR="00300EE7" w:rsidRPr="00205C60" w:rsidRDefault="00300EE7" w:rsidP="00300EE7">
            <w:pPr>
              <w:rPr>
                <w:rFonts w:ascii="Arial" w:hAnsi="Arial" w:cs="Arial"/>
                <w:b/>
                <w:bCs/>
                <w:color w:val="000000"/>
                <w:sz w:val="18"/>
                <w:szCs w:val="18"/>
                <w:lang w:val="es-CR" w:eastAsia="es-CR"/>
              </w:rPr>
            </w:pPr>
            <w:r w:rsidRPr="00205C60">
              <w:rPr>
                <w:rFonts w:ascii="Arial" w:hAnsi="Arial" w:cs="Arial"/>
                <w:b/>
                <w:bCs/>
                <w:color w:val="000000"/>
                <w:sz w:val="18"/>
                <w:szCs w:val="18"/>
                <w:lang w:val="es-CR" w:eastAsia="es-CR"/>
              </w:rPr>
              <w:t xml:space="preserve">  </w:t>
            </w:r>
            <w:r w:rsidR="00FF5299" w:rsidRPr="00205C60">
              <w:rPr>
                <w:rFonts w:ascii="Arial" w:hAnsi="Arial" w:cs="Arial"/>
                <w:b/>
                <w:bCs/>
                <w:color w:val="000000"/>
                <w:sz w:val="18"/>
                <w:szCs w:val="18"/>
                <w:lang w:val="es-CR" w:eastAsia="es-CR"/>
              </w:rPr>
              <w:t>205</w:t>
            </w:r>
            <w:r w:rsidR="0053522C" w:rsidRPr="00205C60">
              <w:rPr>
                <w:rFonts w:ascii="Arial" w:hAnsi="Arial" w:cs="Arial"/>
                <w:b/>
                <w:bCs/>
                <w:color w:val="000000"/>
                <w:sz w:val="18"/>
                <w:szCs w:val="18"/>
                <w:lang w:val="es-CR" w:eastAsia="es-CR"/>
              </w:rPr>
              <w:t xml:space="preserve"> 470 136</w:t>
            </w:r>
            <w:r w:rsidRPr="00205C60">
              <w:rPr>
                <w:rFonts w:ascii="Arial" w:hAnsi="Arial" w:cs="Arial"/>
                <w:b/>
                <w:bCs/>
                <w:color w:val="000000"/>
                <w:sz w:val="18"/>
                <w:szCs w:val="18"/>
                <w:lang w:val="es-CR" w:eastAsia="es-CR"/>
              </w:rPr>
              <w:t xml:space="preserve"> </w:t>
            </w:r>
          </w:p>
        </w:tc>
        <w:tc>
          <w:tcPr>
            <w:tcW w:w="1553" w:type="dxa"/>
            <w:tcBorders>
              <w:top w:val="nil"/>
              <w:left w:val="nil"/>
              <w:bottom w:val="single" w:sz="4" w:space="0" w:color="auto"/>
              <w:right w:val="single" w:sz="4" w:space="0" w:color="auto"/>
            </w:tcBorders>
            <w:shd w:val="clear" w:color="auto" w:fill="auto"/>
            <w:noWrap/>
            <w:vAlign w:val="bottom"/>
          </w:tcPr>
          <w:p w14:paraId="07A66809" w14:textId="0B5CBC10" w:rsidR="00300EE7" w:rsidRPr="00205C60" w:rsidRDefault="002C64B7" w:rsidP="003E0FEE">
            <w:pPr>
              <w:jc w:val="right"/>
              <w:rPr>
                <w:rFonts w:ascii="Arial" w:hAnsi="Arial" w:cs="Arial"/>
                <w:b/>
                <w:bCs/>
                <w:color w:val="000000"/>
                <w:sz w:val="18"/>
                <w:szCs w:val="18"/>
                <w:lang w:val="es-CR" w:eastAsia="es-CR"/>
              </w:rPr>
            </w:pPr>
            <w:r w:rsidRPr="00205C60">
              <w:rPr>
                <w:rFonts w:ascii="Arial" w:hAnsi="Arial" w:cs="Arial"/>
                <w:b/>
                <w:bCs/>
                <w:color w:val="000000"/>
                <w:sz w:val="18"/>
                <w:szCs w:val="18"/>
                <w:lang w:val="es-CR" w:eastAsia="es-CR"/>
              </w:rPr>
              <w:t>6 320 448</w:t>
            </w:r>
          </w:p>
        </w:tc>
        <w:tc>
          <w:tcPr>
            <w:tcW w:w="1158" w:type="dxa"/>
            <w:tcBorders>
              <w:top w:val="nil"/>
              <w:left w:val="nil"/>
              <w:bottom w:val="single" w:sz="4" w:space="0" w:color="auto"/>
              <w:right w:val="single" w:sz="4" w:space="0" w:color="auto"/>
            </w:tcBorders>
            <w:shd w:val="clear" w:color="auto" w:fill="auto"/>
            <w:noWrap/>
            <w:vAlign w:val="bottom"/>
            <w:hideMark/>
          </w:tcPr>
          <w:p w14:paraId="15F1D7E5" w14:textId="66BB9E6C" w:rsidR="00300EE7" w:rsidRPr="00205C60" w:rsidRDefault="00645D53" w:rsidP="00300EE7">
            <w:pPr>
              <w:jc w:val="right"/>
              <w:rPr>
                <w:rFonts w:ascii="Arial" w:hAnsi="Arial" w:cs="Arial"/>
                <w:b/>
                <w:bCs/>
                <w:color w:val="000000"/>
                <w:sz w:val="18"/>
                <w:szCs w:val="18"/>
                <w:lang w:val="es-CR" w:eastAsia="es-CR"/>
              </w:rPr>
            </w:pPr>
            <w:r w:rsidRPr="00205C60">
              <w:rPr>
                <w:rFonts w:ascii="Arial" w:hAnsi="Arial" w:cs="Arial"/>
                <w:b/>
                <w:bCs/>
                <w:color w:val="000000"/>
                <w:sz w:val="18"/>
                <w:szCs w:val="18"/>
                <w:lang w:val="es-CR" w:eastAsia="es-CR"/>
              </w:rPr>
              <w:t>3</w:t>
            </w:r>
            <w:r w:rsidR="00300EE7" w:rsidRPr="00205C60">
              <w:rPr>
                <w:rFonts w:ascii="Arial" w:hAnsi="Arial" w:cs="Arial"/>
                <w:b/>
                <w:bCs/>
                <w:color w:val="000000"/>
                <w:sz w:val="18"/>
                <w:szCs w:val="18"/>
                <w:lang w:val="es-CR" w:eastAsia="es-CR"/>
              </w:rPr>
              <w:t>,</w:t>
            </w:r>
            <w:r w:rsidRPr="00205C60">
              <w:rPr>
                <w:rFonts w:ascii="Arial" w:hAnsi="Arial" w:cs="Arial"/>
                <w:b/>
                <w:bCs/>
                <w:color w:val="000000"/>
                <w:sz w:val="18"/>
                <w:szCs w:val="18"/>
                <w:lang w:val="es-CR" w:eastAsia="es-CR"/>
              </w:rPr>
              <w:t>17</w:t>
            </w:r>
            <w:r w:rsidR="00300EE7" w:rsidRPr="00205C60">
              <w:rPr>
                <w:rFonts w:ascii="Arial" w:hAnsi="Arial" w:cs="Arial"/>
                <w:b/>
                <w:bCs/>
                <w:color w:val="000000"/>
                <w:sz w:val="18"/>
                <w:szCs w:val="18"/>
                <w:lang w:val="es-CR" w:eastAsia="es-CR"/>
              </w:rPr>
              <w:t>%</w:t>
            </w:r>
          </w:p>
        </w:tc>
      </w:tr>
      <w:tr w:rsidR="00300EE7" w:rsidRPr="00205C60" w14:paraId="1520C837" w14:textId="77777777" w:rsidTr="00EF4C10">
        <w:trPr>
          <w:trHeight w:val="220"/>
        </w:trPr>
        <w:tc>
          <w:tcPr>
            <w:tcW w:w="3738" w:type="dxa"/>
            <w:tcBorders>
              <w:top w:val="nil"/>
              <w:left w:val="single" w:sz="4" w:space="0" w:color="auto"/>
              <w:bottom w:val="nil"/>
              <w:right w:val="nil"/>
            </w:tcBorders>
            <w:shd w:val="clear" w:color="auto" w:fill="auto"/>
            <w:noWrap/>
            <w:vAlign w:val="bottom"/>
            <w:hideMark/>
          </w:tcPr>
          <w:p w14:paraId="27D3F940" w14:textId="77777777" w:rsidR="00300EE7" w:rsidRPr="00205C60" w:rsidRDefault="00300EE7" w:rsidP="00300EE7">
            <w:pPr>
              <w:rPr>
                <w:rFonts w:ascii="Arial" w:hAnsi="Arial" w:cs="Arial"/>
                <w:color w:val="000000"/>
                <w:sz w:val="18"/>
                <w:szCs w:val="18"/>
                <w:lang w:val="es-CR" w:eastAsia="es-CR"/>
              </w:rPr>
            </w:pPr>
            <w:r w:rsidRPr="00205C60">
              <w:rPr>
                <w:rFonts w:ascii="Arial" w:hAnsi="Arial" w:cs="Arial"/>
                <w:color w:val="000000"/>
                <w:sz w:val="18"/>
                <w:szCs w:val="18"/>
                <w:lang w:val="es-CR" w:eastAsia="es-CR"/>
              </w:rPr>
              <w:t> </w:t>
            </w:r>
          </w:p>
        </w:tc>
        <w:tc>
          <w:tcPr>
            <w:tcW w:w="1425" w:type="dxa"/>
            <w:tcBorders>
              <w:top w:val="nil"/>
              <w:left w:val="nil"/>
              <w:bottom w:val="nil"/>
              <w:right w:val="nil"/>
            </w:tcBorders>
            <w:shd w:val="clear" w:color="auto" w:fill="auto"/>
            <w:noWrap/>
            <w:vAlign w:val="bottom"/>
            <w:hideMark/>
          </w:tcPr>
          <w:p w14:paraId="0A0DC3ED" w14:textId="77777777" w:rsidR="00300EE7" w:rsidRPr="00205C60" w:rsidRDefault="00300EE7" w:rsidP="00300EE7">
            <w:pPr>
              <w:rPr>
                <w:rFonts w:ascii="Arial" w:hAnsi="Arial" w:cs="Arial"/>
                <w:color w:val="000000"/>
                <w:sz w:val="18"/>
                <w:szCs w:val="18"/>
                <w:lang w:val="es-CR" w:eastAsia="es-CR"/>
              </w:rPr>
            </w:pPr>
          </w:p>
        </w:tc>
        <w:tc>
          <w:tcPr>
            <w:tcW w:w="1359" w:type="dxa"/>
            <w:tcBorders>
              <w:top w:val="nil"/>
              <w:left w:val="nil"/>
              <w:bottom w:val="nil"/>
              <w:right w:val="nil"/>
            </w:tcBorders>
            <w:shd w:val="clear" w:color="auto" w:fill="auto"/>
            <w:noWrap/>
            <w:vAlign w:val="bottom"/>
            <w:hideMark/>
          </w:tcPr>
          <w:p w14:paraId="4D220D00" w14:textId="77777777" w:rsidR="00300EE7" w:rsidRPr="00205C60" w:rsidRDefault="00300EE7" w:rsidP="00300EE7">
            <w:pPr>
              <w:rPr>
                <w:sz w:val="18"/>
                <w:szCs w:val="18"/>
                <w:lang w:val="es-CR" w:eastAsia="es-CR"/>
              </w:rPr>
            </w:pPr>
          </w:p>
        </w:tc>
        <w:tc>
          <w:tcPr>
            <w:tcW w:w="1553" w:type="dxa"/>
            <w:tcBorders>
              <w:top w:val="nil"/>
              <w:left w:val="nil"/>
              <w:bottom w:val="nil"/>
              <w:right w:val="nil"/>
            </w:tcBorders>
            <w:shd w:val="clear" w:color="auto" w:fill="auto"/>
            <w:noWrap/>
            <w:vAlign w:val="bottom"/>
          </w:tcPr>
          <w:p w14:paraId="2E5991CB" w14:textId="77777777" w:rsidR="00300EE7" w:rsidRPr="00205C60" w:rsidRDefault="00300EE7" w:rsidP="003E0FEE">
            <w:pPr>
              <w:jc w:val="right"/>
              <w:rPr>
                <w:sz w:val="18"/>
                <w:szCs w:val="18"/>
                <w:lang w:val="es-CR" w:eastAsia="es-CR"/>
              </w:rPr>
            </w:pPr>
          </w:p>
        </w:tc>
        <w:tc>
          <w:tcPr>
            <w:tcW w:w="1158" w:type="dxa"/>
            <w:tcBorders>
              <w:top w:val="nil"/>
              <w:left w:val="nil"/>
              <w:bottom w:val="nil"/>
              <w:right w:val="nil"/>
            </w:tcBorders>
            <w:shd w:val="clear" w:color="auto" w:fill="auto"/>
            <w:noWrap/>
            <w:vAlign w:val="bottom"/>
            <w:hideMark/>
          </w:tcPr>
          <w:p w14:paraId="3D3AD597" w14:textId="77777777" w:rsidR="00300EE7" w:rsidRPr="00205C60" w:rsidRDefault="00300EE7" w:rsidP="00300EE7">
            <w:pPr>
              <w:rPr>
                <w:sz w:val="18"/>
                <w:szCs w:val="18"/>
                <w:lang w:val="es-CR" w:eastAsia="es-CR"/>
              </w:rPr>
            </w:pPr>
          </w:p>
        </w:tc>
      </w:tr>
      <w:tr w:rsidR="00300EE7" w:rsidRPr="00205C60" w14:paraId="68F2D457" w14:textId="77777777" w:rsidTr="00EF4C10">
        <w:trPr>
          <w:trHeight w:val="220"/>
        </w:trPr>
        <w:tc>
          <w:tcPr>
            <w:tcW w:w="3738" w:type="dxa"/>
            <w:tcBorders>
              <w:top w:val="nil"/>
              <w:left w:val="single" w:sz="4" w:space="0" w:color="auto"/>
              <w:bottom w:val="nil"/>
              <w:right w:val="nil"/>
            </w:tcBorders>
            <w:shd w:val="clear" w:color="auto" w:fill="auto"/>
            <w:noWrap/>
            <w:vAlign w:val="bottom"/>
            <w:hideMark/>
          </w:tcPr>
          <w:p w14:paraId="25ADAEF6" w14:textId="77777777" w:rsidR="00300EE7" w:rsidRPr="00205C60" w:rsidRDefault="00300EE7" w:rsidP="00300EE7">
            <w:pPr>
              <w:rPr>
                <w:rFonts w:ascii="Arial" w:hAnsi="Arial" w:cs="Arial"/>
                <w:b/>
                <w:bCs/>
                <w:color w:val="000000"/>
                <w:sz w:val="18"/>
                <w:szCs w:val="18"/>
                <w:lang w:val="es-CR" w:eastAsia="es-CR"/>
              </w:rPr>
            </w:pPr>
            <w:r w:rsidRPr="00205C60">
              <w:rPr>
                <w:rFonts w:ascii="Arial" w:hAnsi="Arial" w:cs="Arial"/>
                <w:b/>
                <w:bCs/>
                <w:color w:val="000000"/>
                <w:sz w:val="18"/>
                <w:szCs w:val="18"/>
                <w:lang w:val="es-CR" w:eastAsia="es-CR"/>
              </w:rPr>
              <w:t>Gasto de Personal y Administrativos</w:t>
            </w:r>
          </w:p>
        </w:tc>
        <w:tc>
          <w:tcPr>
            <w:tcW w:w="1425" w:type="dxa"/>
            <w:tcBorders>
              <w:top w:val="nil"/>
              <w:left w:val="nil"/>
              <w:bottom w:val="nil"/>
              <w:right w:val="nil"/>
            </w:tcBorders>
            <w:shd w:val="clear" w:color="auto" w:fill="auto"/>
            <w:noWrap/>
            <w:vAlign w:val="bottom"/>
            <w:hideMark/>
          </w:tcPr>
          <w:p w14:paraId="131DEA10" w14:textId="77777777" w:rsidR="00300EE7" w:rsidRPr="00205C60" w:rsidRDefault="00300EE7" w:rsidP="00300EE7">
            <w:pPr>
              <w:rPr>
                <w:rFonts w:ascii="Arial" w:hAnsi="Arial" w:cs="Arial"/>
                <w:b/>
                <w:bCs/>
                <w:color w:val="000000"/>
                <w:sz w:val="18"/>
                <w:szCs w:val="18"/>
                <w:lang w:val="es-CR" w:eastAsia="es-CR"/>
              </w:rPr>
            </w:pPr>
          </w:p>
        </w:tc>
        <w:tc>
          <w:tcPr>
            <w:tcW w:w="1359" w:type="dxa"/>
            <w:tcBorders>
              <w:top w:val="nil"/>
              <w:left w:val="nil"/>
              <w:bottom w:val="nil"/>
              <w:right w:val="nil"/>
            </w:tcBorders>
            <w:shd w:val="clear" w:color="auto" w:fill="auto"/>
            <w:noWrap/>
            <w:vAlign w:val="bottom"/>
            <w:hideMark/>
          </w:tcPr>
          <w:p w14:paraId="7DA9215B" w14:textId="77777777" w:rsidR="00300EE7" w:rsidRPr="00205C60" w:rsidRDefault="00300EE7" w:rsidP="00300EE7">
            <w:pPr>
              <w:rPr>
                <w:sz w:val="18"/>
                <w:szCs w:val="18"/>
                <w:lang w:val="es-CR" w:eastAsia="es-CR"/>
              </w:rPr>
            </w:pPr>
          </w:p>
        </w:tc>
        <w:tc>
          <w:tcPr>
            <w:tcW w:w="1553" w:type="dxa"/>
            <w:tcBorders>
              <w:top w:val="nil"/>
              <w:left w:val="nil"/>
              <w:bottom w:val="nil"/>
              <w:right w:val="nil"/>
            </w:tcBorders>
            <w:shd w:val="clear" w:color="auto" w:fill="auto"/>
            <w:noWrap/>
            <w:vAlign w:val="bottom"/>
          </w:tcPr>
          <w:p w14:paraId="5C718D14" w14:textId="77777777" w:rsidR="00300EE7" w:rsidRPr="00205C60" w:rsidRDefault="00300EE7" w:rsidP="003E0FEE">
            <w:pPr>
              <w:jc w:val="right"/>
              <w:rPr>
                <w:sz w:val="18"/>
                <w:szCs w:val="18"/>
                <w:lang w:val="es-CR" w:eastAsia="es-CR"/>
              </w:rPr>
            </w:pPr>
          </w:p>
        </w:tc>
        <w:tc>
          <w:tcPr>
            <w:tcW w:w="1158" w:type="dxa"/>
            <w:tcBorders>
              <w:top w:val="nil"/>
              <w:left w:val="nil"/>
              <w:bottom w:val="nil"/>
              <w:right w:val="nil"/>
            </w:tcBorders>
            <w:shd w:val="clear" w:color="auto" w:fill="auto"/>
            <w:noWrap/>
            <w:vAlign w:val="bottom"/>
            <w:hideMark/>
          </w:tcPr>
          <w:p w14:paraId="0B3E1D33" w14:textId="77777777" w:rsidR="00300EE7" w:rsidRPr="00205C60" w:rsidRDefault="00300EE7" w:rsidP="00300EE7">
            <w:pPr>
              <w:rPr>
                <w:sz w:val="18"/>
                <w:szCs w:val="18"/>
                <w:lang w:val="es-CR" w:eastAsia="es-CR"/>
              </w:rPr>
            </w:pPr>
          </w:p>
        </w:tc>
      </w:tr>
      <w:tr w:rsidR="00300EE7" w:rsidRPr="00205C60" w14:paraId="3333B6FC" w14:textId="77777777" w:rsidTr="00EF4C10">
        <w:trPr>
          <w:trHeight w:val="220"/>
        </w:trPr>
        <w:tc>
          <w:tcPr>
            <w:tcW w:w="3738" w:type="dxa"/>
            <w:tcBorders>
              <w:top w:val="nil"/>
              <w:left w:val="single" w:sz="4" w:space="0" w:color="auto"/>
              <w:bottom w:val="nil"/>
              <w:right w:val="nil"/>
            </w:tcBorders>
            <w:shd w:val="clear" w:color="auto" w:fill="auto"/>
            <w:noWrap/>
            <w:vAlign w:val="bottom"/>
            <w:hideMark/>
          </w:tcPr>
          <w:p w14:paraId="46C8EAE4" w14:textId="77777777" w:rsidR="00300EE7" w:rsidRPr="00205C60" w:rsidRDefault="00300EE7" w:rsidP="00300EE7">
            <w:pPr>
              <w:rPr>
                <w:rFonts w:ascii="Arial" w:hAnsi="Arial" w:cs="Arial"/>
                <w:color w:val="000000"/>
                <w:sz w:val="18"/>
                <w:szCs w:val="18"/>
                <w:lang w:val="es-CR" w:eastAsia="es-CR"/>
              </w:rPr>
            </w:pPr>
            <w:r w:rsidRPr="00205C60">
              <w:rPr>
                <w:rFonts w:ascii="Arial" w:hAnsi="Arial" w:cs="Arial"/>
                <w:color w:val="000000"/>
                <w:sz w:val="18"/>
                <w:szCs w:val="18"/>
                <w:lang w:val="es-CR" w:eastAsia="es-CR"/>
              </w:rPr>
              <w:t>Gastos de consumidores</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80C24" w14:textId="17C0D599" w:rsidR="00300EE7" w:rsidRPr="00205C60" w:rsidRDefault="00300EE7" w:rsidP="00300EE7">
            <w:pPr>
              <w:rPr>
                <w:rFonts w:ascii="Arial" w:hAnsi="Arial" w:cs="Arial"/>
                <w:color w:val="000000"/>
                <w:sz w:val="18"/>
                <w:szCs w:val="18"/>
                <w:lang w:val="es-CR" w:eastAsia="es-CR"/>
              </w:rPr>
            </w:pPr>
            <w:r w:rsidRPr="00205C60">
              <w:rPr>
                <w:rFonts w:ascii="Arial" w:hAnsi="Arial" w:cs="Arial"/>
                <w:color w:val="000000"/>
                <w:sz w:val="18"/>
                <w:szCs w:val="18"/>
                <w:lang w:val="es-CR" w:eastAsia="es-CR"/>
              </w:rPr>
              <w:t xml:space="preserve">    </w:t>
            </w:r>
            <w:r w:rsidR="00A41295" w:rsidRPr="00205C60">
              <w:rPr>
                <w:rFonts w:ascii="Arial" w:hAnsi="Arial" w:cs="Arial"/>
                <w:color w:val="000000"/>
                <w:sz w:val="18"/>
                <w:szCs w:val="18"/>
                <w:lang w:val="es-CR" w:eastAsia="es-CR"/>
              </w:rPr>
              <w:t>23</w:t>
            </w:r>
            <w:r w:rsidRPr="00205C60">
              <w:rPr>
                <w:rFonts w:ascii="Arial" w:hAnsi="Arial" w:cs="Arial"/>
                <w:color w:val="000000"/>
                <w:sz w:val="18"/>
                <w:szCs w:val="18"/>
                <w:lang w:val="es-CR" w:eastAsia="es-CR"/>
              </w:rPr>
              <w:t xml:space="preserve"> </w:t>
            </w:r>
            <w:r w:rsidR="00A41295" w:rsidRPr="00205C60">
              <w:rPr>
                <w:rFonts w:ascii="Arial" w:hAnsi="Arial" w:cs="Arial"/>
                <w:color w:val="000000"/>
                <w:sz w:val="18"/>
                <w:szCs w:val="18"/>
                <w:lang w:val="es-CR" w:eastAsia="es-CR"/>
              </w:rPr>
              <w:t>250</w:t>
            </w:r>
            <w:r w:rsidR="002C2091" w:rsidRPr="00205C60">
              <w:rPr>
                <w:rFonts w:ascii="Arial" w:hAnsi="Arial" w:cs="Arial"/>
                <w:color w:val="000000"/>
                <w:sz w:val="18"/>
                <w:szCs w:val="18"/>
                <w:lang w:val="es-CR" w:eastAsia="es-CR"/>
              </w:rPr>
              <w:t xml:space="preserve"> </w:t>
            </w:r>
            <w:r w:rsidR="002E6D92" w:rsidRPr="00205C60">
              <w:rPr>
                <w:rFonts w:ascii="Arial" w:hAnsi="Arial" w:cs="Arial"/>
                <w:color w:val="000000"/>
                <w:sz w:val="18"/>
                <w:szCs w:val="18"/>
                <w:lang w:val="es-CR" w:eastAsia="es-CR"/>
              </w:rPr>
              <w:t>793</w:t>
            </w:r>
            <w:r w:rsidRPr="00205C60">
              <w:rPr>
                <w:rFonts w:ascii="Arial" w:hAnsi="Arial" w:cs="Arial"/>
                <w:color w:val="000000"/>
                <w:sz w:val="18"/>
                <w:szCs w:val="18"/>
                <w:lang w:val="es-CR" w:eastAsia="es-CR"/>
              </w:rPr>
              <w:t xml:space="preserve"> </w:t>
            </w:r>
          </w:p>
        </w:tc>
        <w:tc>
          <w:tcPr>
            <w:tcW w:w="1359" w:type="dxa"/>
            <w:tcBorders>
              <w:top w:val="single" w:sz="4" w:space="0" w:color="auto"/>
              <w:left w:val="nil"/>
              <w:bottom w:val="single" w:sz="4" w:space="0" w:color="auto"/>
              <w:right w:val="single" w:sz="4" w:space="0" w:color="auto"/>
            </w:tcBorders>
            <w:shd w:val="clear" w:color="auto" w:fill="auto"/>
            <w:noWrap/>
            <w:vAlign w:val="bottom"/>
          </w:tcPr>
          <w:p w14:paraId="75267659" w14:textId="69BE0B2D" w:rsidR="0053522C" w:rsidRPr="00205C60" w:rsidRDefault="0053522C" w:rsidP="00165BB1">
            <w:pPr>
              <w:jc w:val="right"/>
              <w:rPr>
                <w:rFonts w:ascii="Arial" w:hAnsi="Arial" w:cs="Arial"/>
                <w:color w:val="000000"/>
                <w:sz w:val="18"/>
                <w:szCs w:val="18"/>
                <w:lang w:val="es-CR" w:eastAsia="es-CR"/>
              </w:rPr>
            </w:pPr>
            <w:r w:rsidRPr="00205C60">
              <w:rPr>
                <w:rFonts w:ascii="Arial" w:hAnsi="Arial" w:cs="Arial"/>
                <w:color w:val="000000"/>
                <w:sz w:val="18"/>
                <w:szCs w:val="18"/>
                <w:lang w:val="es-CR" w:eastAsia="es-CR"/>
              </w:rPr>
              <w:t>18 823 611</w:t>
            </w:r>
          </w:p>
        </w:tc>
        <w:tc>
          <w:tcPr>
            <w:tcW w:w="1553" w:type="dxa"/>
            <w:tcBorders>
              <w:top w:val="single" w:sz="4" w:space="0" w:color="auto"/>
              <w:left w:val="nil"/>
              <w:bottom w:val="single" w:sz="4" w:space="0" w:color="auto"/>
              <w:right w:val="single" w:sz="4" w:space="0" w:color="auto"/>
            </w:tcBorders>
            <w:shd w:val="clear" w:color="auto" w:fill="auto"/>
            <w:noWrap/>
            <w:vAlign w:val="bottom"/>
          </w:tcPr>
          <w:p w14:paraId="5F973A27" w14:textId="206BB763" w:rsidR="00300EE7" w:rsidRPr="00205C60" w:rsidRDefault="00FD7F21" w:rsidP="003E0FEE">
            <w:pPr>
              <w:jc w:val="right"/>
              <w:rPr>
                <w:rFonts w:ascii="Arial" w:hAnsi="Arial" w:cs="Arial"/>
                <w:color w:val="000000"/>
                <w:sz w:val="18"/>
                <w:szCs w:val="18"/>
                <w:lang w:val="es-CR" w:eastAsia="es-CR"/>
              </w:rPr>
            </w:pPr>
            <w:r w:rsidRPr="00205C60">
              <w:rPr>
                <w:rFonts w:ascii="Arial" w:hAnsi="Arial" w:cs="Arial"/>
                <w:color w:val="000000"/>
                <w:sz w:val="18"/>
                <w:szCs w:val="18"/>
                <w:lang w:val="es-CR" w:eastAsia="es-CR"/>
              </w:rPr>
              <w:t>-</w:t>
            </w:r>
            <w:r w:rsidR="009A2360" w:rsidRPr="00205C60">
              <w:rPr>
                <w:rFonts w:ascii="Arial" w:hAnsi="Arial" w:cs="Arial"/>
                <w:color w:val="000000"/>
                <w:sz w:val="18"/>
                <w:szCs w:val="18"/>
                <w:lang w:val="es-CR" w:eastAsia="es-CR"/>
              </w:rPr>
              <w:t>4 427</w:t>
            </w:r>
            <w:r w:rsidR="003155B3" w:rsidRPr="00205C60">
              <w:rPr>
                <w:rFonts w:ascii="Arial" w:hAnsi="Arial" w:cs="Arial"/>
                <w:color w:val="000000"/>
                <w:sz w:val="18"/>
                <w:szCs w:val="18"/>
                <w:lang w:val="es-CR" w:eastAsia="es-CR"/>
              </w:rPr>
              <w:t xml:space="preserve"> 182</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14:paraId="479ED3E4" w14:textId="520156C4" w:rsidR="00300EE7" w:rsidRPr="00205C60" w:rsidRDefault="00AB5025" w:rsidP="00300EE7">
            <w:pPr>
              <w:jc w:val="right"/>
              <w:rPr>
                <w:rFonts w:ascii="Arial" w:hAnsi="Arial" w:cs="Arial"/>
                <w:color w:val="000000"/>
                <w:sz w:val="18"/>
                <w:szCs w:val="18"/>
                <w:lang w:val="es-CR" w:eastAsia="es-CR"/>
              </w:rPr>
            </w:pPr>
            <w:r w:rsidRPr="00205C60">
              <w:rPr>
                <w:rFonts w:ascii="Arial" w:hAnsi="Arial" w:cs="Arial"/>
                <w:color w:val="000000"/>
                <w:sz w:val="18"/>
                <w:szCs w:val="18"/>
                <w:lang w:val="es-CR" w:eastAsia="es-CR"/>
              </w:rPr>
              <w:t>-</w:t>
            </w:r>
            <w:r w:rsidR="00965BEF" w:rsidRPr="00205C60">
              <w:rPr>
                <w:rFonts w:ascii="Arial" w:hAnsi="Arial" w:cs="Arial"/>
                <w:color w:val="000000"/>
                <w:sz w:val="18"/>
                <w:szCs w:val="18"/>
                <w:lang w:val="es-CR" w:eastAsia="es-CR"/>
              </w:rPr>
              <w:t>19</w:t>
            </w:r>
            <w:r w:rsidR="00300EE7" w:rsidRPr="00205C60">
              <w:rPr>
                <w:rFonts w:ascii="Arial" w:hAnsi="Arial" w:cs="Arial"/>
                <w:color w:val="000000"/>
                <w:sz w:val="18"/>
                <w:szCs w:val="18"/>
                <w:lang w:val="es-CR" w:eastAsia="es-CR"/>
              </w:rPr>
              <w:t>,</w:t>
            </w:r>
            <w:r w:rsidR="00645D53" w:rsidRPr="00205C60">
              <w:rPr>
                <w:rFonts w:ascii="Arial" w:hAnsi="Arial" w:cs="Arial"/>
                <w:color w:val="000000"/>
                <w:sz w:val="18"/>
                <w:szCs w:val="18"/>
                <w:lang w:val="es-CR" w:eastAsia="es-CR"/>
              </w:rPr>
              <w:t>0</w:t>
            </w:r>
            <w:r w:rsidR="00965BEF" w:rsidRPr="00205C60">
              <w:rPr>
                <w:rFonts w:ascii="Arial" w:hAnsi="Arial" w:cs="Arial"/>
                <w:color w:val="000000"/>
                <w:sz w:val="18"/>
                <w:szCs w:val="18"/>
                <w:lang w:val="es-CR" w:eastAsia="es-CR"/>
              </w:rPr>
              <w:t>4</w:t>
            </w:r>
            <w:r w:rsidR="00300EE7" w:rsidRPr="00205C60">
              <w:rPr>
                <w:rFonts w:ascii="Arial" w:hAnsi="Arial" w:cs="Arial"/>
                <w:color w:val="000000"/>
                <w:sz w:val="18"/>
                <w:szCs w:val="18"/>
                <w:lang w:val="es-CR" w:eastAsia="es-CR"/>
              </w:rPr>
              <w:t>%</w:t>
            </w:r>
          </w:p>
        </w:tc>
      </w:tr>
      <w:tr w:rsidR="00300EE7" w:rsidRPr="00205C60" w14:paraId="346E1358" w14:textId="77777777" w:rsidTr="00EF4C10">
        <w:trPr>
          <w:trHeight w:val="220"/>
        </w:trPr>
        <w:tc>
          <w:tcPr>
            <w:tcW w:w="3738" w:type="dxa"/>
            <w:tcBorders>
              <w:top w:val="nil"/>
              <w:left w:val="single" w:sz="4" w:space="0" w:color="auto"/>
              <w:bottom w:val="nil"/>
              <w:right w:val="nil"/>
            </w:tcBorders>
            <w:shd w:val="clear" w:color="auto" w:fill="auto"/>
            <w:noWrap/>
            <w:vAlign w:val="bottom"/>
            <w:hideMark/>
          </w:tcPr>
          <w:p w14:paraId="61FF9D43" w14:textId="77777777" w:rsidR="00300EE7" w:rsidRPr="00205C60" w:rsidRDefault="00300EE7" w:rsidP="00300EE7">
            <w:pPr>
              <w:rPr>
                <w:rFonts w:ascii="Arial" w:hAnsi="Arial" w:cs="Arial"/>
                <w:color w:val="000000"/>
                <w:sz w:val="18"/>
                <w:szCs w:val="18"/>
                <w:lang w:val="es-CR" w:eastAsia="es-CR"/>
              </w:rPr>
            </w:pPr>
            <w:r w:rsidRPr="00205C60">
              <w:rPr>
                <w:rFonts w:ascii="Arial" w:hAnsi="Arial" w:cs="Arial"/>
                <w:color w:val="000000"/>
                <w:sz w:val="18"/>
                <w:szCs w:val="18"/>
                <w:lang w:val="es-CR" w:eastAsia="es-CR"/>
              </w:rPr>
              <w:t>Generales y administrativos</w:t>
            </w:r>
          </w:p>
        </w:tc>
        <w:tc>
          <w:tcPr>
            <w:tcW w:w="1425" w:type="dxa"/>
            <w:tcBorders>
              <w:top w:val="nil"/>
              <w:left w:val="single" w:sz="4" w:space="0" w:color="auto"/>
              <w:bottom w:val="single" w:sz="4" w:space="0" w:color="auto"/>
              <w:right w:val="single" w:sz="4" w:space="0" w:color="auto"/>
            </w:tcBorders>
            <w:shd w:val="clear" w:color="auto" w:fill="auto"/>
            <w:noWrap/>
            <w:vAlign w:val="bottom"/>
            <w:hideMark/>
          </w:tcPr>
          <w:p w14:paraId="26410AA1" w14:textId="04AA8AD8" w:rsidR="00300EE7" w:rsidRPr="00205C60" w:rsidRDefault="002E6D92" w:rsidP="00300EE7">
            <w:pPr>
              <w:rPr>
                <w:rFonts w:ascii="Arial" w:hAnsi="Arial" w:cs="Arial"/>
                <w:color w:val="000000"/>
                <w:sz w:val="18"/>
                <w:szCs w:val="18"/>
                <w:lang w:val="es-CR" w:eastAsia="es-CR"/>
              </w:rPr>
            </w:pPr>
            <w:r w:rsidRPr="00205C60">
              <w:rPr>
                <w:rFonts w:ascii="Arial" w:hAnsi="Arial" w:cs="Arial"/>
                <w:color w:val="000000"/>
                <w:sz w:val="18"/>
                <w:szCs w:val="18"/>
                <w:lang w:val="es-CR" w:eastAsia="es-CR"/>
              </w:rPr>
              <w:t xml:space="preserve">    24 735 939</w:t>
            </w:r>
            <w:r w:rsidR="00300EE7" w:rsidRPr="00205C60">
              <w:rPr>
                <w:rFonts w:ascii="Arial" w:hAnsi="Arial" w:cs="Arial"/>
                <w:color w:val="000000"/>
                <w:sz w:val="18"/>
                <w:szCs w:val="18"/>
                <w:lang w:val="es-CR" w:eastAsia="es-CR"/>
              </w:rPr>
              <w:t xml:space="preserve"> </w:t>
            </w:r>
          </w:p>
        </w:tc>
        <w:tc>
          <w:tcPr>
            <w:tcW w:w="1359" w:type="dxa"/>
            <w:tcBorders>
              <w:top w:val="nil"/>
              <w:left w:val="nil"/>
              <w:bottom w:val="single" w:sz="4" w:space="0" w:color="auto"/>
              <w:right w:val="single" w:sz="4" w:space="0" w:color="auto"/>
            </w:tcBorders>
            <w:shd w:val="clear" w:color="auto" w:fill="auto"/>
            <w:noWrap/>
            <w:vAlign w:val="bottom"/>
          </w:tcPr>
          <w:p w14:paraId="28417C8F" w14:textId="7C096042" w:rsidR="00300EE7" w:rsidRPr="00205C60" w:rsidRDefault="0053522C" w:rsidP="00165BB1">
            <w:pPr>
              <w:jc w:val="right"/>
              <w:rPr>
                <w:rFonts w:ascii="Arial" w:hAnsi="Arial" w:cs="Arial"/>
                <w:color w:val="000000"/>
                <w:sz w:val="18"/>
                <w:szCs w:val="18"/>
                <w:lang w:val="es-CR" w:eastAsia="es-CR"/>
              </w:rPr>
            </w:pPr>
            <w:r w:rsidRPr="00205C60">
              <w:rPr>
                <w:rFonts w:ascii="Arial" w:hAnsi="Arial" w:cs="Arial"/>
                <w:color w:val="000000"/>
                <w:sz w:val="18"/>
                <w:szCs w:val="18"/>
                <w:lang w:val="es-CR" w:eastAsia="es-CR"/>
              </w:rPr>
              <w:t>27 032 246</w:t>
            </w:r>
          </w:p>
        </w:tc>
        <w:tc>
          <w:tcPr>
            <w:tcW w:w="1553" w:type="dxa"/>
            <w:tcBorders>
              <w:top w:val="nil"/>
              <w:left w:val="nil"/>
              <w:bottom w:val="single" w:sz="4" w:space="0" w:color="auto"/>
              <w:right w:val="single" w:sz="4" w:space="0" w:color="auto"/>
            </w:tcBorders>
            <w:shd w:val="clear" w:color="auto" w:fill="auto"/>
            <w:noWrap/>
            <w:vAlign w:val="bottom"/>
          </w:tcPr>
          <w:p w14:paraId="73544B05" w14:textId="55A62F34" w:rsidR="00300EE7" w:rsidRPr="00205C60" w:rsidRDefault="003155B3" w:rsidP="003E0FEE">
            <w:pPr>
              <w:jc w:val="right"/>
              <w:rPr>
                <w:rFonts w:ascii="Arial" w:hAnsi="Arial" w:cs="Arial"/>
                <w:color w:val="000000"/>
                <w:sz w:val="18"/>
                <w:szCs w:val="18"/>
                <w:lang w:val="es-CR" w:eastAsia="es-CR"/>
              </w:rPr>
            </w:pPr>
            <w:r w:rsidRPr="00205C60">
              <w:rPr>
                <w:rFonts w:ascii="Arial" w:hAnsi="Arial" w:cs="Arial"/>
                <w:color w:val="000000"/>
                <w:sz w:val="18"/>
                <w:szCs w:val="18"/>
                <w:lang w:val="es-CR" w:eastAsia="es-CR"/>
              </w:rPr>
              <w:t>2</w:t>
            </w:r>
            <w:r w:rsidR="007910C0" w:rsidRPr="00205C60">
              <w:rPr>
                <w:rFonts w:ascii="Arial" w:hAnsi="Arial" w:cs="Arial"/>
                <w:color w:val="000000"/>
                <w:sz w:val="18"/>
                <w:szCs w:val="18"/>
                <w:lang w:val="es-CR" w:eastAsia="es-CR"/>
              </w:rPr>
              <w:t xml:space="preserve"> </w:t>
            </w:r>
            <w:r w:rsidRPr="00205C60">
              <w:rPr>
                <w:rFonts w:ascii="Arial" w:hAnsi="Arial" w:cs="Arial"/>
                <w:color w:val="000000"/>
                <w:sz w:val="18"/>
                <w:szCs w:val="18"/>
                <w:lang w:val="es-CR" w:eastAsia="es-CR"/>
              </w:rPr>
              <w:t>296</w:t>
            </w:r>
            <w:r w:rsidR="007910C0" w:rsidRPr="00205C60">
              <w:rPr>
                <w:rFonts w:ascii="Arial" w:hAnsi="Arial" w:cs="Arial"/>
                <w:color w:val="000000"/>
                <w:sz w:val="18"/>
                <w:szCs w:val="18"/>
                <w:lang w:val="es-CR" w:eastAsia="es-CR"/>
              </w:rPr>
              <w:t xml:space="preserve"> </w:t>
            </w:r>
            <w:r w:rsidRPr="00205C60">
              <w:rPr>
                <w:rFonts w:ascii="Arial" w:hAnsi="Arial" w:cs="Arial"/>
                <w:color w:val="000000"/>
                <w:sz w:val="18"/>
                <w:szCs w:val="18"/>
                <w:lang w:val="es-CR" w:eastAsia="es-CR"/>
              </w:rPr>
              <w:t>307</w:t>
            </w:r>
          </w:p>
        </w:tc>
        <w:tc>
          <w:tcPr>
            <w:tcW w:w="1158" w:type="dxa"/>
            <w:tcBorders>
              <w:top w:val="nil"/>
              <w:left w:val="nil"/>
              <w:bottom w:val="single" w:sz="4" w:space="0" w:color="auto"/>
              <w:right w:val="single" w:sz="4" w:space="0" w:color="auto"/>
            </w:tcBorders>
            <w:shd w:val="clear" w:color="auto" w:fill="auto"/>
            <w:noWrap/>
            <w:vAlign w:val="bottom"/>
            <w:hideMark/>
          </w:tcPr>
          <w:p w14:paraId="03CEED31" w14:textId="4DFB2385" w:rsidR="00300EE7" w:rsidRPr="00205C60" w:rsidRDefault="009A2360" w:rsidP="00300EE7">
            <w:pPr>
              <w:jc w:val="right"/>
              <w:rPr>
                <w:rFonts w:ascii="Arial" w:hAnsi="Arial" w:cs="Arial"/>
                <w:color w:val="000000"/>
                <w:sz w:val="18"/>
                <w:szCs w:val="18"/>
                <w:lang w:val="es-CR" w:eastAsia="es-CR"/>
              </w:rPr>
            </w:pPr>
            <w:r w:rsidRPr="00205C60">
              <w:rPr>
                <w:rFonts w:ascii="Arial" w:hAnsi="Arial" w:cs="Arial"/>
                <w:color w:val="000000"/>
                <w:sz w:val="18"/>
                <w:szCs w:val="18"/>
                <w:lang w:val="es-CR" w:eastAsia="es-CR"/>
              </w:rPr>
              <w:t>9</w:t>
            </w:r>
            <w:r w:rsidR="00300EE7" w:rsidRPr="00205C60">
              <w:rPr>
                <w:rFonts w:ascii="Arial" w:hAnsi="Arial" w:cs="Arial"/>
                <w:color w:val="000000"/>
                <w:sz w:val="18"/>
                <w:szCs w:val="18"/>
                <w:lang w:val="es-CR" w:eastAsia="es-CR"/>
              </w:rPr>
              <w:t>,</w:t>
            </w:r>
            <w:r w:rsidR="00645D53" w:rsidRPr="00205C60">
              <w:rPr>
                <w:rFonts w:ascii="Arial" w:hAnsi="Arial" w:cs="Arial"/>
                <w:color w:val="000000"/>
                <w:sz w:val="18"/>
                <w:szCs w:val="18"/>
                <w:lang w:val="es-CR" w:eastAsia="es-CR"/>
              </w:rPr>
              <w:t>28</w:t>
            </w:r>
            <w:r w:rsidR="00300EE7" w:rsidRPr="00205C60">
              <w:rPr>
                <w:rFonts w:ascii="Arial" w:hAnsi="Arial" w:cs="Arial"/>
                <w:color w:val="000000"/>
                <w:sz w:val="18"/>
                <w:szCs w:val="18"/>
                <w:lang w:val="es-CR" w:eastAsia="es-CR"/>
              </w:rPr>
              <w:t>%</w:t>
            </w:r>
          </w:p>
        </w:tc>
      </w:tr>
      <w:tr w:rsidR="00300EE7" w:rsidRPr="00205C60" w14:paraId="7E325A5D" w14:textId="77777777" w:rsidTr="00EF4C10">
        <w:trPr>
          <w:trHeight w:val="220"/>
        </w:trPr>
        <w:tc>
          <w:tcPr>
            <w:tcW w:w="3738" w:type="dxa"/>
            <w:tcBorders>
              <w:top w:val="nil"/>
              <w:left w:val="single" w:sz="4" w:space="0" w:color="auto"/>
              <w:bottom w:val="nil"/>
              <w:right w:val="nil"/>
            </w:tcBorders>
            <w:shd w:val="clear" w:color="auto" w:fill="auto"/>
            <w:noWrap/>
            <w:vAlign w:val="bottom"/>
            <w:hideMark/>
          </w:tcPr>
          <w:p w14:paraId="7DE8E6B0" w14:textId="77777777" w:rsidR="00300EE7" w:rsidRPr="00205C60" w:rsidRDefault="00300EE7" w:rsidP="00300EE7">
            <w:pPr>
              <w:rPr>
                <w:rFonts w:ascii="Arial" w:hAnsi="Arial" w:cs="Arial"/>
                <w:color w:val="000000"/>
                <w:sz w:val="18"/>
                <w:szCs w:val="18"/>
                <w:lang w:val="es-CR" w:eastAsia="es-CR"/>
              </w:rPr>
            </w:pPr>
            <w:r w:rsidRPr="00205C60">
              <w:rPr>
                <w:rFonts w:ascii="Arial" w:hAnsi="Arial" w:cs="Arial"/>
                <w:color w:val="000000"/>
                <w:sz w:val="18"/>
                <w:szCs w:val="18"/>
                <w:lang w:val="es-CR" w:eastAsia="es-CR"/>
              </w:rPr>
              <w:t xml:space="preserve">Impuestos </w:t>
            </w:r>
          </w:p>
        </w:tc>
        <w:tc>
          <w:tcPr>
            <w:tcW w:w="1425" w:type="dxa"/>
            <w:tcBorders>
              <w:top w:val="nil"/>
              <w:left w:val="single" w:sz="4" w:space="0" w:color="auto"/>
              <w:bottom w:val="single" w:sz="4" w:space="0" w:color="auto"/>
              <w:right w:val="single" w:sz="4" w:space="0" w:color="auto"/>
            </w:tcBorders>
            <w:shd w:val="clear" w:color="auto" w:fill="auto"/>
            <w:noWrap/>
            <w:vAlign w:val="bottom"/>
            <w:hideMark/>
          </w:tcPr>
          <w:p w14:paraId="6AE6F854" w14:textId="2EA63B11" w:rsidR="00300EE7" w:rsidRPr="00205C60" w:rsidRDefault="00300EE7" w:rsidP="00300EE7">
            <w:pPr>
              <w:rPr>
                <w:rFonts w:ascii="Arial" w:hAnsi="Arial" w:cs="Arial"/>
                <w:color w:val="000000"/>
                <w:sz w:val="18"/>
                <w:szCs w:val="18"/>
                <w:lang w:val="es-CR" w:eastAsia="es-CR"/>
              </w:rPr>
            </w:pPr>
            <w:r w:rsidRPr="00205C60">
              <w:rPr>
                <w:rFonts w:ascii="Arial" w:hAnsi="Arial" w:cs="Arial"/>
                <w:color w:val="000000"/>
                <w:sz w:val="18"/>
                <w:szCs w:val="18"/>
                <w:lang w:val="es-CR" w:eastAsia="es-CR"/>
              </w:rPr>
              <w:t xml:space="preserve">         566 549 </w:t>
            </w:r>
          </w:p>
        </w:tc>
        <w:tc>
          <w:tcPr>
            <w:tcW w:w="1359" w:type="dxa"/>
            <w:tcBorders>
              <w:top w:val="nil"/>
              <w:left w:val="nil"/>
              <w:bottom w:val="single" w:sz="4" w:space="0" w:color="auto"/>
              <w:right w:val="single" w:sz="4" w:space="0" w:color="auto"/>
            </w:tcBorders>
            <w:shd w:val="clear" w:color="auto" w:fill="auto"/>
            <w:noWrap/>
            <w:vAlign w:val="bottom"/>
          </w:tcPr>
          <w:p w14:paraId="39D19B3D" w14:textId="70768BD3" w:rsidR="00300EE7" w:rsidRPr="00205C60" w:rsidRDefault="0053522C" w:rsidP="00165BB1">
            <w:pPr>
              <w:jc w:val="right"/>
              <w:rPr>
                <w:rFonts w:ascii="Arial" w:hAnsi="Arial" w:cs="Arial"/>
                <w:color w:val="000000"/>
                <w:sz w:val="18"/>
                <w:szCs w:val="18"/>
                <w:lang w:val="es-CR" w:eastAsia="es-CR"/>
              </w:rPr>
            </w:pPr>
            <w:r w:rsidRPr="00205C60">
              <w:rPr>
                <w:rFonts w:ascii="Arial" w:hAnsi="Arial" w:cs="Arial"/>
                <w:color w:val="000000"/>
                <w:sz w:val="18"/>
                <w:szCs w:val="18"/>
                <w:lang w:val="es-CR" w:eastAsia="es-CR"/>
              </w:rPr>
              <w:t>513 172</w:t>
            </w:r>
          </w:p>
        </w:tc>
        <w:tc>
          <w:tcPr>
            <w:tcW w:w="1553" w:type="dxa"/>
            <w:tcBorders>
              <w:top w:val="nil"/>
              <w:left w:val="nil"/>
              <w:bottom w:val="single" w:sz="4" w:space="0" w:color="auto"/>
              <w:right w:val="single" w:sz="4" w:space="0" w:color="auto"/>
            </w:tcBorders>
            <w:shd w:val="clear" w:color="auto" w:fill="auto"/>
            <w:noWrap/>
            <w:vAlign w:val="bottom"/>
          </w:tcPr>
          <w:p w14:paraId="393D3C37" w14:textId="2BAB25C3" w:rsidR="00300EE7" w:rsidRPr="00205C60" w:rsidRDefault="00FD7F21" w:rsidP="003E0FEE">
            <w:pPr>
              <w:jc w:val="right"/>
              <w:rPr>
                <w:rFonts w:ascii="Arial" w:hAnsi="Arial" w:cs="Arial"/>
                <w:color w:val="000000"/>
                <w:sz w:val="18"/>
                <w:szCs w:val="18"/>
                <w:lang w:val="es-CR" w:eastAsia="es-CR"/>
              </w:rPr>
            </w:pPr>
            <w:r w:rsidRPr="00205C60">
              <w:rPr>
                <w:rFonts w:ascii="Arial" w:hAnsi="Arial" w:cs="Arial"/>
                <w:color w:val="000000"/>
                <w:sz w:val="18"/>
                <w:szCs w:val="18"/>
                <w:lang w:val="es-CR" w:eastAsia="es-CR"/>
              </w:rPr>
              <w:t>-</w:t>
            </w:r>
            <w:r w:rsidR="007910C0" w:rsidRPr="00205C60">
              <w:rPr>
                <w:rFonts w:ascii="Arial" w:hAnsi="Arial" w:cs="Arial"/>
                <w:color w:val="000000"/>
                <w:sz w:val="18"/>
                <w:szCs w:val="18"/>
                <w:lang w:val="es-CR" w:eastAsia="es-CR"/>
              </w:rPr>
              <w:t>53 377</w:t>
            </w:r>
          </w:p>
        </w:tc>
        <w:tc>
          <w:tcPr>
            <w:tcW w:w="1158" w:type="dxa"/>
            <w:tcBorders>
              <w:top w:val="nil"/>
              <w:left w:val="nil"/>
              <w:bottom w:val="single" w:sz="4" w:space="0" w:color="auto"/>
              <w:right w:val="single" w:sz="4" w:space="0" w:color="auto"/>
            </w:tcBorders>
            <w:shd w:val="clear" w:color="auto" w:fill="auto"/>
            <w:noWrap/>
            <w:vAlign w:val="bottom"/>
            <w:hideMark/>
          </w:tcPr>
          <w:p w14:paraId="7D3BE7A3" w14:textId="7E8EC772" w:rsidR="00300EE7" w:rsidRPr="00205C60" w:rsidRDefault="00AB5025" w:rsidP="00300EE7">
            <w:pPr>
              <w:jc w:val="right"/>
              <w:rPr>
                <w:rFonts w:ascii="Arial" w:hAnsi="Arial" w:cs="Arial"/>
                <w:color w:val="000000"/>
                <w:sz w:val="18"/>
                <w:szCs w:val="18"/>
                <w:lang w:val="es-CR" w:eastAsia="es-CR"/>
              </w:rPr>
            </w:pPr>
            <w:r w:rsidRPr="00205C60">
              <w:rPr>
                <w:rFonts w:ascii="Arial" w:hAnsi="Arial" w:cs="Arial"/>
                <w:color w:val="000000"/>
                <w:sz w:val="18"/>
                <w:szCs w:val="18"/>
                <w:lang w:val="es-CR" w:eastAsia="es-CR"/>
              </w:rPr>
              <w:t>-</w:t>
            </w:r>
            <w:r w:rsidR="00645D53" w:rsidRPr="00205C60">
              <w:rPr>
                <w:rFonts w:ascii="Arial" w:hAnsi="Arial" w:cs="Arial"/>
                <w:color w:val="000000"/>
                <w:sz w:val="18"/>
                <w:szCs w:val="18"/>
                <w:lang w:val="es-CR" w:eastAsia="es-CR"/>
              </w:rPr>
              <w:t>9</w:t>
            </w:r>
            <w:r w:rsidR="00300EE7" w:rsidRPr="00205C60">
              <w:rPr>
                <w:rFonts w:ascii="Arial" w:hAnsi="Arial" w:cs="Arial"/>
                <w:color w:val="000000"/>
                <w:sz w:val="18"/>
                <w:szCs w:val="18"/>
                <w:lang w:val="es-CR" w:eastAsia="es-CR"/>
              </w:rPr>
              <w:t>,</w:t>
            </w:r>
            <w:r w:rsidR="00645D53" w:rsidRPr="00205C60">
              <w:rPr>
                <w:rFonts w:ascii="Arial" w:hAnsi="Arial" w:cs="Arial"/>
                <w:color w:val="000000"/>
                <w:sz w:val="18"/>
                <w:szCs w:val="18"/>
                <w:lang w:val="es-CR" w:eastAsia="es-CR"/>
              </w:rPr>
              <w:t>42</w:t>
            </w:r>
            <w:r w:rsidR="00300EE7" w:rsidRPr="00205C60">
              <w:rPr>
                <w:rFonts w:ascii="Arial" w:hAnsi="Arial" w:cs="Arial"/>
                <w:color w:val="000000"/>
                <w:sz w:val="18"/>
                <w:szCs w:val="18"/>
                <w:lang w:val="es-CR" w:eastAsia="es-CR"/>
              </w:rPr>
              <w:t>%</w:t>
            </w:r>
          </w:p>
        </w:tc>
      </w:tr>
      <w:tr w:rsidR="00300EE7" w:rsidRPr="00205C60" w14:paraId="6C9A8930" w14:textId="77777777" w:rsidTr="00EF4C10">
        <w:trPr>
          <w:trHeight w:val="220"/>
        </w:trPr>
        <w:tc>
          <w:tcPr>
            <w:tcW w:w="3738" w:type="dxa"/>
            <w:tcBorders>
              <w:top w:val="nil"/>
              <w:left w:val="single" w:sz="4" w:space="0" w:color="auto"/>
              <w:bottom w:val="nil"/>
              <w:right w:val="nil"/>
            </w:tcBorders>
            <w:shd w:val="clear" w:color="auto" w:fill="auto"/>
            <w:noWrap/>
            <w:vAlign w:val="bottom"/>
            <w:hideMark/>
          </w:tcPr>
          <w:p w14:paraId="6CC18F41" w14:textId="77777777" w:rsidR="00300EE7" w:rsidRPr="00205C60" w:rsidRDefault="00300EE7" w:rsidP="00300EE7">
            <w:pPr>
              <w:rPr>
                <w:rFonts w:ascii="Arial" w:hAnsi="Arial" w:cs="Arial"/>
                <w:color w:val="000000"/>
                <w:sz w:val="18"/>
                <w:szCs w:val="18"/>
                <w:lang w:val="es-CR" w:eastAsia="es-CR"/>
              </w:rPr>
            </w:pPr>
            <w:r w:rsidRPr="00205C60">
              <w:rPr>
                <w:rFonts w:ascii="Arial" w:hAnsi="Arial" w:cs="Arial"/>
                <w:color w:val="000000"/>
                <w:sz w:val="18"/>
                <w:szCs w:val="18"/>
                <w:lang w:val="es-CR" w:eastAsia="es-CR"/>
              </w:rPr>
              <w:t>Depreciación</w:t>
            </w:r>
          </w:p>
        </w:tc>
        <w:tc>
          <w:tcPr>
            <w:tcW w:w="1425" w:type="dxa"/>
            <w:tcBorders>
              <w:top w:val="nil"/>
              <w:left w:val="single" w:sz="4" w:space="0" w:color="auto"/>
              <w:bottom w:val="single" w:sz="4" w:space="0" w:color="auto"/>
              <w:right w:val="single" w:sz="4" w:space="0" w:color="auto"/>
            </w:tcBorders>
            <w:shd w:val="clear" w:color="auto" w:fill="auto"/>
            <w:noWrap/>
            <w:vAlign w:val="bottom"/>
            <w:hideMark/>
          </w:tcPr>
          <w:p w14:paraId="58A198FD" w14:textId="1716750D" w:rsidR="00300EE7" w:rsidRPr="00205C60" w:rsidRDefault="00300EE7" w:rsidP="00300EE7">
            <w:pPr>
              <w:rPr>
                <w:rFonts w:ascii="Arial" w:hAnsi="Arial" w:cs="Arial"/>
                <w:color w:val="000000"/>
                <w:sz w:val="18"/>
                <w:szCs w:val="18"/>
                <w:lang w:val="es-CR" w:eastAsia="es-CR"/>
              </w:rPr>
            </w:pPr>
            <w:r w:rsidRPr="00205C60">
              <w:rPr>
                <w:rFonts w:ascii="Arial" w:hAnsi="Arial" w:cs="Arial"/>
                <w:color w:val="000000"/>
                <w:sz w:val="18"/>
                <w:szCs w:val="18"/>
                <w:lang w:val="es-CR" w:eastAsia="es-CR"/>
              </w:rPr>
              <w:t xml:space="preserve">    32 575 332 </w:t>
            </w:r>
          </w:p>
        </w:tc>
        <w:tc>
          <w:tcPr>
            <w:tcW w:w="1359" w:type="dxa"/>
            <w:tcBorders>
              <w:top w:val="nil"/>
              <w:left w:val="nil"/>
              <w:bottom w:val="single" w:sz="4" w:space="0" w:color="auto"/>
              <w:right w:val="single" w:sz="4" w:space="0" w:color="auto"/>
            </w:tcBorders>
            <w:shd w:val="clear" w:color="auto" w:fill="auto"/>
            <w:noWrap/>
            <w:vAlign w:val="bottom"/>
          </w:tcPr>
          <w:p w14:paraId="4A76FCCC" w14:textId="63524CE0" w:rsidR="00300EE7" w:rsidRPr="00205C60" w:rsidRDefault="0053522C" w:rsidP="00165BB1">
            <w:pPr>
              <w:jc w:val="right"/>
              <w:rPr>
                <w:rFonts w:ascii="Arial" w:hAnsi="Arial" w:cs="Arial"/>
                <w:color w:val="000000"/>
                <w:sz w:val="18"/>
                <w:szCs w:val="18"/>
                <w:lang w:val="es-CR" w:eastAsia="es-CR"/>
              </w:rPr>
            </w:pPr>
            <w:r w:rsidRPr="00205C60">
              <w:rPr>
                <w:rFonts w:ascii="Arial" w:hAnsi="Arial" w:cs="Arial"/>
                <w:color w:val="000000"/>
                <w:sz w:val="18"/>
                <w:szCs w:val="18"/>
                <w:lang w:val="es-CR" w:eastAsia="es-CR"/>
              </w:rPr>
              <w:t>32 268 429</w:t>
            </w:r>
          </w:p>
        </w:tc>
        <w:tc>
          <w:tcPr>
            <w:tcW w:w="1553" w:type="dxa"/>
            <w:tcBorders>
              <w:top w:val="nil"/>
              <w:left w:val="nil"/>
              <w:bottom w:val="single" w:sz="4" w:space="0" w:color="auto"/>
              <w:right w:val="single" w:sz="4" w:space="0" w:color="auto"/>
            </w:tcBorders>
            <w:shd w:val="clear" w:color="auto" w:fill="auto"/>
            <w:noWrap/>
            <w:vAlign w:val="bottom"/>
          </w:tcPr>
          <w:p w14:paraId="51CD049C" w14:textId="5FD481CE" w:rsidR="00300EE7" w:rsidRPr="00205C60" w:rsidRDefault="00FD7F21" w:rsidP="003E0FEE">
            <w:pPr>
              <w:jc w:val="right"/>
              <w:rPr>
                <w:rFonts w:ascii="Arial" w:hAnsi="Arial" w:cs="Arial"/>
                <w:color w:val="000000"/>
                <w:sz w:val="18"/>
                <w:szCs w:val="18"/>
                <w:lang w:val="es-CR" w:eastAsia="es-CR"/>
              </w:rPr>
            </w:pPr>
            <w:r w:rsidRPr="00205C60">
              <w:rPr>
                <w:rFonts w:ascii="Arial" w:hAnsi="Arial" w:cs="Arial"/>
                <w:color w:val="000000"/>
                <w:sz w:val="18"/>
                <w:szCs w:val="18"/>
                <w:lang w:val="es-CR" w:eastAsia="es-CR"/>
              </w:rPr>
              <w:t>-</w:t>
            </w:r>
            <w:r w:rsidR="007910C0" w:rsidRPr="00205C60">
              <w:rPr>
                <w:rFonts w:ascii="Arial" w:hAnsi="Arial" w:cs="Arial"/>
                <w:color w:val="000000"/>
                <w:sz w:val="18"/>
                <w:szCs w:val="18"/>
                <w:lang w:val="es-CR" w:eastAsia="es-CR"/>
              </w:rPr>
              <w:t>306 903</w:t>
            </w:r>
          </w:p>
        </w:tc>
        <w:tc>
          <w:tcPr>
            <w:tcW w:w="1158" w:type="dxa"/>
            <w:tcBorders>
              <w:top w:val="nil"/>
              <w:left w:val="nil"/>
              <w:bottom w:val="single" w:sz="4" w:space="0" w:color="auto"/>
              <w:right w:val="single" w:sz="4" w:space="0" w:color="auto"/>
            </w:tcBorders>
            <w:shd w:val="clear" w:color="auto" w:fill="auto"/>
            <w:noWrap/>
            <w:vAlign w:val="bottom"/>
            <w:hideMark/>
          </w:tcPr>
          <w:p w14:paraId="4136C118" w14:textId="46866ABB" w:rsidR="00300EE7" w:rsidRPr="00205C60" w:rsidRDefault="00AB5025" w:rsidP="00300EE7">
            <w:pPr>
              <w:jc w:val="right"/>
              <w:rPr>
                <w:rFonts w:ascii="Arial" w:hAnsi="Arial" w:cs="Arial"/>
                <w:color w:val="000000"/>
                <w:sz w:val="18"/>
                <w:szCs w:val="18"/>
                <w:lang w:val="es-CR" w:eastAsia="es-CR"/>
              </w:rPr>
            </w:pPr>
            <w:r w:rsidRPr="00205C60">
              <w:rPr>
                <w:rFonts w:ascii="Arial" w:hAnsi="Arial" w:cs="Arial"/>
                <w:color w:val="000000"/>
                <w:sz w:val="18"/>
                <w:szCs w:val="18"/>
                <w:lang w:val="es-CR" w:eastAsia="es-CR"/>
              </w:rPr>
              <w:t>-</w:t>
            </w:r>
            <w:r w:rsidR="00152ABE" w:rsidRPr="00205C60">
              <w:rPr>
                <w:rFonts w:ascii="Arial" w:hAnsi="Arial" w:cs="Arial"/>
                <w:color w:val="000000"/>
                <w:sz w:val="18"/>
                <w:szCs w:val="18"/>
                <w:lang w:val="es-CR" w:eastAsia="es-CR"/>
              </w:rPr>
              <w:t>0</w:t>
            </w:r>
            <w:r w:rsidR="00300EE7" w:rsidRPr="00205C60">
              <w:rPr>
                <w:rFonts w:ascii="Arial" w:hAnsi="Arial" w:cs="Arial"/>
                <w:color w:val="000000"/>
                <w:sz w:val="18"/>
                <w:szCs w:val="18"/>
                <w:lang w:val="es-CR" w:eastAsia="es-CR"/>
              </w:rPr>
              <w:t>,</w:t>
            </w:r>
            <w:r w:rsidR="00152ABE" w:rsidRPr="00205C60">
              <w:rPr>
                <w:rFonts w:ascii="Arial" w:hAnsi="Arial" w:cs="Arial"/>
                <w:color w:val="000000"/>
                <w:sz w:val="18"/>
                <w:szCs w:val="18"/>
                <w:lang w:val="es-CR" w:eastAsia="es-CR"/>
              </w:rPr>
              <w:t>94</w:t>
            </w:r>
            <w:r w:rsidR="00300EE7" w:rsidRPr="00205C60">
              <w:rPr>
                <w:rFonts w:ascii="Arial" w:hAnsi="Arial" w:cs="Arial"/>
                <w:color w:val="000000"/>
                <w:sz w:val="18"/>
                <w:szCs w:val="18"/>
                <w:lang w:val="es-CR" w:eastAsia="es-CR"/>
              </w:rPr>
              <w:t>%</w:t>
            </w:r>
          </w:p>
        </w:tc>
      </w:tr>
      <w:tr w:rsidR="00300EE7" w:rsidRPr="00205C60" w14:paraId="129CD3D8" w14:textId="77777777" w:rsidTr="00EF4C10">
        <w:trPr>
          <w:trHeight w:val="220"/>
        </w:trPr>
        <w:tc>
          <w:tcPr>
            <w:tcW w:w="3738" w:type="dxa"/>
            <w:tcBorders>
              <w:top w:val="nil"/>
              <w:left w:val="single" w:sz="4" w:space="0" w:color="auto"/>
              <w:bottom w:val="nil"/>
              <w:right w:val="nil"/>
            </w:tcBorders>
            <w:shd w:val="clear" w:color="auto" w:fill="auto"/>
            <w:noWrap/>
            <w:vAlign w:val="bottom"/>
            <w:hideMark/>
          </w:tcPr>
          <w:p w14:paraId="7F8DDD9C" w14:textId="77777777" w:rsidR="00300EE7" w:rsidRPr="00205C60" w:rsidRDefault="00300EE7" w:rsidP="00300EE7">
            <w:pPr>
              <w:rPr>
                <w:rFonts w:ascii="Arial" w:hAnsi="Arial" w:cs="Arial"/>
                <w:color w:val="000000"/>
                <w:sz w:val="18"/>
                <w:szCs w:val="18"/>
                <w:lang w:val="es-CR" w:eastAsia="es-CR"/>
              </w:rPr>
            </w:pPr>
            <w:r w:rsidRPr="00205C60">
              <w:rPr>
                <w:rFonts w:ascii="Arial" w:hAnsi="Arial" w:cs="Arial"/>
                <w:color w:val="000000"/>
                <w:sz w:val="18"/>
                <w:szCs w:val="18"/>
                <w:lang w:val="es-CR" w:eastAsia="es-CR"/>
              </w:rPr>
              <w:t>Otros ingresos (gastos) operativo, neto</w:t>
            </w:r>
          </w:p>
        </w:tc>
        <w:tc>
          <w:tcPr>
            <w:tcW w:w="1425" w:type="dxa"/>
            <w:tcBorders>
              <w:top w:val="nil"/>
              <w:left w:val="single" w:sz="4" w:space="0" w:color="auto"/>
              <w:bottom w:val="single" w:sz="4" w:space="0" w:color="auto"/>
              <w:right w:val="single" w:sz="4" w:space="0" w:color="auto"/>
            </w:tcBorders>
            <w:shd w:val="clear" w:color="auto" w:fill="auto"/>
            <w:noWrap/>
            <w:vAlign w:val="bottom"/>
            <w:hideMark/>
          </w:tcPr>
          <w:p w14:paraId="007BAE86" w14:textId="1E5AE6B1" w:rsidR="00300EE7" w:rsidRPr="00205C60" w:rsidRDefault="00300EE7" w:rsidP="00300EE7">
            <w:pPr>
              <w:rPr>
                <w:rFonts w:ascii="Arial" w:hAnsi="Arial" w:cs="Arial"/>
                <w:color w:val="000000"/>
                <w:sz w:val="18"/>
                <w:szCs w:val="18"/>
                <w:lang w:val="es-CR" w:eastAsia="es-CR"/>
              </w:rPr>
            </w:pPr>
            <w:r w:rsidRPr="00205C60">
              <w:rPr>
                <w:rFonts w:ascii="Arial" w:hAnsi="Arial" w:cs="Arial"/>
                <w:color w:val="000000"/>
                <w:sz w:val="18"/>
                <w:szCs w:val="18"/>
                <w:lang w:val="es-CR" w:eastAsia="es-CR"/>
              </w:rPr>
              <w:t xml:space="preserve">    10 429 008 </w:t>
            </w:r>
          </w:p>
        </w:tc>
        <w:tc>
          <w:tcPr>
            <w:tcW w:w="1359" w:type="dxa"/>
            <w:tcBorders>
              <w:top w:val="nil"/>
              <w:left w:val="nil"/>
              <w:bottom w:val="single" w:sz="4" w:space="0" w:color="auto"/>
              <w:right w:val="single" w:sz="4" w:space="0" w:color="auto"/>
            </w:tcBorders>
            <w:shd w:val="clear" w:color="auto" w:fill="auto"/>
            <w:noWrap/>
            <w:vAlign w:val="bottom"/>
          </w:tcPr>
          <w:p w14:paraId="23E3001B" w14:textId="0924FA2D" w:rsidR="00300EE7" w:rsidRPr="00205C60" w:rsidRDefault="00165BB1" w:rsidP="00165BB1">
            <w:pPr>
              <w:jc w:val="right"/>
              <w:rPr>
                <w:rFonts w:ascii="Arial" w:hAnsi="Arial" w:cs="Arial"/>
                <w:color w:val="000000"/>
                <w:sz w:val="18"/>
                <w:szCs w:val="18"/>
                <w:lang w:val="es-CR" w:eastAsia="es-CR"/>
              </w:rPr>
            </w:pPr>
            <w:r w:rsidRPr="00205C60">
              <w:rPr>
                <w:rFonts w:ascii="Arial" w:hAnsi="Arial" w:cs="Arial"/>
                <w:color w:val="000000"/>
                <w:sz w:val="18"/>
                <w:szCs w:val="18"/>
                <w:lang w:val="es-CR" w:eastAsia="es-CR"/>
              </w:rPr>
              <w:t>9 729 280</w:t>
            </w:r>
          </w:p>
        </w:tc>
        <w:tc>
          <w:tcPr>
            <w:tcW w:w="1553" w:type="dxa"/>
            <w:tcBorders>
              <w:top w:val="nil"/>
              <w:left w:val="nil"/>
              <w:bottom w:val="single" w:sz="4" w:space="0" w:color="auto"/>
              <w:right w:val="single" w:sz="4" w:space="0" w:color="auto"/>
            </w:tcBorders>
            <w:shd w:val="clear" w:color="auto" w:fill="auto"/>
            <w:noWrap/>
            <w:vAlign w:val="bottom"/>
          </w:tcPr>
          <w:p w14:paraId="5687D2D7" w14:textId="76849F1D" w:rsidR="00300EE7" w:rsidRPr="00205C60" w:rsidRDefault="00FD7F21" w:rsidP="003E0FEE">
            <w:pPr>
              <w:jc w:val="right"/>
              <w:rPr>
                <w:rFonts w:ascii="Arial" w:hAnsi="Arial" w:cs="Arial"/>
                <w:color w:val="000000"/>
                <w:sz w:val="18"/>
                <w:szCs w:val="18"/>
                <w:lang w:val="es-CR" w:eastAsia="es-CR"/>
              </w:rPr>
            </w:pPr>
            <w:r w:rsidRPr="00205C60">
              <w:rPr>
                <w:rFonts w:ascii="Arial" w:hAnsi="Arial" w:cs="Arial"/>
                <w:color w:val="000000"/>
                <w:sz w:val="18"/>
                <w:szCs w:val="18"/>
                <w:lang w:val="es-CR" w:eastAsia="es-CR"/>
              </w:rPr>
              <w:t>-</w:t>
            </w:r>
            <w:r w:rsidR="007910C0" w:rsidRPr="00205C60">
              <w:rPr>
                <w:rFonts w:ascii="Arial" w:hAnsi="Arial" w:cs="Arial"/>
                <w:color w:val="000000"/>
                <w:sz w:val="18"/>
                <w:szCs w:val="18"/>
                <w:lang w:val="es-CR" w:eastAsia="es-CR"/>
              </w:rPr>
              <w:t>699 728</w:t>
            </w:r>
          </w:p>
        </w:tc>
        <w:tc>
          <w:tcPr>
            <w:tcW w:w="1158" w:type="dxa"/>
            <w:tcBorders>
              <w:top w:val="nil"/>
              <w:left w:val="nil"/>
              <w:bottom w:val="single" w:sz="4" w:space="0" w:color="auto"/>
              <w:right w:val="single" w:sz="4" w:space="0" w:color="auto"/>
            </w:tcBorders>
            <w:shd w:val="clear" w:color="auto" w:fill="auto"/>
            <w:noWrap/>
            <w:vAlign w:val="bottom"/>
            <w:hideMark/>
          </w:tcPr>
          <w:p w14:paraId="33B06EF1" w14:textId="2DB96DC3" w:rsidR="00300EE7" w:rsidRPr="00205C60" w:rsidRDefault="00AB5025" w:rsidP="00300EE7">
            <w:pPr>
              <w:jc w:val="right"/>
              <w:rPr>
                <w:rFonts w:ascii="Arial" w:hAnsi="Arial" w:cs="Arial"/>
                <w:color w:val="000000"/>
                <w:sz w:val="18"/>
                <w:szCs w:val="18"/>
                <w:lang w:val="es-CR" w:eastAsia="es-CR"/>
              </w:rPr>
            </w:pPr>
            <w:r w:rsidRPr="00205C60">
              <w:rPr>
                <w:rFonts w:ascii="Arial" w:hAnsi="Arial" w:cs="Arial"/>
                <w:color w:val="000000"/>
                <w:sz w:val="18"/>
                <w:szCs w:val="18"/>
                <w:lang w:val="es-CR" w:eastAsia="es-CR"/>
              </w:rPr>
              <w:t>-</w:t>
            </w:r>
            <w:r w:rsidR="00152ABE" w:rsidRPr="00205C60">
              <w:rPr>
                <w:rFonts w:ascii="Arial" w:hAnsi="Arial" w:cs="Arial"/>
                <w:color w:val="000000"/>
                <w:sz w:val="18"/>
                <w:szCs w:val="18"/>
                <w:lang w:val="es-CR" w:eastAsia="es-CR"/>
              </w:rPr>
              <w:t>6</w:t>
            </w:r>
            <w:r w:rsidR="00300EE7" w:rsidRPr="00205C60">
              <w:rPr>
                <w:rFonts w:ascii="Arial" w:hAnsi="Arial" w:cs="Arial"/>
                <w:color w:val="000000"/>
                <w:sz w:val="18"/>
                <w:szCs w:val="18"/>
                <w:lang w:val="es-CR" w:eastAsia="es-CR"/>
              </w:rPr>
              <w:t>,7</w:t>
            </w:r>
            <w:r w:rsidR="00152ABE" w:rsidRPr="00205C60">
              <w:rPr>
                <w:rFonts w:ascii="Arial" w:hAnsi="Arial" w:cs="Arial"/>
                <w:color w:val="000000"/>
                <w:sz w:val="18"/>
                <w:szCs w:val="18"/>
                <w:lang w:val="es-CR" w:eastAsia="es-CR"/>
              </w:rPr>
              <w:t>1</w:t>
            </w:r>
            <w:r w:rsidR="00300EE7" w:rsidRPr="00205C60">
              <w:rPr>
                <w:rFonts w:ascii="Arial" w:hAnsi="Arial" w:cs="Arial"/>
                <w:color w:val="000000"/>
                <w:sz w:val="18"/>
                <w:szCs w:val="18"/>
                <w:lang w:val="es-CR" w:eastAsia="es-CR"/>
              </w:rPr>
              <w:t>%</w:t>
            </w:r>
          </w:p>
        </w:tc>
      </w:tr>
      <w:tr w:rsidR="00300EE7" w:rsidRPr="00205C60" w14:paraId="7E9DEC3A" w14:textId="77777777" w:rsidTr="00EF4C10">
        <w:trPr>
          <w:trHeight w:val="220"/>
        </w:trPr>
        <w:tc>
          <w:tcPr>
            <w:tcW w:w="3738" w:type="dxa"/>
            <w:tcBorders>
              <w:top w:val="nil"/>
              <w:left w:val="single" w:sz="4" w:space="0" w:color="auto"/>
              <w:bottom w:val="nil"/>
              <w:right w:val="nil"/>
            </w:tcBorders>
            <w:shd w:val="clear" w:color="auto" w:fill="auto"/>
            <w:noWrap/>
            <w:vAlign w:val="bottom"/>
            <w:hideMark/>
          </w:tcPr>
          <w:p w14:paraId="2577B31A" w14:textId="77777777" w:rsidR="00300EE7" w:rsidRPr="00205C60" w:rsidRDefault="00300EE7" w:rsidP="00300EE7">
            <w:pPr>
              <w:rPr>
                <w:rFonts w:ascii="Arial" w:hAnsi="Arial" w:cs="Arial"/>
                <w:b/>
                <w:bCs/>
                <w:color w:val="000000"/>
                <w:sz w:val="18"/>
                <w:szCs w:val="18"/>
                <w:lang w:val="es-CR" w:eastAsia="es-CR"/>
              </w:rPr>
            </w:pPr>
            <w:r w:rsidRPr="00205C60">
              <w:rPr>
                <w:rFonts w:ascii="Arial" w:hAnsi="Arial" w:cs="Arial"/>
                <w:b/>
                <w:bCs/>
                <w:color w:val="000000"/>
                <w:sz w:val="18"/>
                <w:szCs w:val="18"/>
                <w:lang w:val="es-CR" w:eastAsia="es-CR"/>
              </w:rPr>
              <w:t>Total Personal y Administración</w:t>
            </w:r>
          </w:p>
        </w:tc>
        <w:tc>
          <w:tcPr>
            <w:tcW w:w="1425" w:type="dxa"/>
            <w:tcBorders>
              <w:top w:val="nil"/>
              <w:left w:val="single" w:sz="4" w:space="0" w:color="auto"/>
              <w:bottom w:val="single" w:sz="4" w:space="0" w:color="auto"/>
              <w:right w:val="single" w:sz="4" w:space="0" w:color="auto"/>
            </w:tcBorders>
            <w:shd w:val="clear" w:color="auto" w:fill="auto"/>
            <w:noWrap/>
            <w:vAlign w:val="bottom"/>
            <w:hideMark/>
          </w:tcPr>
          <w:p w14:paraId="7C1EB7AC" w14:textId="55DC112A" w:rsidR="00300EE7" w:rsidRPr="00205C60" w:rsidRDefault="00300EE7" w:rsidP="00300EE7">
            <w:pPr>
              <w:rPr>
                <w:rFonts w:ascii="Arial" w:hAnsi="Arial" w:cs="Arial"/>
                <w:b/>
                <w:bCs/>
                <w:color w:val="000000"/>
                <w:sz w:val="18"/>
                <w:szCs w:val="18"/>
                <w:lang w:val="es-CR" w:eastAsia="es-CR"/>
              </w:rPr>
            </w:pPr>
            <w:r w:rsidRPr="00205C60">
              <w:rPr>
                <w:rFonts w:ascii="Arial" w:hAnsi="Arial" w:cs="Arial"/>
                <w:b/>
                <w:bCs/>
                <w:color w:val="000000"/>
                <w:sz w:val="18"/>
                <w:szCs w:val="18"/>
                <w:lang w:val="es-CR" w:eastAsia="es-CR"/>
              </w:rPr>
              <w:t xml:space="preserve">    91 557 621 </w:t>
            </w:r>
          </w:p>
        </w:tc>
        <w:tc>
          <w:tcPr>
            <w:tcW w:w="1359" w:type="dxa"/>
            <w:tcBorders>
              <w:top w:val="nil"/>
              <w:left w:val="nil"/>
              <w:bottom w:val="single" w:sz="4" w:space="0" w:color="auto"/>
              <w:right w:val="single" w:sz="4" w:space="0" w:color="auto"/>
            </w:tcBorders>
            <w:shd w:val="clear" w:color="auto" w:fill="auto"/>
            <w:noWrap/>
            <w:vAlign w:val="bottom"/>
          </w:tcPr>
          <w:p w14:paraId="41792969" w14:textId="7B288968" w:rsidR="00300EE7" w:rsidRPr="00205C60" w:rsidRDefault="00165BB1" w:rsidP="00165BB1">
            <w:pPr>
              <w:jc w:val="right"/>
              <w:rPr>
                <w:rFonts w:ascii="Arial" w:hAnsi="Arial" w:cs="Arial"/>
                <w:b/>
                <w:bCs/>
                <w:color w:val="000000"/>
                <w:sz w:val="18"/>
                <w:szCs w:val="18"/>
                <w:lang w:val="es-CR" w:eastAsia="es-CR"/>
              </w:rPr>
            </w:pPr>
            <w:r w:rsidRPr="00205C60">
              <w:rPr>
                <w:rFonts w:ascii="Arial" w:hAnsi="Arial" w:cs="Arial"/>
                <w:b/>
                <w:bCs/>
                <w:color w:val="000000"/>
                <w:sz w:val="18"/>
                <w:szCs w:val="18"/>
                <w:lang w:val="es-CR" w:eastAsia="es-CR"/>
              </w:rPr>
              <w:t>88 366 738</w:t>
            </w:r>
          </w:p>
        </w:tc>
        <w:tc>
          <w:tcPr>
            <w:tcW w:w="1553" w:type="dxa"/>
            <w:tcBorders>
              <w:top w:val="nil"/>
              <w:left w:val="nil"/>
              <w:bottom w:val="single" w:sz="4" w:space="0" w:color="auto"/>
              <w:right w:val="single" w:sz="4" w:space="0" w:color="auto"/>
            </w:tcBorders>
            <w:shd w:val="clear" w:color="auto" w:fill="auto"/>
            <w:noWrap/>
            <w:vAlign w:val="bottom"/>
          </w:tcPr>
          <w:p w14:paraId="60367896" w14:textId="58D90F39" w:rsidR="00300EE7" w:rsidRPr="00205C60" w:rsidRDefault="00FD7F21" w:rsidP="003E0FEE">
            <w:pPr>
              <w:jc w:val="right"/>
              <w:rPr>
                <w:rFonts w:ascii="Arial" w:hAnsi="Arial" w:cs="Arial"/>
                <w:b/>
                <w:bCs/>
                <w:color w:val="000000"/>
                <w:sz w:val="18"/>
                <w:szCs w:val="18"/>
                <w:lang w:val="es-CR" w:eastAsia="es-CR"/>
              </w:rPr>
            </w:pPr>
            <w:r w:rsidRPr="00205C60">
              <w:rPr>
                <w:rFonts w:ascii="Arial" w:hAnsi="Arial" w:cs="Arial"/>
                <w:b/>
                <w:bCs/>
                <w:color w:val="000000"/>
                <w:sz w:val="18"/>
                <w:szCs w:val="18"/>
                <w:lang w:val="es-CR" w:eastAsia="es-CR"/>
              </w:rPr>
              <w:t>-</w:t>
            </w:r>
            <w:r w:rsidR="007910C0" w:rsidRPr="00205C60">
              <w:rPr>
                <w:rFonts w:ascii="Arial" w:hAnsi="Arial" w:cs="Arial"/>
                <w:b/>
                <w:bCs/>
                <w:color w:val="000000"/>
                <w:sz w:val="18"/>
                <w:szCs w:val="18"/>
                <w:lang w:val="es-CR" w:eastAsia="es-CR"/>
              </w:rPr>
              <w:t>3 190</w:t>
            </w:r>
            <w:r w:rsidR="003E0FEE" w:rsidRPr="00205C60">
              <w:rPr>
                <w:rFonts w:ascii="Arial" w:hAnsi="Arial" w:cs="Arial"/>
                <w:b/>
                <w:bCs/>
                <w:color w:val="000000"/>
                <w:sz w:val="18"/>
                <w:szCs w:val="18"/>
                <w:lang w:val="es-CR" w:eastAsia="es-CR"/>
              </w:rPr>
              <w:t xml:space="preserve"> 883</w:t>
            </w:r>
          </w:p>
        </w:tc>
        <w:tc>
          <w:tcPr>
            <w:tcW w:w="1158" w:type="dxa"/>
            <w:tcBorders>
              <w:top w:val="nil"/>
              <w:left w:val="nil"/>
              <w:bottom w:val="single" w:sz="4" w:space="0" w:color="auto"/>
              <w:right w:val="single" w:sz="4" w:space="0" w:color="auto"/>
            </w:tcBorders>
            <w:shd w:val="clear" w:color="auto" w:fill="auto"/>
            <w:noWrap/>
            <w:vAlign w:val="bottom"/>
            <w:hideMark/>
          </w:tcPr>
          <w:p w14:paraId="24BCEB5C" w14:textId="3DB4A5E9" w:rsidR="00300EE7" w:rsidRPr="00205C60" w:rsidRDefault="00AB5025" w:rsidP="00300EE7">
            <w:pPr>
              <w:jc w:val="right"/>
              <w:rPr>
                <w:rFonts w:ascii="Arial" w:hAnsi="Arial" w:cs="Arial"/>
                <w:b/>
                <w:bCs/>
                <w:color w:val="000000"/>
                <w:sz w:val="18"/>
                <w:szCs w:val="18"/>
                <w:lang w:val="es-CR" w:eastAsia="es-CR"/>
              </w:rPr>
            </w:pPr>
            <w:r w:rsidRPr="00205C60">
              <w:rPr>
                <w:rFonts w:ascii="Arial" w:hAnsi="Arial" w:cs="Arial"/>
                <w:b/>
                <w:bCs/>
                <w:color w:val="000000"/>
                <w:sz w:val="18"/>
                <w:szCs w:val="18"/>
                <w:lang w:val="es-CR" w:eastAsia="es-CR"/>
              </w:rPr>
              <w:t>-</w:t>
            </w:r>
            <w:r w:rsidR="00152ABE" w:rsidRPr="00205C60">
              <w:rPr>
                <w:rFonts w:ascii="Arial" w:hAnsi="Arial" w:cs="Arial"/>
                <w:b/>
                <w:bCs/>
                <w:color w:val="000000"/>
                <w:sz w:val="18"/>
                <w:szCs w:val="18"/>
                <w:lang w:val="es-CR" w:eastAsia="es-CR"/>
              </w:rPr>
              <w:t>3</w:t>
            </w:r>
            <w:r w:rsidR="00300EE7" w:rsidRPr="00205C60">
              <w:rPr>
                <w:rFonts w:ascii="Arial" w:hAnsi="Arial" w:cs="Arial"/>
                <w:b/>
                <w:bCs/>
                <w:color w:val="000000"/>
                <w:sz w:val="18"/>
                <w:szCs w:val="18"/>
                <w:lang w:val="es-CR" w:eastAsia="es-CR"/>
              </w:rPr>
              <w:t>,</w:t>
            </w:r>
            <w:r w:rsidR="00152ABE" w:rsidRPr="00205C60">
              <w:rPr>
                <w:rFonts w:ascii="Arial" w:hAnsi="Arial" w:cs="Arial"/>
                <w:b/>
                <w:bCs/>
                <w:color w:val="000000"/>
                <w:sz w:val="18"/>
                <w:szCs w:val="18"/>
                <w:lang w:val="es-CR" w:eastAsia="es-CR"/>
              </w:rPr>
              <w:t>49</w:t>
            </w:r>
            <w:r w:rsidR="00300EE7" w:rsidRPr="00205C60">
              <w:rPr>
                <w:rFonts w:ascii="Arial" w:hAnsi="Arial" w:cs="Arial"/>
                <w:b/>
                <w:bCs/>
                <w:color w:val="000000"/>
                <w:sz w:val="18"/>
                <w:szCs w:val="18"/>
                <w:lang w:val="es-CR" w:eastAsia="es-CR"/>
              </w:rPr>
              <w:t>%</w:t>
            </w:r>
          </w:p>
        </w:tc>
      </w:tr>
      <w:tr w:rsidR="00300EE7" w:rsidRPr="00205C60" w14:paraId="2214E340" w14:textId="77777777" w:rsidTr="00EF4C10">
        <w:trPr>
          <w:trHeight w:val="220"/>
        </w:trPr>
        <w:tc>
          <w:tcPr>
            <w:tcW w:w="3738" w:type="dxa"/>
            <w:tcBorders>
              <w:top w:val="nil"/>
              <w:left w:val="single" w:sz="4" w:space="0" w:color="auto"/>
              <w:bottom w:val="nil"/>
              <w:right w:val="nil"/>
            </w:tcBorders>
            <w:shd w:val="clear" w:color="auto" w:fill="auto"/>
            <w:noWrap/>
            <w:vAlign w:val="bottom"/>
            <w:hideMark/>
          </w:tcPr>
          <w:p w14:paraId="0B7C7C09" w14:textId="77777777" w:rsidR="00300EE7" w:rsidRPr="00205C60" w:rsidRDefault="00300EE7" w:rsidP="00300EE7">
            <w:pPr>
              <w:rPr>
                <w:rFonts w:ascii="Arial" w:hAnsi="Arial" w:cs="Arial"/>
                <w:color w:val="000000"/>
                <w:sz w:val="18"/>
                <w:szCs w:val="18"/>
                <w:lang w:val="es-CR" w:eastAsia="es-CR"/>
              </w:rPr>
            </w:pPr>
            <w:r w:rsidRPr="00205C60">
              <w:rPr>
                <w:rFonts w:ascii="Arial" w:hAnsi="Arial" w:cs="Arial"/>
                <w:color w:val="000000"/>
                <w:sz w:val="18"/>
                <w:szCs w:val="18"/>
                <w:lang w:val="es-CR" w:eastAsia="es-CR"/>
              </w:rPr>
              <w:t> </w:t>
            </w:r>
          </w:p>
        </w:tc>
        <w:tc>
          <w:tcPr>
            <w:tcW w:w="1425" w:type="dxa"/>
            <w:tcBorders>
              <w:top w:val="nil"/>
              <w:left w:val="nil"/>
              <w:bottom w:val="nil"/>
              <w:right w:val="nil"/>
            </w:tcBorders>
            <w:shd w:val="clear" w:color="auto" w:fill="auto"/>
            <w:noWrap/>
            <w:vAlign w:val="bottom"/>
            <w:hideMark/>
          </w:tcPr>
          <w:p w14:paraId="41AF2EA0" w14:textId="77777777" w:rsidR="00300EE7" w:rsidRPr="00205C60" w:rsidRDefault="00300EE7" w:rsidP="00300EE7">
            <w:pPr>
              <w:rPr>
                <w:rFonts w:ascii="Arial" w:hAnsi="Arial" w:cs="Arial"/>
                <w:color w:val="000000"/>
                <w:sz w:val="18"/>
                <w:szCs w:val="18"/>
                <w:lang w:val="es-CR" w:eastAsia="es-CR"/>
              </w:rPr>
            </w:pPr>
          </w:p>
        </w:tc>
        <w:tc>
          <w:tcPr>
            <w:tcW w:w="1359" w:type="dxa"/>
            <w:tcBorders>
              <w:top w:val="nil"/>
              <w:left w:val="nil"/>
              <w:bottom w:val="nil"/>
              <w:right w:val="nil"/>
            </w:tcBorders>
            <w:shd w:val="clear" w:color="auto" w:fill="auto"/>
            <w:noWrap/>
            <w:vAlign w:val="bottom"/>
            <w:hideMark/>
          </w:tcPr>
          <w:p w14:paraId="789C834B" w14:textId="77777777" w:rsidR="00300EE7" w:rsidRPr="00205C60" w:rsidRDefault="00300EE7" w:rsidP="00300EE7">
            <w:pPr>
              <w:rPr>
                <w:sz w:val="18"/>
                <w:szCs w:val="18"/>
                <w:lang w:val="es-CR" w:eastAsia="es-CR"/>
              </w:rPr>
            </w:pPr>
          </w:p>
        </w:tc>
        <w:tc>
          <w:tcPr>
            <w:tcW w:w="1553" w:type="dxa"/>
            <w:tcBorders>
              <w:top w:val="nil"/>
              <w:left w:val="nil"/>
              <w:bottom w:val="nil"/>
              <w:right w:val="nil"/>
            </w:tcBorders>
            <w:shd w:val="clear" w:color="auto" w:fill="auto"/>
            <w:noWrap/>
            <w:vAlign w:val="bottom"/>
          </w:tcPr>
          <w:p w14:paraId="2765C5EA" w14:textId="77777777" w:rsidR="00300EE7" w:rsidRPr="00205C60" w:rsidRDefault="00300EE7" w:rsidP="003E0FEE">
            <w:pPr>
              <w:jc w:val="right"/>
              <w:rPr>
                <w:sz w:val="18"/>
                <w:szCs w:val="18"/>
                <w:lang w:val="es-CR" w:eastAsia="es-CR"/>
              </w:rPr>
            </w:pPr>
          </w:p>
        </w:tc>
        <w:tc>
          <w:tcPr>
            <w:tcW w:w="1158" w:type="dxa"/>
            <w:tcBorders>
              <w:top w:val="nil"/>
              <w:left w:val="nil"/>
              <w:bottom w:val="nil"/>
              <w:right w:val="nil"/>
            </w:tcBorders>
            <w:shd w:val="clear" w:color="auto" w:fill="auto"/>
            <w:noWrap/>
            <w:vAlign w:val="bottom"/>
            <w:hideMark/>
          </w:tcPr>
          <w:p w14:paraId="06666A9E" w14:textId="77777777" w:rsidR="00300EE7" w:rsidRPr="00205C60" w:rsidRDefault="00300EE7" w:rsidP="00300EE7">
            <w:pPr>
              <w:rPr>
                <w:sz w:val="18"/>
                <w:szCs w:val="18"/>
                <w:lang w:val="es-CR" w:eastAsia="es-CR"/>
              </w:rPr>
            </w:pPr>
          </w:p>
        </w:tc>
      </w:tr>
      <w:tr w:rsidR="00300EE7" w:rsidRPr="00205C60" w14:paraId="3DFAF0E5" w14:textId="77777777" w:rsidTr="00EF4C10">
        <w:trPr>
          <w:trHeight w:val="220"/>
        </w:trPr>
        <w:tc>
          <w:tcPr>
            <w:tcW w:w="3738" w:type="dxa"/>
            <w:tcBorders>
              <w:top w:val="nil"/>
              <w:left w:val="single" w:sz="4" w:space="0" w:color="auto"/>
              <w:bottom w:val="nil"/>
              <w:right w:val="nil"/>
            </w:tcBorders>
            <w:shd w:val="clear" w:color="auto" w:fill="auto"/>
            <w:noWrap/>
            <w:vAlign w:val="bottom"/>
            <w:hideMark/>
          </w:tcPr>
          <w:p w14:paraId="165EDC67" w14:textId="77777777" w:rsidR="00300EE7" w:rsidRPr="00205C60" w:rsidRDefault="00300EE7" w:rsidP="00300EE7">
            <w:pPr>
              <w:rPr>
                <w:rFonts w:ascii="Arial" w:hAnsi="Arial" w:cs="Arial"/>
                <w:b/>
                <w:bCs/>
                <w:color w:val="000000"/>
                <w:sz w:val="18"/>
                <w:szCs w:val="18"/>
                <w:lang w:val="es-CR" w:eastAsia="es-CR"/>
              </w:rPr>
            </w:pPr>
            <w:r w:rsidRPr="00205C60">
              <w:rPr>
                <w:rFonts w:ascii="Arial" w:hAnsi="Arial" w:cs="Arial"/>
                <w:b/>
                <w:bCs/>
                <w:color w:val="000000"/>
                <w:sz w:val="18"/>
                <w:szCs w:val="18"/>
                <w:lang w:val="es-CR" w:eastAsia="es-CR"/>
              </w:rPr>
              <w:t>Otros Gastos</w:t>
            </w:r>
          </w:p>
        </w:tc>
        <w:tc>
          <w:tcPr>
            <w:tcW w:w="1425" w:type="dxa"/>
            <w:tcBorders>
              <w:top w:val="nil"/>
              <w:left w:val="nil"/>
              <w:bottom w:val="nil"/>
              <w:right w:val="nil"/>
            </w:tcBorders>
            <w:shd w:val="clear" w:color="auto" w:fill="auto"/>
            <w:noWrap/>
            <w:vAlign w:val="bottom"/>
            <w:hideMark/>
          </w:tcPr>
          <w:p w14:paraId="503A2034" w14:textId="77777777" w:rsidR="00300EE7" w:rsidRPr="00205C60" w:rsidRDefault="00300EE7" w:rsidP="00300EE7">
            <w:pPr>
              <w:rPr>
                <w:rFonts w:ascii="Arial" w:hAnsi="Arial" w:cs="Arial"/>
                <w:b/>
                <w:bCs/>
                <w:color w:val="000000"/>
                <w:sz w:val="18"/>
                <w:szCs w:val="18"/>
                <w:lang w:val="es-CR" w:eastAsia="es-CR"/>
              </w:rPr>
            </w:pPr>
          </w:p>
        </w:tc>
        <w:tc>
          <w:tcPr>
            <w:tcW w:w="1359" w:type="dxa"/>
            <w:tcBorders>
              <w:top w:val="nil"/>
              <w:left w:val="nil"/>
              <w:bottom w:val="nil"/>
              <w:right w:val="nil"/>
            </w:tcBorders>
            <w:shd w:val="clear" w:color="auto" w:fill="auto"/>
            <w:noWrap/>
            <w:vAlign w:val="bottom"/>
            <w:hideMark/>
          </w:tcPr>
          <w:p w14:paraId="60F23AFD" w14:textId="77777777" w:rsidR="00300EE7" w:rsidRPr="00205C60" w:rsidRDefault="00300EE7" w:rsidP="00300EE7">
            <w:pPr>
              <w:rPr>
                <w:sz w:val="18"/>
                <w:szCs w:val="18"/>
                <w:lang w:val="es-CR" w:eastAsia="es-CR"/>
              </w:rPr>
            </w:pPr>
          </w:p>
        </w:tc>
        <w:tc>
          <w:tcPr>
            <w:tcW w:w="1553" w:type="dxa"/>
            <w:tcBorders>
              <w:top w:val="nil"/>
              <w:left w:val="nil"/>
              <w:bottom w:val="nil"/>
              <w:right w:val="nil"/>
            </w:tcBorders>
            <w:shd w:val="clear" w:color="auto" w:fill="auto"/>
            <w:noWrap/>
            <w:vAlign w:val="bottom"/>
          </w:tcPr>
          <w:p w14:paraId="47CDDC6B" w14:textId="77777777" w:rsidR="00300EE7" w:rsidRPr="00205C60" w:rsidRDefault="00300EE7" w:rsidP="00300EE7">
            <w:pPr>
              <w:rPr>
                <w:sz w:val="18"/>
                <w:szCs w:val="18"/>
                <w:lang w:val="es-CR" w:eastAsia="es-CR"/>
              </w:rPr>
            </w:pPr>
          </w:p>
        </w:tc>
        <w:tc>
          <w:tcPr>
            <w:tcW w:w="1158" w:type="dxa"/>
            <w:tcBorders>
              <w:top w:val="nil"/>
              <w:left w:val="nil"/>
              <w:bottom w:val="nil"/>
              <w:right w:val="nil"/>
            </w:tcBorders>
            <w:shd w:val="clear" w:color="auto" w:fill="auto"/>
            <w:noWrap/>
            <w:vAlign w:val="bottom"/>
            <w:hideMark/>
          </w:tcPr>
          <w:p w14:paraId="3F8DCCEA" w14:textId="77777777" w:rsidR="00300EE7" w:rsidRPr="00205C60" w:rsidRDefault="00300EE7" w:rsidP="00300EE7">
            <w:pPr>
              <w:rPr>
                <w:sz w:val="18"/>
                <w:szCs w:val="18"/>
                <w:lang w:val="es-CR" w:eastAsia="es-CR"/>
              </w:rPr>
            </w:pPr>
          </w:p>
        </w:tc>
      </w:tr>
      <w:tr w:rsidR="00300EE7" w:rsidRPr="00205C60" w14:paraId="392A8013" w14:textId="77777777" w:rsidTr="00EF4C10">
        <w:trPr>
          <w:trHeight w:val="220"/>
        </w:trPr>
        <w:tc>
          <w:tcPr>
            <w:tcW w:w="3738" w:type="dxa"/>
            <w:tcBorders>
              <w:top w:val="nil"/>
              <w:left w:val="single" w:sz="4" w:space="0" w:color="auto"/>
              <w:bottom w:val="nil"/>
              <w:right w:val="nil"/>
            </w:tcBorders>
            <w:shd w:val="clear" w:color="auto" w:fill="auto"/>
            <w:noWrap/>
            <w:vAlign w:val="bottom"/>
            <w:hideMark/>
          </w:tcPr>
          <w:p w14:paraId="5EF84A65" w14:textId="77777777" w:rsidR="00300EE7" w:rsidRPr="00205C60" w:rsidRDefault="00300EE7" w:rsidP="00300EE7">
            <w:pPr>
              <w:rPr>
                <w:rFonts w:ascii="Arial" w:hAnsi="Arial" w:cs="Arial"/>
                <w:color w:val="000000"/>
                <w:sz w:val="18"/>
                <w:szCs w:val="18"/>
                <w:lang w:val="es-CR" w:eastAsia="es-CR"/>
              </w:rPr>
            </w:pPr>
            <w:r w:rsidRPr="00205C60">
              <w:rPr>
                <w:rFonts w:ascii="Arial" w:hAnsi="Arial" w:cs="Arial"/>
                <w:color w:val="000000"/>
                <w:sz w:val="18"/>
                <w:szCs w:val="18"/>
                <w:lang w:val="es-CR" w:eastAsia="es-CR"/>
              </w:rPr>
              <w:t>Ingresos (gastos) por diferencias de cambio</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AF049" w14:textId="58C8470A" w:rsidR="00300EE7" w:rsidRPr="00205C60" w:rsidRDefault="00300EE7" w:rsidP="00300EE7">
            <w:pPr>
              <w:rPr>
                <w:rFonts w:ascii="Arial" w:hAnsi="Arial" w:cs="Arial"/>
                <w:color w:val="000000"/>
                <w:sz w:val="18"/>
                <w:szCs w:val="18"/>
                <w:lang w:val="es-CR" w:eastAsia="es-CR"/>
              </w:rPr>
            </w:pPr>
            <w:r w:rsidRPr="00205C60">
              <w:rPr>
                <w:rFonts w:ascii="Arial" w:hAnsi="Arial" w:cs="Arial"/>
                <w:color w:val="000000"/>
                <w:sz w:val="18"/>
                <w:szCs w:val="18"/>
                <w:lang w:val="es-CR" w:eastAsia="es-CR"/>
              </w:rPr>
              <w:t xml:space="preserve">      2 534 219 </w:t>
            </w:r>
          </w:p>
        </w:tc>
        <w:tc>
          <w:tcPr>
            <w:tcW w:w="1359" w:type="dxa"/>
            <w:tcBorders>
              <w:top w:val="single" w:sz="4" w:space="0" w:color="auto"/>
              <w:left w:val="nil"/>
              <w:bottom w:val="single" w:sz="4" w:space="0" w:color="auto"/>
              <w:right w:val="single" w:sz="4" w:space="0" w:color="auto"/>
            </w:tcBorders>
            <w:shd w:val="clear" w:color="auto" w:fill="auto"/>
            <w:noWrap/>
            <w:vAlign w:val="bottom"/>
          </w:tcPr>
          <w:p w14:paraId="33F11A6E" w14:textId="676DEBE8" w:rsidR="00300EE7" w:rsidRPr="00205C60" w:rsidRDefault="00165BB1" w:rsidP="00D76CD1">
            <w:pPr>
              <w:jc w:val="right"/>
              <w:rPr>
                <w:rFonts w:ascii="Arial" w:hAnsi="Arial" w:cs="Arial"/>
                <w:color w:val="000000"/>
                <w:sz w:val="18"/>
                <w:szCs w:val="18"/>
                <w:lang w:val="es-CR" w:eastAsia="es-CR"/>
              </w:rPr>
            </w:pPr>
            <w:r w:rsidRPr="00205C60">
              <w:rPr>
                <w:rFonts w:ascii="Arial" w:hAnsi="Arial" w:cs="Arial"/>
                <w:color w:val="000000"/>
                <w:sz w:val="18"/>
                <w:szCs w:val="18"/>
                <w:lang w:val="es-CR" w:eastAsia="es-CR"/>
              </w:rPr>
              <w:t>120 149</w:t>
            </w:r>
          </w:p>
        </w:tc>
        <w:tc>
          <w:tcPr>
            <w:tcW w:w="1553" w:type="dxa"/>
            <w:tcBorders>
              <w:top w:val="single" w:sz="4" w:space="0" w:color="auto"/>
              <w:left w:val="nil"/>
              <w:bottom w:val="single" w:sz="4" w:space="0" w:color="auto"/>
              <w:right w:val="single" w:sz="4" w:space="0" w:color="auto"/>
            </w:tcBorders>
            <w:shd w:val="clear" w:color="auto" w:fill="auto"/>
            <w:noWrap/>
            <w:vAlign w:val="bottom"/>
          </w:tcPr>
          <w:p w14:paraId="438FB5D1" w14:textId="1A29E8EF" w:rsidR="00300EE7" w:rsidRPr="00205C60" w:rsidRDefault="00FD7F21" w:rsidP="00F002EF">
            <w:pPr>
              <w:jc w:val="right"/>
              <w:rPr>
                <w:rFonts w:ascii="Arial" w:hAnsi="Arial" w:cs="Arial"/>
                <w:color w:val="000000"/>
                <w:sz w:val="18"/>
                <w:szCs w:val="18"/>
                <w:lang w:val="es-CR" w:eastAsia="es-CR"/>
              </w:rPr>
            </w:pPr>
            <w:r w:rsidRPr="00205C60">
              <w:rPr>
                <w:rFonts w:ascii="Arial" w:hAnsi="Arial" w:cs="Arial"/>
                <w:color w:val="000000"/>
                <w:sz w:val="18"/>
                <w:szCs w:val="18"/>
                <w:lang w:val="es-CR" w:eastAsia="es-CR"/>
              </w:rPr>
              <w:t>-</w:t>
            </w:r>
            <w:r w:rsidR="00F002EF" w:rsidRPr="00205C60">
              <w:rPr>
                <w:rFonts w:ascii="Arial" w:hAnsi="Arial" w:cs="Arial"/>
                <w:color w:val="000000"/>
                <w:sz w:val="18"/>
                <w:szCs w:val="18"/>
                <w:lang w:val="es-CR" w:eastAsia="es-CR"/>
              </w:rPr>
              <w:t>2 414 070</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14:paraId="7B3EF42E" w14:textId="564DADD7" w:rsidR="00300EE7" w:rsidRPr="00205C60" w:rsidRDefault="00AB5025" w:rsidP="00300EE7">
            <w:pPr>
              <w:jc w:val="right"/>
              <w:rPr>
                <w:rFonts w:ascii="Arial" w:hAnsi="Arial" w:cs="Arial"/>
                <w:color w:val="000000"/>
                <w:sz w:val="18"/>
                <w:szCs w:val="18"/>
                <w:lang w:val="es-CR" w:eastAsia="es-CR"/>
              </w:rPr>
            </w:pPr>
            <w:r w:rsidRPr="00205C60">
              <w:rPr>
                <w:rFonts w:ascii="Arial" w:hAnsi="Arial" w:cs="Arial"/>
                <w:color w:val="000000"/>
                <w:sz w:val="18"/>
                <w:szCs w:val="18"/>
                <w:lang w:val="es-CR" w:eastAsia="es-CR"/>
              </w:rPr>
              <w:t>-</w:t>
            </w:r>
            <w:r w:rsidR="00C16C81" w:rsidRPr="00205C60">
              <w:rPr>
                <w:rFonts w:ascii="Arial" w:hAnsi="Arial" w:cs="Arial"/>
                <w:color w:val="000000"/>
                <w:sz w:val="18"/>
                <w:szCs w:val="18"/>
                <w:lang w:val="es-CR" w:eastAsia="es-CR"/>
              </w:rPr>
              <w:t>95</w:t>
            </w:r>
            <w:r w:rsidR="00300EE7" w:rsidRPr="00205C60">
              <w:rPr>
                <w:rFonts w:ascii="Arial" w:hAnsi="Arial" w:cs="Arial"/>
                <w:color w:val="000000"/>
                <w:sz w:val="18"/>
                <w:szCs w:val="18"/>
                <w:lang w:val="es-CR" w:eastAsia="es-CR"/>
              </w:rPr>
              <w:t>,</w:t>
            </w:r>
            <w:r w:rsidR="00C16C81" w:rsidRPr="00205C60">
              <w:rPr>
                <w:rFonts w:ascii="Arial" w:hAnsi="Arial" w:cs="Arial"/>
                <w:color w:val="000000"/>
                <w:sz w:val="18"/>
                <w:szCs w:val="18"/>
                <w:lang w:val="es-CR" w:eastAsia="es-CR"/>
              </w:rPr>
              <w:t>26</w:t>
            </w:r>
            <w:r w:rsidR="00300EE7" w:rsidRPr="00205C60">
              <w:rPr>
                <w:rFonts w:ascii="Arial" w:hAnsi="Arial" w:cs="Arial"/>
                <w:color w:val="000000"/>
                <w:sz w:val="18"/>
                <w:szCs w:val="18"/>
                <w:lang w:val="es-CR" w:eastAsia="es-CR"/>
              </w:rPr>
              <w:t>%</w:t>
            </w:r>
          </w:p>
        </w:tc>
      </w:tr>
      <w:tr w:rsidR="00300EE7" w:rsidRPr="00205C60" w14:paraId="76A037C6" w14:textId="77777777" w:rsidTr="00EF4C10">
        <w:trPr>
          <w:trHeight w:val="220"/>
        </w:trPr>
        <w:tc>
          <w:tcPr>
            <w:tcW w:w="3738" w:type="dxa"/>
            <w:tcBorders>
              <w:top w:val="nil"/>
              <w:left w:val="single" w:sz="4" w:space="0" w:color="auto"/>
              <w:bottom w:val="nil"/>
              <w:right w:val="nil"/>
            </w:tcBorders>
            <w:shd w:val="clear" w:color="auto" w:fill="auto"/>
            <w:noWrap/>
            <w:vAlign w:val="bottom"/>
            <w:hideMark/>
          </w:tcPr>
          <w:p w14:paraId="2E801A04" w14:textId="77777777" w:rsidR="00300EE7" w:rsidRPr="00205C60" w:rsidRDefault="00300EE7" w:rsidP="00300EE7">
            <w:pPr>
              <w:rPr>
                <w:rFonts w:ascii="Arial" w:hAnsi="Arial" w:cs="Arial"/>
                <w:color w:val="000000"/>
                <w:sz w:val="18"/>
                <w:szCs w:val="18"/>
                <w:lang w:val="es-CR" w:eastAsia="es-CR"/>
              </w:rPr>
            </w:pPr>
            <w:r w:rsidRPr="00205C60">
              <w:rPr>
                <w:rFonts w:ascii="Arial" w:hAnsi="Arial" w:cs="Arial"/>
                <w:color w:val="000000"/>
                <w:sz w:val="18"/>
                <w:szCs w:val="18"/>
                <w:lang w:val="es-CR" w:eastAsia="es-CR"/>
              </w:rPr>
              <w:t>Ingresos (gastos) por intereses</w:t>
            </w:r>
          </w:p>
        </w:tc>
        <w:tc>
          <w:tcPr>
            <w:tcW w:w="1425" w:type="dxa"/>
            <w:tcBorders>
              <w:top w:val="nil"/>
              <w:left w:val="single" w:sz="4" w:space="0" w:color="auto"/>
              <w:bottom w:val="single" w:sz="4" w:space="0" w:color="auto"/>
              <w:right w:val="single" w:sz="4" w:space="0" w:color="auto"/>
            </w:tcBorders>
            <w:shd w:val="clear" w:color="auto" w:fill="auto"/>
            <w:noWrap/>
            <w:vAlign w:val="bottom"/>
            <w:hideMark/>
          </w:tcPr>
          <w:p w14:paraId="0372DF60" w14:textId="1C557AB3" w:rsidR="00300EE7" w:rsidRPr="00205C60" w:rsidRDefault="00300EE7" w:rsidP="00300EE7">
            <w:pPr>
              <w:rPr>
                <w:rFonts w:ascii="Arial" w:hAnsi="Arial" w:cs="Arial"/>
                <w:color w:val="000000"/>
                <w:sz w:val="18"/>
                <w:szCs w:val="18"/>
                <w:lang w:val="es-CR" w:eastAsia="es-CR"/>
              </w:rPr>
            </w:pPr>
            <w:r w:rsidRPr="00205C60">
              <w:rPr>
                <w:rFonts w:ascii="Arial" w:hAnsi="Arial" w:cs="Arial"/>
                <w:color w:val="000000"/>
                <w:sz w:val="18"/>
                <w:szCs w:val="18"/>
                <w:lang w:val="es-CR" w:eastAsia="es-CR"/>
              </w:rPr>
              <w:t xml:space="preserve">    12 245 343 </w:t>
            </w:r>
          </w:p>
        </w:tc>
        <w:tc>
          <w:tcPr>
            <w:tcW w:w="1359" w:type="dxa"/>
            <w:tcBorders>
              <w:top w:val="nil"/>
              <w:left w:val="nil"/>
              <w:bottom w:val="single" w:sz="4" w:space="0" w:color="auto"/>
              <w:right w:val="single" w:sz="4" w:space="0" w:color="auto"/>
            </w:tcBorders>
            <w:shd w:val="clear" w:color="auto" w:fill="auto"/>
            <w:noWrap/>
            <w:vAlign w:val="bottom"/>
          </w:tcPr>
          <w:p w14:paraId="68F02A22" w14:textId="5DAAE4A3" w:rsidR="00300EE7" w:rsidRPr="00205C60" w:rsidRDefault="00165BB1" w:rsidP="00D76CD1">
            <w:pPr>
              <w:jc w:val="right"/>
              <w:rPr>
                <w:rFonts w:ascii="Arial" w:hAnsi="Arial" w:cs="Arial"/>
                <w:color w:val="000000"/>
                <w:sz w:val="18"/>
                <w:szCs w:val="18"/>
                <w:lang w:val="es-CR" w:eastAsia="es-CR"/>
              </w:rPr>
            </w:pPr>
            <w:r w:rsidRPr="00205C60">
              <w:rPr>
                <w:rFonts w:ascii="Arial" w:hAnsi="Arial" w:cs="Arial"/>
                <w:color w:val="000000"/>
                <w:sz w:val="18"/>
                <w:szCs w:val="18"/>
                <w:lang w:val="es-CR" w:eastAsia="es-CR"/>
              </w:rPr>
              <w:t xml:space="preserve">12 </w:t>
            </w:r>
            <w:r w:rsidR="00D76CD1" w:rsidRPr="00205C60">
              <w:rPr>
                <w:rFonts w:ascii="Arial" w:hAnsi="Arial" w:cs="Arial"/>
                <w:color w:val="000000"/>
                <w:sz w:val="18"/>
                <w:szCs w:val="18"/>
                <w:lang w:val="es-CR" w:eastAsia="es-CR"/>
              </w:rPr>
              <w:t>642 763</w:t>
            </w:r>
          </w:p>
        </w:tc>
        <w:tc>
          <w:tcPr>
            <w:tcW w:w="1553" w:type="dxa"/>
            <w:tcBorders>
              <w:top w:val="nil"/>
              <w:left w:val="nil"/>
              <w:bottom w:val="single" w:sz="4" w:space="0" w:color="auto"/>
              <w:right w:val="single" w:sz="4" w:space="0" w:color="auto"/>
            </w:tcBorders>
            <w:shd w:val="clear" w:color="auto" w:fill="auto"/>
            <w:noWrap/>
            <w:vAlign w:val="bottom"/>
          </w:tcPr>
          <w:p w14:paraId="608D4666" w14:textId="54D9C987" w:rsidR="00300EE7" w:rsidRPr="00205C60" w:rsidRDefault="00F002EF" w:rsidP="00F002EF">
            <w:pPr>
              <w:jc w:val="right"/>
              <w:rPr>
                <w:rFonts w:ascii="Arial" w:hAnsi="Arial" w:cs="Arial"/>
                <w:color w:val="000000"/>
                <w:sz w:val="18"/>
                <w:szCs w:val="18"/>
                <w:lang w:val="es-CR" w:eastAsia="es-CR"/>
              </w:rPr>
            </w:pPr>
            <w:r w:rsidRPr="00205C60">
              <w:rPr>
                <w:rFonts w:ascii="Arial" w:hAnsi="Arial" w:cs="Arial"/>
                <w:color w:val="000000"/>
                <w:sz w:val="18"/>
                <w:szCs w:val="18"/>
                <w:lang w:val="es-CR" w:eastAsia="es-CR"/>
              </w:rPr>
              <w:t>397 420</w:t>
            </w:r>
          </w:p>
        </w:tc>
        <w:tc>
          <w:tcPr>
            <w:tcW w:w="1158" w:type="dxa"/>
            <w:tcBorders>
              <w:top w:val="nil"/>
              <w:left w:val="nil"/>
              <w:bottom w:val="single" w:sz="4" w:space="0" w:color="auto"/>
              <w:right w:val="single" w:sz="4" w:space="0" w:color="auto"/>
            </w:tcBorders>
            <w:shd w:val="clear" w:color="auto" w:fill="auto"/>
            <w:noWrap/>
            <w:vAlign w:val="bottom"/>
            <w:hideMark/>
          </w:tcPr>
          <w:p w14:paraId="26D28E0C" w14:textId="6BDDF4AD" w:rsidR="00300EE7" w:rsidRPr="00205C60" w:rsidRDefault="008B49DB" w:rsidP="00300EE7">
            <w:pPr>
              <w:jc w:val="right"/>
              <w:rPr>
                <w:rFonts w:ascii="Arial" w:hAnsi="Arial" w:cs="Arial"/>
                <w:color w:val="000000"/>
                <w:sz w:val="18"/>
                <w:szCs w:val="18"/>
                <w:lang w:val="es-CR" w:eastAsia="es-CR"/>
              </w:rPr>
            </w:pPr>
            <w:r w:rsidRPr="00205C60">
              <w:rPr>
                <w:rFonts w:ascii="Arial" w:hAnsi="Arial" w:cs="Arial"/>
                <w:color w:val="000000"/>
                <w:sz w:val="18"/>
                <w:szCs w:val="18"/>
                <w:lang w:val="es-CR" w:eastAsia="es-CR"/>
              </w:rPr>
              <w:t>3</w:t>
            </w:r>
            <w:r w:rsidR="00300EE7" w:rsidRPr="00205C60">
              <w:rPr>
                <w:rFonts w:ascii="Arial" w:hAnsi="Arial" w:cs="Arial"/>
                <w:color w:val="000000"/>
                <w:sz w:val="18"/>
                <w:szCs w:val="18"/>
                <w:lang w:val="es-CR" w:eastAsia="es-CR"/>
              </w:rPr>
              <w:t>,</w:t>
            </w:r>
            <w:r w:rsidRPr="00205C60">
              <w:rPr>
                <w:rFonts w:ascii="Arial" w:hAnsi="Arial" w:cs="Arial"/>
                <w:color w:val="000000"/>
                <w:sz w:val="18"/>
                <w:szCs w:val="18"/>
                <w:lang w:val="es-CR" w:eastAsia="es-CR"/>
              </w:rPr>
              <w:t>25</w:t>
            </w:r>
            <w:r w:rsidR="00300EE7" w:rsidRPr="00205C60">
              <w:rPr>
                <w:rFonts w:ascii="Arial" w:hAnsi="Arial" w:cs="Arial"/>
                <w:color w:val="000000"/>
                <w:sz w:val="18"/>
                <w:szCs w:val="18"/>
                <w:lang w:val="es-CR" w:eastAsia="es-CR"/>
              </w:rPr>
              <w:t>%</w:t>
            </w:r>
          </w:p>
        </w:tc>
      </w:tr>
      <w:tr w:rsidR="00300EE7" w:rsidRPr="00205C60" w14:paraId="090637B0" w14:textId="77777777" w:rsidTr="00EF4C10">
        <w:trPr>
          <w:trHeight w:val="220"/>
        </w:trPr>
        <w:tc>
          <w:tcPr>
            <w:tcW w:w="3738" w:type="dxa"/>
            <w:tcBorders>
              <w:top w:val="nil"/>
              <w:left w:val="single" w:sz="4" w:space="0" w:color="auto"/>
              <w:bottom w:val="nil"/>
              <w:right w:val="nil"/>
            </w:tcBorders>
            <w:shd w:val="clear" w:color="auto" w:fill="auto"/>
            <w:noWrap/>
            <w:vAlign w:val="bottom"/>
            <w:hideMark/>
          </w:tcPr>
          <w:p w14:paraId="7B88A9D3" w14:textId="77777777" w:rsidR="00300EE7" w:rsidRPr="00205C60" w:rsidRDefault="00300EE7" w:rsidP="00300EE7">
            <w:pPr>
              <w:rPr>
                <w:rFonts w:ascii="Arial" w:hAnsi="Arial" w:cs="Arial"/>
                <w:b/>
                <w:bCs/>
                <w:color w:val="000000"/>
                <w:sz w:val="18"/>
                <w:szCs w:val="18"/>
                <w:lang w:val="es-CR" w:eastAsia="es-CR"/>
              </w:rPr>
            </w:pPr>
            <w:r w:rsidRPr="00205C60">
              <w:rPr>
                <w:rFonts w:ascii="Arial" w:hAnsi="Arial" w:cs="Arial"/>
                <w:b/>
                <w:bCs/>
                <w:color w:val="000000"/>
                <w:sz w:val="18"/>
                <w:szCs w:val="18"/>
                <w:lang w:val="es-CR" w:eastAsia="es-CR"/>
              </w:rPr>
              <w:t>Total Otros Gastos</w:t>
            </w:r>
          </w:p>
        </w:tc>
        <w:tc>
          <w:tcPr>
            <w:tcW w:w="1425" w:type="dxa"/>
            <w:tcBorders>
              <w:top w:val="nil"/>
              <w:left w:val="single" w:sz="4" w:space="0" w:color="auto"/>
              <w:bottom w:val="single" w:sz="4" w:space="0" w:color="auto"/>
              <w:right w:val="single" w:sz="4" w:space="0" w:color="auto"/>
            </w:tcBorders>
            <w:shd w:val="clear" w:color="auto" w:fill="auto"/>
            <w:noWrap/>
            <w:vAlign w:val="bottom"/>
            <w:hideMark/>
          </w:tcPr>
          <w:p w14:paraId="44E81071" w14:textId="37F8CE3E" w:rsidR="00300EE7" w:rsidRPr="00205C60" w:rsidRDefault="00300EE7" w:rsidP="00300EE7">
            <w:pPr>
              <w:rPr>
                <w:rFonts w:ascii="Arial" w:hAnsi="Arial" w:cs="Arial"/>
                <w:b/>
                <w:bCs/>
                <w:color w:val="000000"/>
                <w:sz w:val="18"/>
                <w:szCs w:val="18"/>
                <w:lang w:val="es-CR" w:eastAsia="es-CR"/>
              </w:rPr>
            </w:pPr>
            <w:r w:rsidRPr="00205C60">
              <w:rPr>
                <w:rFonts w:ascii="Arial" w:hAnsi="Arial" w:cs="Arial"/>
                <w:b/>
                <w:bCs/>
                <w:color w:val="000000"/>
                <w:sz w:val="18"/>
                <w:szCs w:val="18"/>
                <w:lang w:val="es-CR" w:eastAsia="es-CR"/>
              </w:rPr>
              <w:t xml:space="preserve">    14 779 562 </w:t>
            </w:r>
          </w:p>
        </w:tc>
        <w:tc>
          <w:tcPr>
            <w:tcW w:w="1359" w:type="dxa"/>
            <w:tcBorders>
              <w:top w:val="nil"/>
              <w:left w:val="nil"/>
              <w:bottom w:val="single" w:sz="4" w:space="0" w:color="auto"/>
              <w:right w:val="single" w:sz="4" w:space="0" w:color="auto"/>
            </w:tcBorders>
            <w:shd w:val="clear" w:color="auto" w:fill="auto"/>
            <w:noWrap/>
            <w:vAlign w:val="bottom"/>
          </w:tcPr>
          <w:p w14:paraId="15CBA495" w14:textId="38347115" w:rsidR="00300EE7" w:rsidRPr="00205C60" w:rsidRDefault="00D76CD1" w:rsidP="00D76CD1">
            <w:pPr>
              <w:jc w:val="right"/>
              <w:rPr>
                <w:rFonts w:ascii="Arial" w:hAnsi="Arial" w:cs="Arial"/>
                <w:b/>
                <w:bCs/>
                <w:color w:val="000000"/>
                <w:sz w:val="18"/>
                <w:szCs w:val="18"/>
                <w:lang w:val="es-CR" w:eastAsia="es-CR"/>
              </w:rPr>
            </w:pPr>
            <w:r w:rsidRPr="00205C60">
              <w:rPr>
                <w:rFonts w:ascii="Arial" w:hAnsi="Arial" w:cs="Arial"/>
                <w:b/>
                <w:bCs/>
                <w:color w:val="000000"/>
                <w:sz w:val="18"/>
                <w:szCs w:val="18"/>
                <w:lang w:val="es-CR" w:eastAsia="es-CR"/>
              </w:rPr>
              <w:t>12 762 912</w:t>
            </w:r>
          </w:p>
        </w:tc>
        <w:tc>
          <w:tcPr>
            <w:tcW w:w="1553" w:type="dxa"/>
            <w:tcBorders>
              <w:top w:val="nil"/>
              <w:left w:val="nil"/>
              <w:bottom w:val="single" w:sz="4" w:space="0" w:color="auto"/>
              <w:right w:val="single" w:sz="4" w:space="0" w:color="auto"/>
            </w:tcBorders>
            <w:shd w:val="clear" w:color="auto" w:fill="auto"/>
            <w:noWrap/>
            <w:vAlign w:val="bottom"/>
          </w:tcPr>
          <w:p w14:paraId="4075A053" w14:textId="42151C6E" w:rsidR="00300EE7" w:rsidRPr="00205C60" w:rsidRDefault="00FD7F21" w:rsidP="00F002EF">
            <w:pPr>
              <w:jc w:val="right"/>
              <w:rPr>
                <w:rFonts w:ascii="Arial" w:hAnsi="Arial" w:cs="Arial"/>
                <w:b/>
                <w:bCs/>
                <w:color w:val="000000"/>
                <w:sz w:val="18"/>
                <w:szCs w:val="18"/>
                <w:lang w:val="es-CR" w:eastAsia="es-CR"/>
              </w:rPr>
            </w:pPr>
            <w:r w:rsidRPr="00205C60">
              <w:rPr>
                <w:rFonts w:ascii="Arial" w:hAnsi="Arial" w:cs="Arial"/>
                <w:b/>
                <w:bCs/>
                <w:color w:val="000000"/>
                <w:sz w:val="18"/>
                <w:szCs w:val="18"/>
                <w:lang w:val="es-CR" w:eastAsia="es-CR"/>
              </w:rPr>
              <w:t>-</w:t>
            </w:r>
            <w:r w:rsidR="00F002EF" w:rsidRPr="00205C60">
              <w:rPr>
                <w:rFonts w:ascii="Arial" w:hAnsi="Arial" w:cs="Arial"/>
                <w:b/>
                <w:bCs/>
                <w:color w:val="000000"/>
                <w:sz w:val="18"/>
                <w:szCs w:val="18"/>
                <w:lang w:val="es-CR" w:eastAsia="es-CR"/>
              </w:rPr>
              <w:t>2 016 650</w:t>
            </w:r>
          </w:p>
        </w:tc>
        <w:tc>
          <w:tcPr>
            <w:tcW w:w="1158" w:type="dxa"/>
            <w:tcBorders>
              <w:top w:val="nil"/>
              <w:left w:val="nil"/>
              <w:bottom w:val="single" w:sz="4" w:space="0" w:color="auto"/>
              <w:right w:val="single" w:sz="4" w:space="0" w:color="auto"/>
            </w:tcBorders>
            <w:shd w:val="clear" w:color="auto" w:fill="auto"/>
            <w:noWrap/>
            <w:vAlign w:val="bottom"/>
            <w:hideMark/>
          </w:tcPr>
          <w:p w14:paraId="7B9472D4" w14:textId="78C91699" w:rsidR="00300EE7" w:rsidRPr="00205C60" w:rsidRDefault="00300EE7" w:rsidP="00300EE7">
            <w:pPr>
              <w:jc w:val="right"/>
              <w:rPr>
                <w:rFonts w:ascii="Arial" w:hAnsi="Arial" w:cs="Arial"/>
                <w:b/>
                <w:bCs/>
                <w:color w:val="000000"/>
                <w:sz w:val="18"/>
                <w:szCs w:val="18"/>
                <w:lang w:val="es-CR" w:eastAsia="es-CR"/>
              </w:rPr>
            </w:pPr>
            <w:r w:rsidRPr="00205C60">
              <w:rPr>
                <w:rFonts w:ascii="Arial" w:hAnsi="Arial" w:cs="Arial"/>
                <w:b/>
                <w:bCs/>
                <w:color w:val="000000"/>
                <w:sz w:val="18"/>
                <w:szCs w:val="18"/>
                <w:lang w:val="es-CR" w:eastAsia="es-CR"/>
              </w:rPr>
              <w:t>-</w:t>
            </w:r>
            <w:r w:rsidR="008B49DB" w:rsidRPr="00205C60">
              <w:rPr>
                <w:rFonts w:ascii="Arial" w:hAnsi="Arial" w:cs="Arial"/>
                <w:b/>
                <w:bCs/>
                <w:color w:val="000000"/>
                <w:sz w:val="18"/>
                <w:szCs w:val="18"/>
                <w:lang w:val="es-CR" w:eastAsia="es-CR"/>
              </w:rPr>
              <w:t>13</w:t>
            </w:r>
            <w:r w:rsidRPr="00205C60">
              <w:rPr>
                <w:rFonts w:ascii="Arial" w:hAnsi="Arial" w:cs="Arial"/>
                <w:b/>
                <w:bCs/>
                <w:color w:val="000000"/>
                <w:sz w:val="18"/>
                <w:szCs w:val="18"/>
                <w:lang w:val="es-CR" w:eastAsia="es-CR"/>
              </w:rPr>
              <w:t>,6</w:t>
            </w:r>
            <w:r w:rsidR="008B49DB" w:rsidRPr="00205C60">
              <w:rPr>
                <w:rFonts w:ascii="Arial" w:hAnsi="Arial" w:cs="Arial"/>
                <w:b/>
                <w:bCs/>
                <w:color w:val="000000"/>
                <w:sz w:val="18"/>
                <w:szCs w:val="18"/>
                <w:lang w:val="es-CR" w:eastAsia="es-CR"/>
              </w:rPr>
              <w:t>4</w:t>
            </w:r>
            <w:r w:rsidRPr="00205C60">
              <w:rPr>
                <w:rFonts w:ascii="Arial" w:hAnsi="Arial" w:cs="Arial"/>
                <w:b/>
                <w:bCs/>
                <w:color w:val="000000"/>
                <w:sz w:val="18"/>
                <w:szCs w:val="18"/>
                <w:lang w:val="es-CR" w:eastAsia="es-CR"/>
              </w:rPr>
              <w:t>%</w:t>
            </w:r>
          </w:p>
        </w:tc>
      </w:tr>
      <w:tr w:rsidR="00300EE7" w:rsidRPr="00205C60" w14:paraId="7E52600E" w14:textId="77777777" w:rsidTr="00EF4C10">
        <w:trPr>
          <w:trHeight w:val="220"/>
        </w:trPr>
        <w:tc>
          <w:tcPr>
            <w:tcW w:w="3738" w:type="dxa"/>
            <w:tcBorders>
              <w:top w:val="nil"/>
              <w:left w:val="single" w:sz="4" w:space="0" w:color="auto"/>
              <w:bottom w:val="single" w:sz="4" w:space="0" w:color="auto"/>
              <w:right w:val="nil"/>
            </w:tcBorders>
            <w:shd w:val="clear" w:color="auto" w:fill="auto"/>
            <w:noWrap/>
            <w:vAlign w:val="bottom"/>
            <w:hideMark/>
          </w:tcPr>
          <w:p w14:paraId="4E931A67" w14:textId="77777777" w:rsidR="00300EE7" w:rsidRPr="00205C60" w:rsidRDefault="00300EE7" w:rsidP="00300EE7">
            <w:pPr>
              <w:rPr>
                <w:rFonts w:ascii="Arial" w:hAnsi="Arial" w:cs="Arial"/>
                <w:b/>
                <w:bCs/>
                <w:color w:val="000000"/>
                <w:sz w:val="18"/>
                <w:szCs w:val="18"/>
                <w:lang w:val="es-CR" w:eastAsia="es-CR"/>
              </w:rPr>
            </w:pPr>
            <w:r w:rsidRPr="00205C60">
              <w:rPr>
                <w:rFonts w:ascii="Arial" w:hAnsi="Arial" w:cs="Arial"/>
                <w:b/>
                <w:bCs/>
                <w:color w:val="000000"/>
                <w:sz w:val="18"/>
                <w:szCs w:val="18"/>
                <w:lang w:val="es-CR" w:eastAsia="es-CR"/>
              </w:rPr>
              <w:t>Total Costos y Gastos</w:t>
            </w:r>
          </w:p>
        </w:tc>
        <w:tc>
          <w:tcPr>
            <w:tcW w:w="1425" w:type="dxa"/>
            <w:tcBorders>
              <w:top w:val="nil"/>
              <w:left w:val="single" w:sz="4" w:space="0" w:color="auto"/>
              <w:bottom w:val="single" w:sz="4" w:space="0" w:color="auto"/>
              <w:right w:val="single" w:sz="4" w:space="0" w:color="auto"/>
            </w:tcBorders>
            <w:shd w:val="clear" w:color="auto" w:fill="auto"/>
            <w:noWrap/>
            <w:vAlign w:val="bottom"/>
            <w:hideMark/>
          </w:tcPr>
          <w:p w14:paraId="7C68B57C" w14:textId="0CC8B7AC" w:rsidR="00300EE7" w:rsidRPr="00205C60" w:rsidRDefault="00300EE7" w:rsidP="00300EE7">
            <w:pPr>
              <w:rPr>
                <w:rFonts w:ascii="Arial" w:hAnsi="Arial" w:cs="Arial"/>
                <w:b/>
                <w:bCs/>
                <w:color w:val="000000"/>
                <w:sz w:val="18"/>
                <w:szCs w:val="18"/>
                <w:lang w:val="es-CR" w:eastAsia="es-CR"/>
              </w:rPr>
            </w:pPr>
            <w:r w:rsidRPr="00205C60">
              <w:rPr>
                <w:rFonts w:ascii="Arial" w:hAnsi="Arial" w:cs="Arial"/>
                <w:b/>
                <w:bCs/>
                <w:color w:val="000000"/>
                <w:sz w:val="18"/>
                <w:szCs w:val="18"/>
                <w:lang w:val="es-CR" w:eastAsia="es-CR"/>
              </w:rPr>
              <w:t xml:space="preserve">  305 486 871 </w:t>
            </w:r>
          </w:p>
        </w:tc>
        <w:tc>
          <w:tcPr>
            <w:tcW w:w="1359" w:type="dxa"/>
            <w:tcBorders>
              <w:top w:val="nil"/>
              <w:left w:val="nil"/>
              <w:bottom w:val="single" w:sz="4" w:space="0" w:color="auto"/>
              <w:right w:val="single" w:sz="4" w:space="0" w:color="auto"/>
            </w:tcBorders>
            <w:shd w:val="clear" w:color="auto" w:fill="auto"/>
            <w:noWrap/>
            <w:vAlign w:val="bottom"/>
          </w:tcPr>
          <w:p w14:paraId="58074E9B" w14:textId="418513D0" w:rsidR="00300EE7" w:rsidRPr="00205C60" w:rsidRDefault="00D76CD1" w:rsidP="00D76CD1">
            <w:pPr>
              <w:jc w:val="right"/>
              <w:rPr>
                <w:rFonts w:ascii="Arial" w:hAnsi="Arial" w:cs="Arial"/>
                <w:b/>
                <w:bCs/>
                <w:color w:val="000000"/>
                <w:sz w:val="18"/>
                <w:szCs w:val="18"/>
                <w:lang w:val="es-CR" w:eastAsia="es-CR"/>
              </w:rPr>
            </w:pPr>
            <w:r w:rsidRPr="00205C60">
              <w:rPr>
                <w:rFonts w:ascii="Arial" w:hAnsi="Arial" w:cs="Arial"/>
                <w:b/>
                <w:bCs/>
                <w:color w:val="000000"/>
                <w:sz w:val="18"/>
                <w:szCs w:val="18"/>
                <w:lang w:val="es-CR" w:eastAsia="es-CR"/>
              </w:rPr>
              <w:t>306 599 786</w:t>
            </w:r>
          </w:p>
        </w:tc>
        <w:tc>
          <w:tcPr>
            <w:tcW w:w="1553" w:type="dxa"/>
            <w:tcBorders>
              <w:top w:val="nil"/>
              <w:left w:val="nil"/>
              <w:bottom w:val="single" w:sz="4" w:space="0" w:color="auto"/>
              <w:right w:val="single" w:sz="4" w:space="0" w:color="auto"/>
            </w:tcBorders>
            <w:shd w:val="clear" w:color="auto" w:fill="auto"/>
            <w:noWrap/>
            <w:vAlign w:val="bottom"/>
          </w:tcPr>
          <w:p w14:paraId="2B5F7431" w14:textId="7A37F3E8" w:rsidR="00300EE7" w:rsidRPr="00205C60" w:rsidRDefault="00F002EF" w:rsidP="00F002EF">
            <w:pPr>
              <w:jc w:val="right"/>
              <w:rPr>
                <w:rFonts w:ascii="Arial" w:hAnsi="Arial" w:cs="Arial"/>
                <w:b/>
                <w:bCs/>
                <w:color w:val="000000"/>
                <w:sz w:val="18"/>
                <w:szCs w:val="18"/>
                <w:lang w:val="es-CR" w:eastAsia="es-CR"/>
              </w:rPr>
            </w:pPr>
            <w:r w:rsidRPr="00205C60">
              <w:rPr>
                <w:rFonts w:ascii="Arial" w:hAnsi="Arial" w:cs="Arial"/>
                <w:b/>
                <w:bCs/>
                <w:color w:val="000000"/>
                <w:sz w:val="18"/>
                <w:szCs w:val="18"/>
                <w:lang w:val="es-CR" w:eastAsia="es-CR"/>
              </w:rPr>
              <w:t>1 112 915</w:t>
            </w:r>
          </w:p>
        </w:tc>
        <w:tc>
          <w:tcPr>
            <w:tcW w:w="1158" w:type="dxa"/>
            <w:tcBorders>
              <w:top w:val="nil"/>
              <w:left w:val="nil"/>
              <w:bottom w:val="single" w:sz="4" w:space="0" w:color="auto"/>
              <w:right w:val="single" w:sz="4" w:space="0" w:color="auto"/>
            </w:tcBorders>
            <w:shd w:val="clear" w:color="auto" w:fill="auto"/>
            <w:noWrap/>
            <w:vAlign w:val="bottom"/>
            <w:hideMark/>
          </w:tcPr>
          <w:p w14:paraId="07F93427" w14:textId="47B9A278" w:rsidR="00300EE7" w:rsidRPr="00205C60" w:rsidRDefault="008B49DB" w:rsidP="00300EE7">
            <w:pPr>
              <w:jc w:val="right"/>
              <w:rPr>
                <w:rFonts w:ascii="Arial" w:hAnsi="Arial" w:cs="Arial"/>
                <w:b/>
                <w:bCs/>
                <w:color w:val="000000"/>
                <w:sz w:val="18"/>
                <w:szCs w:val="18"/>
                <w:lang w:val="es-CR" w:eastAsia="es-CR"/>
              </w:rPr>
            </w:pPr>
            <w:r w:rsidRPr="00205C60">
              <w:rPr>
                <w:rFonts w:ascii="Arial" w:hAnsi="Arial" w:cs="Arial"/>
                <w:b/>
                <w:bCs/>
                <w:color w:val="000000"/>
                <w:sz w:val="18"/>
                <w:szCs w:val="18"/>
                <w:lang w:val="es-CR" w:eastAsia="es-CR"/>
              </w:rPr>
              <w:t>0</w:t>
            </w:r>
            <w:r w:rsidR="00300EE7" w:rsidRPr="00205C60">
              <w:rPr>
                <w:rFonts w:ascii="Arial" w:hAnsi="Arial" w:cs="Arial"/>
                <w:b/>
                <w:bCs/>
                <w:color w:val="000000"/>
                <w:sz w:val="18"/>
                <w:szCs w:val="18"/>
                <w:lang w:val="es-CR" w:eastAsia="es-CR"/>
              </w:rPr>
              <w:t>,</w:t>
            </w:r>
            <w:r w:rsidRPr="00205C60">
              <w:rPr>
                <w:rFonts w:ascii="Arial" w:hAnsi="Arial" w:cs="Arial"/>
                <w:b/>
                <w:bCs/>
                <w:color w:val="000000"/>
                <w:sz w:val="18"/>
                <w:szCs w:val="18"/>
                <w:lang w:val="es-CR" w:eastAsia="es-CR"/>
              </w:rPr>
              <w:t>36</w:t>
            </w:r>
            <w:r w:rsidR="00300EE7" w:rsidRPr="00205C60">
              <w:rPr>
                <w:rFonts w:ascii="Arial" w:hAnsi="Arial" w:cs="Arial"/>
                <w:b/>
                <w:bCs/>
                <w:color w:val="000000"/>
                <w:sz w:val="18"/>
                <w:szCs w:val="18"/>
                <w:lang w:val="es-CR" w:eastAsia="es-CR"/>
              </w:rPr>
              <w:t>%</w:t>
            </w:r>
          </w:p>
        </w:tc>
      </w:tr>
    </w:tbl>
    <w:p w14:paraId="5AB051DD" w14:textId="77777777" w:rsidR="009C7D6E" w:rsidRPr="00205C60" w:rsidRDefault="009C7D6E">
      <w:pPr>
        <w:jc w:val="both"/>
        <w:rPr>
          <w:rFonts w:ascii="Verdana" w:hAnsi="Verdana" w:cs="Arial"/>
          <w:sz w:val="22"/>
          <w:szCs w:val="22"/>
        </w:rPr>
      </w:pPr>
    </w:p>
    <w:p w14:paraId="3CA7F1DB" w14:textId="3BB1F76F" w:rsidR="00496CDC" w:rsidRPr="00205C60" w:rsidRDefault="00496CDC">
      <w:pPr>
        <w:jc w:val="both"/>
        <w:rPr>
          <w:rFonts w:ascii="Verdana" w:hAnsi="Verdana" w:cs="Arial"/>
          <w:sz w:val="22"/>
          <w:szCs w:val="22"/>
        </w:rPr>
      </w:pPr>
    </w:p>
    <w:p w14:paraId="00EDC757" w14:textId="77777777" w:rsidR="00EF4C10" w:rsidRDefault="00EF4C10">
      <w:pPr>
        <w:jc w:val="both"/>
        <w:rPr>
          <w:rFonts w:ascii="Verdana" w:hAnsi="Verdana" w:cs="Arial"/>
          <w:sz w:val="22"/>
          <w:szCs w:val="22"/>
        </w:rPr>
      </w:pPr>
    </w:p>
    <w:p w14:paraId="3CA7F1E0" w14:textId="62A8CDD8" w:rsidR="00DE69A9" w:rsidRPr="00205C60" w:rsidRDefault="001A7D0E">
      <w:pPr>
        <w:jc w:val="both"/>
        <w:rPr>
          <w:rFonts w:ascii="Verdana" w:hAnsi="Verdana" w:cs="Arial"/>
          <w:sz w:val="22"/>
          <w:szCs w:val="22"/>
        </w:rPr>
      </w:pPr>
      <w:r w:rsidRPr="00205C60">
        <w:rPr>
          <w:rFonts w:ascii="Verdana" w:hAnsi="Verdana" w:cs="Arial"/>
          <w:sz w:val="22"/>
          <w:szCs w:val="22"/>
        </w:rPr>
        <w:t>El resultado del comportamiento del gasto durante el 202</w:t>
      </w:r>
      <w:r w:rsidR="00144375" w:rsidRPr="00205C60">
        <w:rPr>
          <w:rFonts w:ascii="Verdana" w:hAnsi="Verdana" w:cs="Arial"/>
          <w:sz w:val="22"/>
          <w:szCs w:val="22"/>
        </w:rPr>
        <w:t>2</w:t>
      </w:r>
      <w:r w:rsidRPr="00205C60">
        <w:rPr>
          <w:rFonts w:ascii="Verdana" w:hAnsi="Verdana" w:cs="Arial"/>
          <w:sz w:val="22"/>
          <w:szCs w:val="22"/>
        </w:rPr>
        <w:t xml:space="preserve"> obedeció principalmente</w:t>
      </w:r>
      <w:r w:rsidR="00526267" w:rsidRPr="00205C60">
        <w:rPr>
          <w:rFonts w:ascii="Verdana" w:hAnsi="Verdana" w:cs="Arial"/>
          <w:sz w:val="22"/>
          <w:szCs w:val="22"/>
        </w:rPr>
        <w:t xml:space="preserve"> </w:t>
      </w:r>
      <w:r w:rsidR="005F0B75" w:rsidRPr="00205C60">
        <w:rPr>
          <w:rFonts w:ascii="Verdana" w:hAnsi="Verdana" w:cs="Arial"/>
          <w:sz w:val="22"/>
          <w:szCs w:val="22"/>
        </w:rPr>
        <w:t>al aumento en el precio de compra de energía al ICE.</w:t>
      </w:r>
    </w:p>
    <w:p w14:paraId="3CA7F1E1" w14:textId="77777777" w:rsidR="001A7D0E" w:rsidRPr="00205C60" w:rsidRDefault="001A7D0E">
      <w:pPr>
        <w:jc w:val="both"/>
        <w:rPr>
          <w:rFonts w:ascii="Verdana" w:hAnsi="Verdana" w:cs="Arial"/>
          <w:sz w:val="22"/>
          <w:szCs w:val="22"/>
        </w:rPr>
      </w:pPr>
    </w:p>
    <w:p w14:paraId="3CA7F1E2" w14:textId="77777777" w:rsidR="00787936" w:rsidRPr="00205C60" w:rsidRDefault="00787936">
      <w:pPr>
        <w:jc w:val="both"/>
        <w:rPr>
          <w:rFonts w:ascii="Verdana" w:hAnsi="Verdana" w:cs="Arial"/>
          <w:sz w:val="22"/>
          <w:szCs w:val="22"/>
        </w:rPr>
      </w:pPr>
      <w:r w:rsidRPr="00205C60">
        <w:rPr>
          <w:rFonts w:ascii="Verdana" w:hAnsi="Verdana" w:cs="Arial"/>
          <w:sz w:val="22"/>
          <w:szCs w:val="22"/>
        </w:rPr>
        <w:t>Los gastos de personal y administrativos s</w:t>
      </w:r>
      <w:r w:rsidR="0024723D" w:rsidRPr="00205C60">
        <w:rPr>
          <w:rFonts w:ascii="Verdana" w:hAnsi="Verdana" w:cs="Arial"/>
          <w:sz w:val="22"/>
          <w:szCs w:val="22"/>
        </w:rPr>
        <w:t>on afectados básicamente por el im</w:t>
      </w:r>
      <w:r w:rsidRPr="00205C60">
        <w:rPr>
          <w:rFonts w:ascii="Verdana" w:hAnsi="Verdana" w:cs="Arial"/>
          <w:sz w:val="22"/>
          <w:szCs w:val="22"/>
        </w:rPr>
        <w:t>pacto normal inflacionario</w:t>
      </w:r>
      <w:r w:rsidR="0024723D" w:rsidRPr="00205C60">
        <w:rPr>
          <w:rFonts w:ascii="Verdana" w:hAnsi="Verdana" w:cs="Arial"/>
          <w:sz w:val="22"/>
          <w:szCs w:val="22"/>
        </w:rPr>
        <w:t>, sin reducir a menos el peso</w:t>
      </w:r>
      <w:r w:rsidR="009A58D6" w:rsidRPr="00205C60">
        <w:rPr>
          <w:rFonts w:ascii="Verdana" w:hAnsi="Verdana" w:cs="Arial"/>
          <w:sz w:val="22"/>
          <w:szCs w:val="22"/>
        </w:rPr>
        <w:t xml:space="preserve"> de los costos normales de las obligaciones típicas de operación de la empresa y de los ajustes salariales decretados por ley por incremento del costo de vida.</w:t>
      </w:r>
    </w:p>
    <w:p w14:paraId="3CA7F1E3" w14:textId="77777777" w:rsidR="00EE087E" w:rsidRPr="00205C60" w:rsidRDefault="00EE087E">
      <w:pPr>
        <w:jc w:val="both"/>
        <w:rPr>
          <w:rFonts w:ascii="Verdana" w:hAnsi="Verdana" w:cs="Arial"/>
          <w:sz w:val="22"/>
          <w:szCs w:val="22"/>
        </w:rPr>
      </w:pPr>
    </w:p>
    <w:p w14:paraId="3CA7F1E4" w14:textId="77777777" w:rsidR="00EE087E" w:rsidRPr="00205C60" w:rsidRDefault="00EE087E">
      <w:pPr>
        <w:jc w:val="both"/>
        <w:rPr>
          <w:rFonts w:ascii="Verdana" w:hAnsi="Verdana" w:cs="Arial"/>
          <w:sz w:val="22"/>
          <w:szCs w:val="22"/>
        </w:rPr>
      </w:pPr>
      <w:r w:rsidRPr="00205C60">
        <w:rPr>
          <w:rFonts w:ascii="Verdana" w:hAnsi="Verdana" w:cs="Arial"/>
          <w:sz w:val="22"/>
          <w:szCs w:val="22"/>
        </w:rPr>
        <w:t>Los gastos generales y administrativos se</w:t>
      </w:r>
      <w:r w:rsidR="001C78BF" w:rsidRPr="00205C60">
        <w:rPr>
          <w:rFonts w:ascii="Verdana" w:hAnsi="Verdana" w:cs="Arial"/>
          <w:sz w:val="22"/>
          <w:szCs w:val="22"/>
        </w:rPr>
        <w:t xml:space="preserve"> detallan a continuación:</w:t>
      </w:r>
    </w:p>
    <w:p w14:paraId="2243E6AB" w14:textId="21F4F5AE" w:rsidR="00593869" w:rsidRPr="00205C60" w:rsidRDefault="00593869">
      <w:pPr>
        <w:jc w:val="both"/>
        <w:rPr>
          <w:rFonts w:ascii="Verdana" w:hAnsi="Verdana" w:cs="Arial"/>
          <w:sz w:val="22"/>
          <w:szCs w:val="22"/>
        </w:rPr>
      </w:pPr>
    </w:p>
    <w:tbl>
      <w:tblPr>
        <w:tblW w:w="7825" w:type="dxa"/>
        <w:jc w:val="center"/>
        <w:tblCellMar>
          <w:left w:w="70" w:type="dxa"/>
          <w:right w:w="70" w:type="dxa"/>
        </w:tblCellMar>
        <w:tblLook w:val="04A0" w:firstRow="1" w:lastRow="0" w:firstColumn="1" w:lastColumn="0" w:noHBand="0" w:noVBand="1"/>
      </w:tblPr>
      <w:tblGrid>
        <w:gridCol w:w="3265"/>
        <w:gridCol w:w="2527"/>
        <w:gridCol w:w="2033"/>
      </w:tblGrid>
      <w:tr w:rsidR="00593869" w:rsidRPr="00205C60" w14:paraId="10E739BC" w14:textId="77777777" w:rsidTr="00403BBC">
        <w:trPr>
          <w:trHeight w:val="312"/>
          <w:jc w:val="center"/>
        </w:trPr>
        <w:tc>
          <w:tcPr>
            <w:tcW w:w="32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0B7DC" w14:textId="69564253" w:rsidR="00593869" w:rsidRPr="00205C60" w:rsidRDefault="00593869" w:rsidP="00593869">
            <w:pPr>
              <w:jc w:val="center"/>
              <w:rPr>
                <w:rFonts w:ascii="Calibri" w:hAnsi="Calibri" w:cs="Calibri"/>
                <w:b/>
                <w:bCs/>
                <w:color w:val="000000"/>
                <w:sz w:val="22"/>
                <w:szCs w:val="22"/>
                <w:lang w:val="es-CR" w:eastAsia="es-CR"/>
              </w:rPr>
            </w:pPr>
            <w:r w:rsidRPr="00205C60">
              <w:rPr>
                <w:rFonts w:ascii="Calibri" w:hAnsi="Calibri" w:cs="Calibri"/>
                <w:b/>
                <w:bCs/>
                <w:color w:val="000000"/>
                <w:sz w:val="22"/>
                <w:szCs w:val="22"/>
              </w:rPr>
              <w:t>DETALLE</w:t>
            </w:r>
          </w:p>
        </w:tc>
        <w:tc>
          <w:tcPr>
            <w:tcW w:w="2527" w:type="dxa"/>
            <w:tcBorders>
              <w:top w:val="single" w:sz="4" w:space="0" w:color="auto"/>
              <w:left w:val="nil"/>
              <w:bottom w:val="single" w:sz="4" w:space="0" w:color="auto"/>
              <w:right w:val="single" w:sz="4" w:space="0" w:color="auto"/>
            </w:tcBorders>
            <w:shd w:val="clear" w:color="auto" w:fill="auto"/>
            <w:noWrap/>
            <w:vAlign w:val="bottom"/>
            <w:hideMark/>
          </w:tcPr>
          <w:p w14:paraId="4CEA7140" w14:textId="6BF67E9E" w:rsidR="00593869" w:rsidRPr="00205C60" w:rsidRDefault="00593869" w:rsidP="00593869">
            <w:pPr>
              <w:jc w:val="center"/>
              <w:rPr>
                <w:rFonts w:ascii="Calibri" w:hAnsi="Calibri" w:cs="Calibri"/>
                <w:b/>
                <w:bCs/>
                <w:color w:val="000000"/>
                <w:sz w:val="22"/>
                <w:szCs w:val="22"/>
                <w:lang w:val="es-CR" w:eastAsia="es-CR"/>
              </w:rPr>
            </w:pPr>
            <w:r w:rsidRPr="00205C60">
              <w:rPr>
                <w:rFonts w:ascii="Calibri" w:hAnsi="Calibri" w:cs="Calibri"/>
                <w:b/>
                <w:bCs/>
                <w:color w:val="000000"/>
                <w:sz w:val="22"/>
                <w:szCs w:val="22"/>
              </w:rPr>
              <w:t>202</w:t>
            </w:r>
            <w:r w:rsidR="004A493B" w:rsidRPr="00205C60">
              <w:rPr>
                <w:rFonts w:ascii="Calibri" w:hAnsi="Calibri" w:cs="Calibri"/>
                <w:b/>
                <w:bCs/>
                <w:color w:val="000000"/>
                <w:sz w:val="22"/>
                <w:szCs w:val="22"/>
              </w:rPr>
              <w:t>1</w:t>
            </w:r>
          </w:p>
        </w:tc>
        <w:tc>
          <w:tcPr>
            <w:tcW w:w="2033" w:type="dxa"/>
            <w:tcBorders>
              <w:top w:val="single" w:sz="4" w:space="0" w:color="auto"/>
              <w:left w:val="nil"/>
              <w:bottom w:val="single" w:sz="4" w:space="0" w:color="auto"/>
              <w:right w:val="single" w:sz="4" w:space="0" w:color="auto"/>
            </w:tcBorders>
            <w:shd w:val="clear" w:color="auto" w:fill="auto"/>
            <w:noWrap/>
            <w:vAlign w:val="bottom"/>
            <w:hideMark/>
          </w:tcPr>
          <w:p w14:paraId="59078787" w14:textId="2999F95E" w:rsidR="00593869" w:rsidRPr="00205C60" w:rsidRDefault="00593869" w:rsidP="00593869">
            <w:pPr>
              <w:jc w:val="center"/>
              <w:rPr>
                <w:rFonts w:ascii="Calibri" w:hAnsi="Calibri" w:cs="Calibri"/>
                <w:b/>
                <w:bCs/>
                <w:color w:val="000000"/>
                <w:sz w:val="22"/>
                <w:szCs w:val="22"/>
                <w:lang w:val="es-CR" w:eastAsia="es-CR"/>
              </w:rPr>
            </w:pPr>
            <w:r w:rsidRPr="00205C60">
              <w:rPr>
                <w:rFonts w:ascii="Calibri" w:hAnsi="Calibri" w:cs="Calibri"/>
                <w:b/>
                <w:bCs/>
                <w:color w:val="000000"/>
                <w:sz w:val="22"/>
                <w:szCs w:val="22"/>
              </w:rPr>
              <w:t>202</w:t>
            </w:r>
            <w:r w:rsidR="004A493B" w:rsidRPr="00205C60">
              <w:rPr>
                <w:rFonts w:ascii="Calibri" w:hAnsi="Calibri" w:cs="Calibri"/>
                <w:b/>
                <w:bCs/>
                <w:color w:val="000000"/>
                <w:sz w:val="22"/>
                <w:szCs w:val="22"/>
              </w:rPr>
              <w:t>2</w:t>
            </w:r>
          </w:p>
        </w:tc>
      </w:tr>
      <w:tr w:rsidR="004A493B" w:rsidRPr="00205C60" w14:paraId="76DB8282" w14:textId="77777777" w:rsidTr="00403BBC">
        <w:trPr>
          <w:trHeight w:val="312"/>
          <w:jc w:val="center"/>
        </w:trPr>
        <w:tc>
          <w:tcPr>
            <w:tcW w:w="3265" w:type="dxa"/>
            <w:tcBorders>
              <w:top w:val="nil"/>
              <w:left w:val="single" w:sz="4" w:space="0" w:color="auto"/>
              <w:bottom w:val="single" w:sz="4" w:space="0" w:color="auto"/>
              <w:right w:val="single" w:sz="4" w:space="0" w:color="auto"/>
            </w:tcBorders>
            <w:shd w:val="clear" w:color="auto" w:fill="auto"/>
            <w:noWrap/>
            <w:vAlign w:val="bottom"/>
            <w:hideMark/>
          </w:tcPr>
          <w:p w14:paraId="119EA629" w14:textId="25BC9765" w:rsidR="004A493B" w:rsidRPr="00205C60" w:rsidRDefault="004A493B" w:rsidP="004A493B">
            <w:pPr>
              <w:rPr>
                <w:rFonts w:ascii="Calibri" w:hAnsi="Calibri" w:cs="Calibri"/>
                <w:color w:val="000000"/>
                <w:sz w:val="22"/>
                <w:szCs w:val="22"/>
                <w:lang w:val="es-CR" w:eastAsia="es-CR"/>
              </w:rPr>
            </w:pPr>
            <w:r w:rsidRPr="00205C60">
              <w:rPr>
                <w:rFonts w:ascii="Calibri" w:hAnsi="Calibri" w:cs="Calibri"/>
                <w:color w:val="000000"/>
                <w:sz w:val="22"/>
                <w:szCs w:val="22"/>
              </w:rPr>
              <w:t>Personal y beneficios laborales</w:t>
            </w:r>
          </w:p>
        </w:tc>
        <w:tc>
          <w:tcPr>
            <w:tcW w:w="2527" w:type="dxa"/>
            <w:tcBorders>
              <w:top w:val="nil"/>
              <w:left w:val="nil"/>
              <w:bottom w:val="single" w:sz="4" w:space="0" w:color="auto"/>
              <w:right w:val="single" w:sz="4" w:space="0" w:color="auto"/>
            </w:tcBorders>
            <w:shd w:val="clear" w:color="auto" w:fill="auto"/>
            <w:noWrap/>
            <w:vAlign w:val="bottom"/>
            <w:hideMark/>
          </w:tcPr>
          <w:p w14:paraId="0E59239A" w14:textId="54984628" w:rsidR="004A493B" w:rsidRPr="00205C60" w:rsidRDefault="004A493B" w:rsidP="004A493B">
            <w:pPr>
              <w:jc w:val="right"/>
              <w:rPr>
                <w:rFonts w:ascii="Calibri" w:hAnsi="Calibri" w:cs="Calibri"/>
                <w:color w:val="000000"/>
                <w:sz w:val="22"/>
                <w:szCs w:val="22"/>
                <w:lang w:val="es-CR" w:eastAsia="es-CR"/>
              </w:rPr>
            </w:pPr>
            <w:r w:rsidRPr="00205C60">
              <w:rPr>
                <w:rFonts w:ascii="Calibri" w:hAnsi="Calibri" w:cs="Calibri"/>
                <w:color w:val="000000"/>
                <w:sz w:val="22"/>
                <w:szCs w:val="22"/>
              </w:rPr>
              <w:t xml:space="preserve">                 21 367 162 </w:t>
            </w:r>
          </w:p>
        </w:tc>
        <w:tc>
          <w:tcPr>
            <w:tcW w:w="2033" w:type="dxa"/>
            <w:tcBorders>
              <w:top w:val="nil"/>
              <w:left w:val="nil"/>
              <w:bottom w:val="single" w:sz="4" w:space="0" w:color="auto"/>
              <w:right w:val="single" w:sz="4" w:space="0" w:color="auto"/>
            </w:tcBorders>
            <w:shd w:val="clear" w:color="auto" w:fill="auto"/>
            <w:noWrap/>
            <w:vAlign w:val="bottom"/>
          </w:tcPr>
          <w:p w14:paraId="0CB780F9" w14:textId="4BCD1546" w:rsidR="004A493B" w:rsidRPr="00205C60" w:rsidRDefault="004A493B" w:rsidP="0054360D">
            <w:pPr>
              <w:jc w:val="right"/>
              <w:rPr>
                <w:rFonts w:ascii="Calibri" w:hAnsi="Calibri" w:cs="Calibri"/>
                <w:color w:val="000000"/>
                <w:sz w:val="22"/>
                <w:szCs w:val="22"/>
                <w:lang w:val="es-CR" w:eastAsia="es-CR"/>
              </w:rPr>
            </w:pPr>
            <w:r w:rsidRPr="00205C60">
              <w:rPr>
                <w:rFonts w:ascii="Calibri" w:hAnsi="Calibri" w:cs="Calibri"/>
                <w:color w:val="000000"/>
                <w:sz w:val="22"/>
                <w:szCs w:val="22"/>
                <w:lang w:val="es-CR" w:eastAsia="es-CR"/>
              </w:rPr>
              <w:t>22 457 811</w:t>
            </w:r>
          </w:p>
        </w:tc>
      </w:tr>
      <w:tr w:rsidR="004A493B" w:rsidRPr="00205C60" w14:paraId="60B117BA" w14:textId="77777777" w:rsidTr="00403BBC">
        <w:trPr>
          <w:trHeight w:val="312"/>
          <w:jc w:val="center"/>
        </w:trPr>
        <w:tc>
          <w:tcPr>
            <w:tcW w:w="3265" w:type="dxa"/>
            <w:tcBorders>
              <w:top w:val="nil"/>
              <w:left w:val="single" w:sz="4" w:space="0" w:color="auto"/>
              <w:bottom w:val="single" w:sz="4" w:space="0" w:color="auto"/>
              <w:right w:val="single" w:sz="4" w:space="0" w:color="auto"/>
            </w:tcBorders>
            <w:shd w:val="clear" w:color="auto" w:fill="auto"/>
            <w:noWrap/>
            <w:vAlign w:val="bottom"/>
            <w:hideMark/>
          </w:tcPr>
          <w:p w14:paraId="1A9FF640" w14:textId="6E56E970" w:rsidR="004A493B" w:rsidRPr="00205C60" w:rsidRDefault="004A493B" w:rsidP="004A493B">
            <w:pPr>
              <w:rPr>
                <w:rFonts w:ascii="Calibri" w:hAnsi="Calibri" w:cs="Calibri"/>
                <w:color w:val="000000"/>
                <w:sz w:val="22"/>
                <w:szCs w:val="22"/>
                <w:lang w:val="es-CR" w:eastAsia="es-CR"/>
              </w:rPr>
            </w:pPr>
            <w:r w:rsidRPr="00205C60">
              <w:rPr>
                <w:rFonts w:ascii="Calibri" w:hAnsi="Calibri" w:cs="Calibri"/>
                <w:color w:val="000000"/>
                <w:sz w:val="22"/>
                <w:szCs w:val="22"/>
              </w:rPr>
              <w:t>Servicios contratados</w:t>
            </w:r>
          </w:p>
        </w:tc>
        <w:tc>
          <w:tcPr>
            <w:tcW w:w="2527" w:type="dxa"/>
            <w:tcBorders>
              <w:top w:val="nil"/>
              <w:left w:val="nil"/>
              <w:bottom w:val="single" w:sz="4" w:space="0" w:color="auto"/>
              <w:right w:val="single" w:sz="4" w:space="0" w:color="auto"/>
            </w:tcBorders>
            <w:shd w:val="clear" w:color="auto" w:fill="auto"/>
            <w:noWrap/>
            <w:vAlign w:val="bottom"/>
            <w:hideMark/>
          </w:tcPr>
          <w:p w14:paraId="05B6AF06" w14:textId="51AA54DE" w:rsidR="004A493B" w:rsidRPr="00205C60" w:rsidRDefault="004A493B" w:rsidP="004A493B">
            <w:pPr>
              <w:jc w:val="right"/>
              <w:rPr>
                <w:rFonts w:ascii="Calibri" w:hAnsi="Calibri" w:cs="Calibri"/>
                <w:color w:val="000000"/>
                <w:sz w:val="22"/>
                <w:szCs w:val="22"/>
                <w:lang w:val="es-CR" w:eastAsia="es-CR"/>
              </w:rPr>
            </w:pPr>
            <w:r w:rsidRPr="00205C60">
              <w:rPr>
                <w:rFonts w:ascii="Calibri" w:hAnsi="Calibri" w:cs="Calibri"/>
                <w:color w:val="000000"/>
                <w:sz w:val="22"/>
                <w:szCs w:val="22"/>
              </w:rPr>
              <w:t xml:space="preserve">                   2 575 786 </w:t>
            </w:r>
          </w:p>
        </w:tc>
        <w:tc>
          <w:tcPr>
            <w:tcW w:w="2033" w:type="dxa"/>
            <w:tcBorders>
              <w:top w:val="nil"/>
              <w:left w:val="nil"/>
              <w:bottom w:val="single" w:sz="4" w:space="0" w:color="auto"/>
              <w:right w:val="single" w:sz="4" w:space="0" w:color="auto"/>
            </w:tcBorders>
            <w:shd w:val="clear" w:color="auto" w:fill="auto"/>
            <w:noWrap/>
            <w:vAlign w:val="bottom"/>
          </w:tcPr>
          <w:p w14:paraId="4C652E61" w14:textId="36B6392A" w:rsidR="004A493B" w:rsidRPr="00205C60" w:rsidRDefault="0054360D" w:rsidP="0054360D">
            <w:pPr>
              <w:jc w:val="right"/>
              <w:rPr>
                <w:rFonts w:ascii="Calibri" w:hAnsi="Calibri" w:cs="Calibri"/>
                <w:color w:val="000000"/>
                <w:sz w:val="22"/>
                <w:szCs w:val="22"/>
                <w:lang w:val="es-CR" w:eastAsia="es-CR"/>
              </w:rPr>
            </w:pPr>
            <w:r w:rsidRPr="00205C60">
              <w:rPr>
                <w:rFonts w:ascii="Calibri" w:hAnsi="Calibri" w:cs="Calibri"/>
                <w:color w:val="000000"/>
                <w:sz w:val="22"/>
                <w:szCs w:val="22"/>
                <w:lang w:val="es-CR" w:eastAsia="es-CR"/>
              </w:rPr>
              <w:t>3 926 306</w:t>
            </w:r>
          </w:p>
        </w:tc>
      </w:tr>
      <w:tr w:rsidR="004A493B" w:rsidRPr="00205C60" w14:paraId="6731AF62" w14:textId="77777777" w:rsidTr="00403BBC">
        <w:trPr>
          <w:trHeight w:val="312"/>
          <w:jc w:val="center"/>
        </w:trPr>
        <w:tc>
          <w:tcPr>
            <w:tcW w:w="3265" w:type="dxa"/>
            <w:tcBorders>
              <w:top w:val="nil"/>
              <w:left w:val="single" w:sz="4" w:space="0" w:color="auto"/>
              <w:bottom w:val="single" w:sz="4" w:space="0" w:color="auto"/>
              <w:right w:val="single" w:sz="4" w:space="0" w:color="auto"/>
            </w:tcBorders>
            <w:shd w:val="clear" w:color="auto" w:fill="auto"/>
            <w:noWrap/>
            <w:vAlign w:val="bottom"/>
            <w:hideMark/>
          </w:tcPr>
          <w:p w14:paraId="04E82845" w14:textId="460362AF" w:rsidR="004A493B" w:rsidRPr="00205C60" w:rsidRDefault="004A493B" w:rsidP="004A493B">
            <w:pPr>
              <w:rPr>
                <w:rFonts w:ascii="Calibri" w:hAnsi="Calibri" w:cs="Calibri"/>
                <w:color w:val="000000"/>
                <w:sz w:val="22"/>
                <w:szCs w:val="22"/>
                <w:lang w:val="es-CR" w:eastAsia="es-CR"/>
              </w:rPr>
            </w:pPr>
            <w:r w:rsidRPr="00205C60">
              <w:rPr>
                <w:rFonts w:ascii="Calibri" w:hAnsi="Calibri" w:cs="Calibri"/>
                <w:color w:val="000000"/>
                <w:sz w:val="22"/>
                <w:szCs w:val="22"/>
              </w:rPr>
              <w:t>Seguros</w:t>
            </w:r>
          </w:p>
        </w:tc>
        <w:tc>
          <w:tcPr>
            <w:tcW w:w="2527" w:type="dxa"/>
            <w:tcBorders>
              <w:top w:val="nil"/>
              <w:left w:val="nil"/>
              <w:bottom w:val="single" w:sz="4" w:space="0" w:color="auto"/>
              <w:right w:val="single" w:sz="4" w:space="0" w:color="auto"/>
            </w:tcBorders>
            <w:shd w:val="clear" w:color="auto" w:fill="auto"/>
            <w:noWrap/>
            <w:vAlign w:val="bottom"/>
            <w:hideMark/>
          </w:tcPr>
          <w:p w14:paraId="595D8F8B" w14:textId="6002D0D6" w:rsidR="004A493B" w:rsidRPr="00205C60" w:rsidRDefault="004A493B" w:rsidP="004A493B">
            <w:pPr>
              <w:jc w:val="right"/>
              <w:rPr>
                <w:rFonts w:ascii="Calibri" w:hAnsi="Calibri" w:cs="Calibri"/>
                <w:color w:val="000000"/>
                <w:sz w:val="22"/>
                <w:szCs w:val="22"/>
                <w:lang w:val="es-CR" w:eastAsia="es-CR"/>
              </w:rPr>
            </w:pPr>
            <w:r w:rsidRPr="00205C60">
              <w:rPr>
                <w:rFonts w:ascii="Calibri" w:hAnsi="Calibri" w:cs="Calibri"/>
                <w:color w:val="000000"/>
                <w:sz w:val="22"/>
                <w:szCs w:val="22"/>
              </w:rPr>
              <w:t xml:space="preserve">                         83 403 </w:t>
            </w:r>
          </w:p>
        </w:tc>
        <w:tc>
          <w:tcPr>
            <w:tcW w:w="2033" w:type="dxa"/>
            <w:tcBorders>
              <w:top w:val="nil"/>
              <w:left w:val="nil"/>
              <w:bottom w:val="single" w:sz="4" w:space="0" w:color="auto"/>
              <w:right w:val="single" w:sz="4" w:space="0" w:color="auto"/>
            </w:tcBorders>
            <w:shd w:val="clear" w:color="auto" w:fill="auto"/>
            <w:noWrap/>
            <w:vAlign w:val="bottom"/>
          </w:tcPr>
          <w:p w14:paraId="7558B557" w14:textId="2DBA5AA5" w:rsidR="004A493B" w:rsidRPr="00205C60" w:rsidRDefault="0054360D" w:rsidP="0054360D">
            <w:pPr>
              <w:jc w:val="right"/>
              <w:rPr>
                <w:rFonts w:ascii="Calibri" w:hAnsi="Calibri" w:cs="Calibri"/>
                <w:color w:val="000000"/>
                <w:sz w:val="22"/>
                <w:szCs w:val="22"/>
                <w:lang w:val="es-CR" w:eastAsia="es-CR"/>
              </w:rPr>
            </w:pPr>
            <w:r w:rsidRPr="00205C60">
              <w:rPr>
                <w:rFonts w:ascii="Calibri" w:hAnsi="Calibri" w:cs="Calibri"/>
                <w:color w:val="000000"/>
                <w:sz w:val="22"/>
                <w:szCs w:val="22"/>
                <w:lang w:val="es-CR" w:eastAsia="es-CR"/>
              </w:rPr>
              <w:t>43 523</w:t>
            </w:r>
          </w:p>
        </w:tc>
      </w:tr>
      <w:tr w:rsidR="004A493B" w:rsidRPr="00205C60" w14:paraId="1B4C91D9" w14:textId="77777777" w:rsidTr="00403BBC">
        <w:trPr>
          <w:trHeight w:val="312"/>
          <w:jc w:val="center"/>
        </w:trPr>
        <w:tc>
          <w:tcPr>
            <w:tcW w:w="3265" w:type="dxa"/>
            <w:tcBorders>
              <w:top w:val="nil"/>
              <w:left w:val="single" w:sz="4" w:space="0" w:color="auto"/>
              <w:bottom w:val="single" w:sz="4" w:space="0" w:color="auto"/>
              <w:right w:val="single" w:sz="4" w:space="0" w:color="auto"/>
            </w:tcBorders>
            <w:shd w:val="clear" w:color="auto" w:fill="auto"/>
            <w:noWrap/>
            <w:vAlign w:val="bottom"/>
            <w:hideMark/>
          </w:tcPr>
          <w:p w14:paraId="78222847" w14:textId="292E23C8" w:rsidR="004A493B" w:rsidRPr="00205C60" w:rsidRDefault="004A493B" w:rsidP="004A493B">
            <w:pPr>
              <w:rPr>
                <w:rFonts w:ascii="Calibri" w:hAnsi="Calibri" w:cs="Calibri"/>
                <w:color w:val="000000"/>
                <w:sz w:val="22"/>
                <w:szCs w:val="22"/>
                <w:lang w:val="es-CR" w:eastAsia="es-CR"/>
              </w:rPr>
            </w:pPr>
            <w:r w:rsidRPr="00205C60">
              <w:rPr>
                <w:rFonts w:ascii="Calibri" w:hAnsi="Calibri" w:cs="Calibri"/>
                <w:color w:val="000000"/>
                <w:sz w:val="22"/>
                <w:szCs w:val="22"/>
              </w:rPr>
              <w:t>Materiales</w:t>
            </w:r>
          </w:p>
        </w:tc>
        <w:tc>
          <w:tcPr>
            <w:tcW w:w="2527" w:type="dxa"/>
            <w:tcBorders>
              <w:top w:val="nil"/>
              <w:left w:val="nil"/>
              <w:bottom w:val="single" w:sz="4" w:space="0" w:color="auto"/>
              <w:right w:val="single" w:sz="4" w:space="0" w:color="auto"/>
            </w:tcBorders>
            <w:shd w:val="clear" w:color="auto" w:fill="auto"/>
            <w:noWrap/>
            <w:vAlign w:val="bottom"/>
            <w:hideMark/>
          </w:tcPr>
          <w:p w14:paraId="5170184A" w14:textId="4E0CF2EB" w:rsidR="004A493B" w:rsidRPr="00205C60" w:rsidRDefault="004A493B" w:rsidP="004A493B">
            <w:pPr>
              <w:jc w:val="right"/>
              <w:rPr>
                <w:rFonts w:ascii="Calibri" w:hAnsi="Calibri" w:cs="Calibri"/>
                <w:color w:val="000000"/>
                <w:sz w:val="22"/>
                <w:szCs w:val="22"/>
                <w:lang w:val="es-CR" w:eastAsia="es-CR"/>
              </w:rPr>
            </w:pPr>
            <w:r w:rsidRPr="00205C60">
              <w:rPr>
                <w:rFonts w:ascii="Calibri" w:hAnsi="Calibri" w:cs="Calibri"/>
                <w:color w:val="000000"/>
                <w:sz w:val="22"/>
                <w:szCs w:val="22"/>
              </w:rPr>
              <w:t xml:space="preserve">                       211 917 </w:t>
            </w:r>
          </w:p>
        </w:tc>
        <w:tc>
          <w:tcPr>
            <w:tcW w:w="2033" w:type="dxa"/>
            <w:tcBorders>
              <w:top w:val="nil"/>
              <w:left w:val="nil"/>
              <w:bottom w:val="single" w:sz="4" w:space="0" w:color="auto"/>
              <w:right w:val="single" w:sz="4" w:space="0" w:color="auto"/>
            </w:tcBorders>
            <w:shd w:val="clear" w:color="auto" w:fill="auto"/>
            <w:noWrap/>
            <w:vAlign w:val="bottom"/>
          </w:tcPr>
          <w:p w14:paraId="5460A952" w14:textId="3EB89CF3" w:rsidR="004A493B" w:rsidRPr="00205C60" w:rsidRDefault="0054360D" w:rsidP="0054360D">
            <w:pPr>
              <w:jc w:val="right"/>
              <w:rPr>
                <w:rFonts w:ascii="Calibri" w:hAnsi="Calibri" w:cs="Calibri"/>
                <w:color w:val="000000"/>
                <w:sz w:val="22"/>
                <w:szCs w:val="22"/>
                <w:lang w:val="es-CR" w:eastAsia="es-CR"/>
              </w:rPr>
            </w:pPr>
            <w:r w:rsidRPr="00205C60">
              <w:rPr>
                <w:rFonts w:ascii="Calibri" w:hAnsi="Calibri" w:cs="Calibri"/>
                <w:color w:val="000000"/>
                <w:sz w:val="22"/>
                <w:szCs w:val="22"/>
                <w:lang w:val="es-CR" w:eastAsia="es-CR"/>
              </w:rPr>
              <w:t>309 998</w:t>
            </w:r>
          </w:p>
        </w:tc>
      </w:tr>
      <w:tr w:rsidR="004A493B" w:rsidRPr="00205C60" w14:paraId="60B01B86" w14:textId="77777777" w:rsidTr="00403BBC">
        <w:trPr>
          <w:trHeight w:val="312"/>
          <w:jc w:val="center"/>
        </w:trPr>
        <w:tc>
          <w:tcPr>
            <w:tcW w:w="3265" w:type="dxa"/>
            <w:tcBorders>
              <w:top w:val="nil"/>
              <w:left w:val="single" w:sz="4" w:space="0" w:color="auto"/>
              <w:bottom w:val="single" w:sz="4" w:space="0" w:color="auto"/>
              <w:right w:val="single" w:sz="4" w:space="0" w:color="auto"/>
            </w:tcBorders>
            <w:shd w:val="clear" w:color="auto" w:fill="auto"/>
            <w:noWrap/>
            <w:vAlign w:val="bottom"/>
            <w:hideMark/>
          </w:tcPr>
          <w:p w14:paraId="6383EA40" w14:textId="16298406" w:rsidR="004A493B" w:rsidRPr="00205C60" w:rsidRDefault="004A493B" w:rsidP="004A493B">
            <w:pPr>
              <w:rPr>
                <w:rFonts w:ascii="Calibri" w:hAnsi="Calibri" w:cs="Calibri"/>
                <w:color w:val="000000"/>
                <w:sz w:val="22"/>
                <w:szCs w:val="22"/>
                <w:lang w:val="es-CR" w:eastAsia="es-CR"/>
              </w:rPr>
            </w:pPr>
            <w:r w:rsidRPr="00205C60">
              <w:rPr>
                <w:rFonts w:ascii="Calibri" w:hAnsi="Calibri" w:cs="Calibri"/>
                <w:color w:val="000000"/>
                <w:sz w:val="22"/>
                <w:szCs w:val="22"/>
              </w:rPr>
              <w:t>Alquileres</w:t>
            </w:r>
          </w:p>
        </w:tc>
        <w:tc>
          <w:tcPr>
            <w:tcW w:w="2527" w:type="dxa"/>
            <w:tcBorders>
              <w:top w:val="nil"/>
              <w:left w:val="nil"/>
              <w:bottom w:val="single" w:sz="4" w:space="0" w:color="auto"/>
              <w:right w:val="single" w:sz="4" w:space="0" w:color="auto"/>
            </w:tcBorders>
            <w:shd w:val="clear" w:color="auto" w:fill="auto"/>
            <w:noWrap/>
            <w:vAlign w:val="bottom"/>
            <w:hideMark/>
          </w:tcPr>
          <w:p w14:paraId="56BE90D6" w14:textId="01FF22A4" w:rsidR="004A493B" w:rsidRPr="00205C60" w:rsidRDefault="004A493B" w:rsidP="004A493B">
            <w:pPr>
              <w:jc w:val="right"/>
              <w:rPr>
                <w:rFonts w:ascii="Calibri" w:hAnsi="Calibri" w:cs="Calibri"/>
                <w:color w:val="000000"/>
                <w:sz w:val="22"/>
                <w:szCs w:val="22"/>
                <w:lang w:val="es-CR" w:eastAsia="es-CR"/>
              </w:rPr>
            </w:pPr>
            <w:r w:rsidRPr="00205C60">
              <w:rPr>
                <w:rFonts w:ascii="Calibri" w:hAnsi="Calibri" w:cs="Calibri"/>
                <w:color w:val="000000"/>
                <w:sz w:val="22"/>
                <w:szCs w:val="22"/>
              </w:rPr>
              <w:t xml:space="preserve">                         54 760 </w:t>
            </w:r>
          </w:p>
        </w:tc>
        <w:tc>
          <w:tcPr>
            <w:tcW w:w="2033" w:type="dxa"/>
            <w:tcBorders>
              <w:top w:val="nil"/>
              <w:left w:val="nil"/>
              <w:bottom w:val="single" w:sz="4" w:space="0" w:color="auto"/>
              <w:right w:val="single" w:sz="4" w:space="0" w:color="auto"/>
            </w:tcBorders>
            <w:shd w:val="clear" w:color="auto" w:fill="auto"/>
            <w:noWrap/>
            <w:vAlign w:val="bottom"/>
          </w:tcPr>
          <w:p w14:paraId="67C737AF" w14:textId="7DCDB129" w:rsidR="004A493B" w:rsidRPr="00205C60" w:rsidRDefault="0054360D" w:rsidP="0054360D">
            <w:pPr>
              <w:jc w:val="right"/>
              <w:rPr>
                <w:rFonts w:ascii="Calibri" w:hAnsi="Calibri" w:cs="Calibri"/>
                <w:color w:val="000000"/>
                <w:sz w:val="22"/>
                <w:szCs w:val="22"/>
                <w:lang w:val="es-CR" w:eastAsia="es-CR"/>
              </w:rPr>
            </w:pPr>
            <w:r w:rsidRPr="00205C60">
              <w:rPr>
                <w:rFonts w:ascii="Calibri" w:hAnsi="Calibri" w:cs="Calibri"/>
                <w:color w:val="000000"/>
                <w:sz w:val="22"/>
                <w:szCs w:val="22"/>
                <w:lang w:val="es-CR" w:eastAsia="es-CR"/>
              </w:rPr>
              <w:t>113 743</w:t>
            </w:r>
          </w:p>
        </w:tc>
      </w:tr>
      <w:tr w:rsidR="004A493B" w:rsidRPr="00205C60" w14:paraId="600FF2E2" w14:textId="77777777" w:rsidTr="00403BBC">
        <w:trPr>
          <w:trHeight w:val="312"/>
          <w:jc w:val="center"/>
        </w:trPr>
        <w:tc>
          <w:tcPr>
            <w:tcW w:w="3265" w:type="dxa"/>
            <w:tcBorders>
              <w:top w:val="nil"/>
              <w:left w:val="single" w:sz="4" w:space="0" w:color="auto"/>
              <w:bottom w:val="single" w:sz="4" w:space="0" w:color="auto"/>
              <w:right w:val="single" w:sz="4" w:space="0" w:color="auto"/>
            </w:tcBorders>
            <w:shd w:val="clear" w:color="auto" w:fill="auto"/>
            <w:noWrap/>
            <w:vAlign w:val="bottom"/>
            <w:hideMark/>
          </w:tcPr>
          <w:p w14:paraId="5F1CD38C" w14:textId="0FEC2341" w:rsidR="004A493B" w:rsidRPr="00205C60" w:rsidRDefault="004A493B" w:rsidP="004A493B">
            <w:pPr>
              <w:rPr>
                <w:rFonts w:ascii="Calibri" w:hAnsi="Calibri" w:cs="Calibri"/>
                <w:color w:val="000000"/>
                <w:sz w:val="22"/>
                <w:szCs w:val="22"/>
                <w:lang w:val="es-CR" w:eastAsia="es-CR"/>
              </w:rPr>
            </w:pPr>
            <w:r w:rsidRPr="00205C60">
              <w:rPr>
                <w:rFonts w:ascii="Calibri" w:hAnsi="Calibri" w:cs="Calibri"/>
                <w:color w:val="000000"/>
                <w:sz w:val="22"/>
                <w:szCs w:val="22"/>
              </w:rPr>
              <w:t>Combustibles y lubricantes</w:t>
            </w:r>
          </w:p>
        </w:tc>
        <w:tc>
          <w:tcPr>
            <w:tcW w:w="2527" w:type="dxa"/>
            <w:tcBorders>
              <w:top w:val="nil"/>
              <w:left w:val="nil"/>
              <w:bottom w:val="single" w:sz="4" w:space="0" w:color="auto"/>
              <w:right w:val="single" w:sz="4" w:space="0" w:color="auto"/>
            </w:tcBorders>
            <w:shd w:val="clear" w:color="auto" w:fill="auto"/>
            <w:noWrap/>
            <w:vAlign w:val="bottom"/>
            <w:hideMark/>
          </w:tcPr>
          <w:p w14:paraId="6FEC82F7" w14:textId="49284370" w:rsidR="004A493B" w:rsidRPr="00205C60" w:rsidRDefault="004A493B" w:rsidP="004A493B">
            <w:pPr>
              <w:jc w:val="right"/>
              <w:rPr>
                <w:rFonts w:ascii="Calibri" w:hAnsi="Calibri" w:cs="Calibri"/>
                <w:color w:val="000000"/>
                <w:sz w:val="22"/>
                <w:szCs w:val="22"/>
                <w:lang w:val="es-CR" w:eastAsia="es-CR"/>
              </w:rPr>
            </w:pPr>
            <w:r w:rsidRPr="00205C60">
              <w:rPr>
                <w:rFonts w:ascii="Calibri" w:hAnsi="Calibri" w:cs="Calibri"/>
                <w:color w:val="000000"/>
                <w:sz w:val="22"/>
                <w:szCs w:val="22"/>
              </w:rPr>
              <w:t xml:space="preserve">                         18 562 </w:t>
            </w:r>
          </w:p>
        </w:tc>
        <w:tc>
          <w:tcPr>
            <w:tcW w:w="2033" w:type="dxa"/>
            <w:tcBorders>
              <w:top w:val="nil"/>
              <w:left w:val="nil"/>
              <w:bottom w:val="single" w:sz="4" w:space="0" w:color="auto"/>
              <w:right w:val="single" w:sz="4" w:space="0" w:color="auto"/>
            </w:tcBorders>
            <w:shd w:val="clear" w:color="auto" w:fill="auto"/>
            <w:noWrap/>
            <w:vAlign w:val="bottom"/>
          </w:tcPr>
          <w:p w14:paraId="5F692727" w14:textId="13734F10" w:rsidR="004A493B" w:rsidRPr="00205C60" w:rsidRDefault="0054360D" w:rsidP="0054360D">
            <w:pPr>
              <w:jc w:val="right"/>
              <w:rPr>
                <w:rFonts w:ascii="Calibri" w:hAnsi="Calibri" w:cs="Calibri"/>
                <w:color w:val="000000"/>
                <w:sz w:val="22"/>
                <w:szCs w:val="22"/>
                <w:lang w:val="es-CR" w:eastAsia="es-CR"/>
              </w:rPr>
            </w:pPr>
            <w:r w:rsidRPr="00205C60">
              <w:rPr>
                <w:rFonts w:ascii="Calibri" w:hAnsi="Calibri" w:cs="Calibri"/>
                <w:color w:val="000000"/>
                <w:sz w:val="22"/>
                <w:szCs w:val="22"/>
                <w:lang w:val="es-CR" w:eastAsia="es-CR"/>
              </w:rPr>
              <w:t>26 847</w:t>
            </w:r>
          </w:p>
        </w:tc>
      </w:tr>
      <w:tr w:rsidR="004A493B" w:rsidRPr="00205C60" w14:paraId="4FE93314" w14:textId="77777777" w:rsidTr="00403BBC">
        <w:trPr>
          <w:trHeight w:val="312"/>
          <w:jc w:val="center"/>
        </w:trPr>
        <w:tc>
          <w:tcPr>
            <w:tcW w:w="3265" w:type="dxa"/>
            <w:tcBorders>
              <w:top w:val="nil"/>
              <w:left w:val="single" w:sz="4" w:space="0" w:color="auto"/>
              <w:bottom w:val="single" w:sz="4" w:space="0" w:color="auto"/>
              <w:right w:val="single" w:sz="4" w:space="0" w:color="auto"/>
            </w:tcBorders>
            <w:shd w:val="clear" w:color="auto" w:fill="auto"/>
            <w:noWrap/>
            <w:vAlign w:val="bottom"/>
            <w:hideMark/>
          </w:tcPr>
          <w:p w14:paraId="5EE5C1A2" w14:textId="7AB2F192" w:rsidR="004A493B" w:rsidRPr="00205C60" w:rsidRDefault="004A493B" w:rsidP="004A493B">
            <w:pPr>
              <w:rPr>
                <w:rFonts w:ascii="Calibri" w:hAnsi="Calibri" w:cs="Calibri"/>
                <w:color w:val="000000"/>
                <w:sz w:val="22"/>
                <w:szCs w:val="22"/>
                <w:lang w:val="es-CR" w:eastAsia="es-CR"/>
              </w:rPr>
            </w:pPr>
            <w:r w:rsidRPr="00205C60">
              <w:rPr>
                <w:rFonts w:ascii="Calibri" w:hAnsi="Calibri" w:cs="Calibri"/>
                <w:color w:val="000000"/>
                <w:sz w:val="22"/>
                <w:szCs w:val="22"/>
              </w:rPr>
              <w:t>Otros</w:t>
            </w:r>
          </w:p>
        </w:tc>
        <w:tc>
          <w:tcPr>
            <w:tcW w:w="2527" w:type="dxa"/>
            <w:tcBorders>
              <w:top w:val="nil"/>
              <w:left w:val="nil"/>
              <w:bottom w:val="single" w:sz="4" w:space="0" w:color="auto"/>
              <w:right w:val="single" w:sz="4" w:space="0" w:color="auto"/>
            </w:tcBorders>
            <w:shd w:val="clear" w:color="auto" w:fill="auto"/>
            <w:noWrap/>
            <w:vAlign w:val="bottom"/>
            <w:hideMark/>
          </w:tcPr>
          <w:p w14:paraId="2F425585" w14:textId="7F94BDC6" w:rsidR="004A493B" w:rsidRPr="00205C60" w:rsidRDefault="004A493B" w:rsidP="004A493B">
            <w:pPr>
              <w:jc w:val="right"/>
              <w:rPr>
                <w:rFonts w:ascii="Calibri" w:hAnsi="Calibri" w:cs="Calibri"/>
                <w:color w:val="000000"/>
                <w:sz w:val="22"/>
                <w:szCs w:val="22"/>
                <w:lang w:val="es-CR" w:eastAsia="es-CR"/>
              </w:rPr>
            </w:pPr>
            <w:r w:rsidRPr="00205C60">
              <w:rPr>
                <w:rFonts w:ascii="Calibri" w:hAnsi="Calibri" w:cs="Calibri"/>
                <w:color w:val="000000"/>
                <w:sz w:val="22"/>
                <w:szCs w:val="22"/>
              </w:rPr>
              <w:t xml:space="preserve">                       424 349 </w:t>
            </w:r>
          </w:p>
        </w:tc>
        <w:tc>
          <w:tcPr>
            <w:tcW w:w="2033" w:type="dxa"/>
            <w:tcBorders>
              <w:top w:val="nil"/>
              <w:left w:val="nil"/>
              <w:bottom w:val="single" w:sz="4" w:space="0" w:color="auto"/>
              <w:right w:val="single" w:sz="4" w:space="0" w:color="auto"/>
            </w:tcBorders>
            <w:shd w:val="clear" w:color="auto" w:fill="auto"/>
            <w:noWrap/>
            <w:vAlign w:val="bottom"/>
          </w:tcPr>
          <w:p w14:paraId="1ED797D9" w14:textId="0A13DC6D" w:rsidR="004A493B" w:rsidRPr="00205C60" w:rsidRDefault="0054360D" w:rsidP="0054360D">
            <w:pPr>
              <w:jc w:val="right"/>
              <w:rPr>
                <w:rFonts w:ascii="Calibri" w:hAnsi="Calibri" w:cs="Calibri"/>
                <w:color w:val="000000"/>
                <w:sz w:val="22"/>
                <w:szCs w:val="22"/>
                <w:lang w:val="es-CR" w:eastAsia="es-CR"/>
              </w:rPr>
            </w:pPr>
            <w:r w:rsidRPr="00205C60">
              <w:rPr>
                <w:rFonts w:ascii="Calibri" w:hAnsi="Calibri" w:cs="Calibri"/>
                <w:color w:val="000000"/>
                <w:sz w:val="22"/>
                <w:szCs w:val="22"/>
                <w:lang w:val="es-CR" w:eastAsia="es-CR"/>
              </w:rPr>
              <w:t>154 018</w:t>
            </w:r>
          </w:p>
        </w:tc>
      </w:tr>
      <w:tr w:rsidR="004A493B" w:rsidRPr="00205C60" w14:paraId="18268FA7" w14:textId="77777777" w:rsidTr="00403BBC">
        <w:trPr>
          <w:trHeight w:val="312"/>
          <w:jc w:val="center"/>
        </w:trPr>
        <w:tc>
          <w:tcPr>
            <w:tcW w:w="3265" w:type="dxa"/>
            <w:tcBorders>
              <w:top w:val="nil"/>
              <w:left w:val="single" w:sz="4" w:space="0" w:color="auto"/>
              <w:bottom w:val="single" w:sz="4" w:space="0" w:color="auto"/>
              <w:right w:val="single" w:sz="4" w:space="0" w:color="auto"/>
            </w:tcBorders>
            <w:shd w:val="clear" w:color="auto" w:fill="auto"/>
            <w:noWrap/>
            <w:vAlign w:val="bottom"/>
            <w:hideMark/>
          </w:tcPr>
          <w:p w14:paraId="4059588A" w14:textId="03454FF9" w:rsidR="004A493B" w:rsidRPr="00205C60" w:rsidRDefault="004A493B" w:rsidP="004A493B">
            <w:pPr>
              <w:rPr>
                <w:rFonts w:ascii="Calibri" w:hAnsi="Calibri" w:cs="Calibri"/>
                <w:b/>
                <w:bCs/>
                <w:color w:val="000000"/>
                <w:sz w:val="22"/>
                <w:szCs w:val="22"/>
                <w:lang w:val="es-CR" w:eastAsia="es-CR"/>
              </w:rPr>
            </w:pPr>
            <w:r w:rsidRPr="00205C60">
              <w:rPr>
                <w:rFonts w:ascii="Calibri" w:hAnsi="Calibri" w:cs="Calibri"/>
                <w:b/>
                <w:bCs/>
                <w:color w:val="000000"/>
                <w:sz w:val="22"/>
                <w:szCs w:val="22"/>
              </w:rPr>
              <w:t>TOTALES</w:t>
            </w:r>
          </w:p>
        </w:tc>
        <w:tc>
          <w:tcPr>
            <w:tcW w:w="2527" w:type="dxa"/>
            <w:tcBorders>
              <w:top w:val="nil"/>
              <w:left w:val="nil"/>
              <w:bottom w:val="single" w:sz="4" w:space="0" w:color="auto"/>
              <w:right w:val="single" w:sz="4" w:space="0" w:color="auto"/>
            </w:tcBorders>
            <w:shd w:val="clear" w:color="auto" w:fill="auto"/>
            <w:noWrap/>
            <w:vAlign w:val="bottom"/>
            <w:hideMark/>
          </w:tcPr>
          <w:p w14:paraId="3EA66A8B" w14:textId="4F23973C" w:rsidR="004A493B" w:rsidRPr="00205C60" w:rsidRDefault="004A493B" w:rsidP="004A493B">
            <w:pPr>
              <w:jc w:val="right"/>
              <w:rPr>
                <w:rFonts w:ascii="Calibri" w:hAnsi="Calibri" w:cs="Calibri"/>
                <w:b/>
                <w:bCs/>
                <w:color w:val="000000"/>
                <w:sz w:val="22"/>
                <w:szCs w:val="22"/>
                <w:lang w:val="es-CR" w:eastAsia="es-CR"/>
              </w:rPr>
            </w:pPr>
            <w:r w:rsidRPr="00205C60">
              <w:rPr>
                <w:rFonts w:ascii="Calibri" w:hAnsi="Calibri" w:cs="Calibri"/>
                <w:b/>
                <w:bCs/>
                <w:color w:val="000000"/>
                <w:sz w:val="22"/>
                <w:szCs w:val="22"/>
              </w:rPr>
              <w:t xml:space="preserve">                 24 735 939 </w:t>
            </w:r>
          </w:p>
        </w:tc>
        <w:tc>
          <w:tcPr>
            <w:tcW w:w="2033" w:type="dxa"/>
            <w:tcBorders>
              <w:top w:val="nil"/>
              <w:left w:val="nil"/>
              <w:bottom w:val="single" w:sz="4" w:space="0" w:color="auto"/>
              <w:right w:val="single" w:sz="4" w:space="0" w:color="auto"/>
            </w:tcBorders>
            <w:shd w:val="clear" w:color="auto" w:fill="auto"/>
            <w:noWrap/>
            <w:vAlign w:val="bottom"/>
          </w:tcPr>
          <w:p w14:paraId="11522A1F" w14:textId="74250887" w:rsidR="0054360D" w:rsidRPr="00205C60" w:rsidRDefault="0054360D" w:rsidP="0054360D">
            <w:pPr>
              <w:jc w:val="right"/>
              <w:rPr>
                <w:rFonts w:ascii="Calibri" w:hAnsi="Calibri" w:cs="Calibri"/>
                <w:b/>
                <w:bCs/>
                <w:color w:val="000000"/>
                <w:sz w:val="22"/>
                <w:szCs w:val="22"/>
                <w:lang w:val="es-CR" w:eastAsia="es-CR"/>
              </w:rPr>
            </w:pPr>
            <w:r w:rsidRPr="00205C60">
              <w:rPr>
                <w:rFonts w:ascii="Calibri" w:hAnsi="Calibri" w:cs="Calibri"/>
                <w:b/>
                <w:bCs/>
                <w:color w:val="000000"/>
                <w:sz w:val="22"/>
                <w:szCs w:val="22"/>
                <w:lang w:val="es-CR" w:eastAsia="es-CR"/>
              </w:rPr>
              <w:t>27 032 246</w:t>
            </w:r>
          </w:p>
        </w:tc>
      </w:tr>
    </w:tbl>
    <w:p w14:paraId="4D81D998" w14:textId="77777777" w:rsidR="00593869" w:rsidRPr="00205C60" w:rsidRDefault="00593869">
      <w:pPr>
        <w:jc w:val="both"/>
        <w:rPr>
          <w:rFonts w:ascii="Verdana" w:hAnsi="Verdana" w:cs="Arial"/>
          <w:sz w:val="22"/>
          <w:szCs w:val="22"/>
        </w:rPr>
      </w:pPr>
    </w:p>
    <w:p w14:paraId="3CA7F1E9" w14:textId="1364EB59" w:rsidR="003F78C8" w:rsidRPr="00205C60" w:rsidRDefault="003F78C8" w:rsidP="009115AC">
      <w:pPr>
        <w:jc w:val="both"/>
        <w:rPr>
          <w:rFonts w:ascii="Verdana" w:hAnsi="Verdana" w:cs="Arial"/>
          <w:sz w:val="22"/>
          <w:szCs w:val="22"/>
        </w:rPr>
      </w:pPr>
      <w:r w:rsidRPr="00205C60">
        <w:rPr>
          <w:rFonts w:ascii="Verdana" w:hAnsi="Verdana" w:cs="Arial"/>
          <w:sz w:val="22"/>
          <w:szCs w:val="22"/>
        </w:rPr>
        <w:t>El rubro “otros” incluye principalmente gastos por concepto de impuestos, servicios de terceros, teléfonos, entre otros.</w:t>
      </w:r>
    </w:p>
    <w:p w14:paraId="3CA7F1EA" w14:textId="77777777" w:rsidR="003F78C8" w:rsidRPr="00205C60" w:rsidRDefault="003F78C8" w:rsidP="009115AC">
      <w:pPr>
        <w:jc w:val="both"/>
        <w:rPr>
          <w:rFonts w:ascii="Verdana" w:hAnsi="Verdana" w:cs="Arial"/>
          <w:sz w:val="22"/>
          <w:szCs w:val="22"/>
        </w:rPr>
      </w:pPr>
    </w:p>
    <w:p w14:paraId="3CA7F1EB" w14:textId="6593D0D1" w:rsidR="004E39CB" w:rsidRPr="00205C60" w:rsidRDefault="00787936" w:rsidP="004E39CB">
      <w:pPr>
        <w:jc w:val="both"/>
        <w:rPr>
          <w:rFonts w:ascii="Verdana" w:hAnsi="Verdana" w:cs="Arial"/>
          <w:sz w:val="22"/>
          <w:szCs w:val="22"/>
        </w:rPr>
      </w:pPr>
      <w:r w:rsidRPr="00205C60">
        <w:rPr>
          <w:rFonts w:ascii="Verdana" w:hAnsi="Verdana" w:cs="Arial"/>
          <w:sz w:val="22"/>
          <w:szCs w:val="22"/>
        </w:rPr>
        <w:t xml:space="preserve">El registro en el renglón de impuestos es determinado </w:t>
      </w:r>
      <w:r w:rsidR="004E39CB" w:rsidRPr="00205C60">
        <w:rPr>
          <w:rFonts w:ascii="Verdana" w:hAnsi="Verdana" w:cs="Arial"/>
          <w:sz w:val="22"/>
          <w:szCs w:val="22"/>
        </w:rPr>
        <w:t xml:space="preserve">por la Autoridad </w:t>
      </w:r>
      <w:r w:rsidR="009115AC" w:rsidRPr="00205C60">
        <w:rPr>
          <w:rFonts w:ascii="Verdana" w:hAnsi="Verdana" w:cs="Arial"/>
          <w:sz w:val="22"/>
          <w:szCs w:val="22"/>
        </w:rPr>
        <w:t>Reguladora de</w:t>
      </w:r>
      <w:r w:rsidR="004E39CB" w:rsidRPr="00205C60">
        <w:rPr>
          <w:rFonts w:ascii="Verdana" w:hAnsi="Verdana" w:cs="Arial"/>
          <w:sz w:val="22"/>
          <w:szCs w:val="22"/>
        </w:rPr>
        <w:t xml:space="preserve"> Servicios Públicos en relación con el canon por servicios de regulación</w:t>
      </w:r>
      <w:r w:rsidR="00DE1548" w:rsidRPr="00205C60">
        <w:rPr>
          <w:rFonts w:ascii="Verdana" w:hAnsi="Verdana" w:cs="Arial"/>
          <w:sz w:val="22"/>
          <w:szCs w:val="22"/>
        </w:rPr>
        <w:t>, en donde la Compañía no tiene ninguna injerencia.</w:t>
      </w:r>
    </w:p>
    <w:p w14:paraId="3CA7F1EC" w14:textId="77777777" w:rsidR="004E39CB" w:rsidRPr="00205C60" w:rsidRDefault="004E39CB" w:rsidP="003A52B4">
      <w:pPr>
        <w:jc w:val="both"/>
        <w:rPr>
          <w:rFonts w:ascii="Verdana" w:hAnsi="Verdana" w:cs="Arial"/>
          <w:sz w:val="22"/>
          <w:szCs w:val="22"/>
        </w:rPr>
      </w:pPr>
    </w:p>
    <w:p w14:paraId="3CA7F1ED" w14:textId="5345E274" w:rsidR="0007406F" w:rsidRPr="00205C60" w:rsidRDefault="0007406F" w:rsidP="0007406F">
      <w:pPr>
        <w:jc w:val="both"/>
        <w:rPr>
          <w:rFonts w:ascii="Verdana" w:eastAsia="Calibri" w:hAnsi="Verdana" w:cs="Arial"/>
          <w:sz w:val="22"/>
          <w:szCs w:val="22"/>
        </w:rPr>
      </w:pPr>
      <w:r w:rsidRPr="00205C60">
        <w:rPr>
          <w:rFonts w:ascii="Verdana" w:eastAsia="Calibri" w:hAnsi="Verdana" w:cs="Arial"/>
          <w:sz w:val="22"/>
          <w:szCs w:val="22"/>
        </w:rPr>
        <w:t xml:space="preserve">La depreciación </w:t>
      </w:r>
      <w:r w:rsidR="00D631F5" w:rsidRPr="00205C60">
        <w:rPr>
          <w:rFonts w:ascii="Verdana" w:eastAsia="Calibri" w:hAnsi="Verdana" w:cs="Arial"/>
          <w:sz w:val="22"/>
          <w:szCs w:val="22"/>
        </w:rPr>
        <w:t>refleja el crecimiento vegetativo en el activo fijo producto de todas las capitalizaciones de obras nuevas que entraron en operación en el 20</w:t>
      </w:r>
      <w:r w:rsidR="003E6180" w:rsidRPr="00205C60">
        <w:rPr>
          <w:rFonts w:ascii="Verdana" w:eastAsia="Calibri" w:hAnsi="Verdana" w:cs="Arial"/>
          <w:sz w:val="22"/>
          <w:szCs w:val="22"/>
        </w:rPr>
        <w:t>2</w:t>
      </w:r>
      <w:r w:rsidR="00ED336F" w:rsidRPr="00205C60">
        <w:rPr>
          <w:rFonts w:ascii="Verdana" w:eastAsia="Calibri" w:hAnsi="Verdana" w:cs="Arial"/>
          <w:sz w:val="22"/>
          <w:szCs w:val="22"/>
        </w:rPr>
        <w:t>2</w:t>
      </w:r>
      <w:r w:rsidR="00D631F5" w:rsidRPr="00205C60">
        <w:rPr>
          <w:rFonts w:ascii="Verdana" w:eastAsia="Calibri" w:hAnsi="Verdana" w:cs="Arial"/>
          <w:sz w:val="22"/>
          <w:szCs w:val="22"/>
        </w:rPr>
        <w:t xml:space="preserve"> y las compras de equipo en general.</w:t>
      </w:r>
    </w:p>
    <w:p w14:paraId="3CA7F1F0" w14:textId="77777777" w:rsidR="00846BE1" w:rsidRPr="00205C60" w:rsidRDefault="00846BE1">
      <w:pPr>
        <w:jc w:val="both"/>
        <w:rPr>
          <w:rFonts w:ascii="Verdana" w:hAnsi="Verdana" w:cs="Arial"/>
          <w:sz w:val="22"/>
          <w:szCs w:val="22"/>
        </w:rPr>
      </w:pPr>
    </w:p>
    <w:p w14:paraId="3CA7F1F1" w14:textId="506AE77C" w:rsidR="008C208E" w:rsidRPr="00205C60" w:rsidRDefault="0031749F" w:rsidP="008C208E">
      <w:pPr>
        <w:contextualSpacing/>
        <w:jc w:val="both"/>
        <w:rPr>
          <w:rFonts w:ascii="Verdana" w:hAnsi="Verdana" w:cs="Arial"/>
          <w:sz w:val="22"/>
          <w:szCs w:val="22"/>
        </w:rPr>
      </w:pPr>
      <w:r w:rsidRPr="00205C60">
        <w:rPr>
          <w:rFonts w:ascii="Verdana" w:hAnsi="Verdana" w:cs="Arial"/>
          <w:sz w:val="22"/>
          <w:szCs w:val="22"/>
        </w:rPr>
        <w:t>Durante e</w:t>
      </w:r>
      <w:r w:rsidR="00706CC0" w:rsidRPr="00205C60">
        <w:rPr>
          <w:rFonts w:ascii="Verdana" w:hAnsi="Verdana" w:cs="Arial"/>
          <w:sz w:val="22"/>
          <w:szCs w:val="22"/>
        </w:rPr>
        <w:t>l año 20</w:t>
      </w:r>
      <w:r w:rsidR="001A7D0E" w:rsidRPr="00205C60">
        <w:rPr>
          <w:rFonts w:ascii="Verdana" w:hAnsi="Verdana" w:cs="Arial"/>
          <w:sz w:val="22"/>
          <w:szCs w:val="22"/>
        </w:rPr>
        <w:t>2</w:t>
      </w:r>
      <w:r w:rsidR="00B234B7" w:rsidRPr="00205C60">
        <w:rPr>
          <w:rFonts w:ascii="Verdana" w:hAnsi="Verdana" w:cs="Arial"/>
          <w:sz w:val="22"/>
          <w:szCs w:val="22"/>
        </w:rPr>
        <w:t>2</w:t>
      </w:r>
      <w:r w:rsidRPr="00205C60">
        <w:rPr>
          <w:rFonts w:ascii="Verdana" w:hAnsi="Verdana" w:cs="Arial"/>
          <w:sz w:val="22"/>
          <w:szCs w:val="22"/>
        </w:rPr>
        <w:t xml:space="preserve">, </w:t>
      </w:r>
      <w:r w:rsidR="00706CC0" w:rsidRPr="00205C60">
        <w:rPr>
          <w:rFonts w:ascii="Verdana" w:hAnsi="Verdana" w:cs="Arial"/>
          <w:sz w:val="22"/>
          <w:szCs w:val="22"/>
        </w:rPr>
        <w:t>se observ</w:t>
      </w:r>
      <w:r w:rsidR="00B41822" w:rsidRPr="00205C60">
        <w:rPr>
          <w:rFonts w:ascii="Verdana" w:hAnsi="Verdana" w:cs="Arial"/>
          <w:sz w:val="22"/>
          <w:szCs w:val="22"/>
        </w:rPr>
        <w:t>a</w:t>
      </w:r>
      <w:r w:rsidR="00706CC0" w:rsidRPr="00205C60">
        <w:rPr>
          <w:rFonts w:ascii="Verdana" w:hAnsi="Verdana" w:cs="Arial"/>
          <w:sz w:val="22"/>
          <w:szCs w:val="22"/>
        </w:rPr>
        <w:t xml:space="preserve"> </w:t>
      </w:r>
      <w:r w:rsidR="001E5C32" w:rsidRPr="00205C60">
        <w:rPr>
          <w:rFonts w:ascii="Verdana" w:hAnsi="Verdana" w:cs="Arial"/>
          <w:sz w:val="22"/>
          <w:szCs w:val="22"/>
        </w:rPr>
        <w:t xml:space="preserve">un </w:t>
      </w:r>
      <w:r w:rsidRPr="00205C60">
        <w:rPr>
          <w:rFonts w:ascii="Verdana" w:hAnsi="Verdana" w:cs="Arial"/>
          <w:sz w:val="22"/>
          <w:szCs w:val="22"/>
        </w:rPr>
        <w:t xml:space="preserve">impacto </w:t>
      </w:r>
      <w:r w:rsidR="001E5C32" w:rsidRPr="00205C60">
        <w:rPr>
          <w:rFonts w:ascii="Verdana" w:hAnsi="Verdana" w:cs="Arial"/>
          <w:sz w:val="22"/>
          <w:szCs w:val="22"/>
        </w:rPr>
        <w:t xml:space="preserve">en </w:t>
      </w:r>
      <w:r w:rsidR="001949F2" w:rsidRPr="00205C60">
        <w:rPr>
          <w:rFonts w:ascii="Verdana" w:hAnsi="Verdana" w:cs="Arial"/>
          <w:sz w:val="22"/>
          <w:szCs w:val="22"/>
        </w:rPr>
        <w:t>el pago de intereses</w:t>
      </w:r>
      <w:r w:rsidR="006651C2" w:rsidRPr="00205C60">
        <w:rPr>
          <w:rFonts w:ascii="Verdana" w:hAnsi="Verdana" w:cs="Arial"/>
          <w:sz w:val="22"/>
          <w:szCs w:val="22"/>
        </w:rPr>
        <w:t xml:space="preserve"> por efecto de un </w:t>
      </w:r>
      <w:r w:rsidR="00637EC1" w:rsidRPr="00205C60">
        <w:rPr>
          <w:rFonts w:ascii="Verdana" w:hAnsi="Verdana" w:cs="Arial"/>
          <w:sz w:val="22"/>
          <w:szCs w:val="22"/>
        </w:rPr>
        <w:t>aumento</w:t>
      </w:r>
      <w:r w:rsidR="006651C2" w:rsidRPr="00205C60">
        <w:rPr>
          <w:rFonts w:ascii="Verdana" w:hAnsi="Verdana" w:cs="Arial"/>
          <w:sz w:val="22"/>
          <w:szCs w:val="22"/>
        </w:rPr>
        <w:t xml:space="preserve"> en las tasas de interés</w:t>
      </w:r>
      <w:r w:rsidR="00396CB5" w:rsidRPr="00205C60">
        <w:rPr>
          <w:rFonts w:ascii="Verdana" w:hAnsi="Verdana" w:cs="Arial"/>
          <w:sz w:val="22"/>
          <w:szCs w:val="22"/>
        </w:rPr>
        <w:t xml:space="preserve">. </w:t>
      </w:r>
      <w:r w:rsidR="008C208E" w:rsidRPr="00205C60">
        <w:rPr>
          <w:rFonts w:ascii="Verdana" w:hAnsi="Verdana" w:cs="Arial"/>
          <w:sz w:val="22"/>
          <w:szCs w:val="22"/>
        </w:rPr>
        <w:t>Por demás</w:t>
      </w:r>
      <w:r w:rsidR="00B76916" w:rsidRPr="00205C60">
        <w:rPr>
          <w:rFonts w:ascii="Verdana" w:hAnsi="Verdana" w:cs="Arial"/>
          <w:sz w:val="22"/>
          <w:szCs w:val="22"/>
        </w:rPr>
        <w:t xml:space="preserve">, </w:t>
      </w:r>
      <w:r w:rsidR="008C208E" w:rsidRPr="00205C60">
        <w:rPr>
          <w:rFonts w:ascii="Verdana" w:hAnsi="Verdana" w:cs="Arial"/>
          <w:sz w:val="22"/>
          <w:szCs w:val="22"/>
        </w:rPr>
        <w:t>la Compañía no ha suscrito nuevos préstamos.</w:t>
      </w:r>
    </w:p>
    <w:p w14:paraId="3CA7F1F2" w14:textId="77777777" w:rsidR="008C208E" w:rsidRPr="00205C60" w:rsidRDefault="008C208E" w:rsidP="008C208E">
      <w:pPr>
        <w:contextualSpacing/>
        <w:jc w:val="both"/>
        <w:rPr>
          <w:rFonts w:ascii="Verdana" w:hAnsi="Verdana" w:cs="Arial"/>
          <w:sz w:val="22"/>
          <w:szCs w:val="22"/>
        </w:rPr>
      </w:pPr>
    </w:p>
    <w:p w14:paraId="441C5128" w14:textId="3FDB5890" w:rsidR="00623E3B" w:rsidRPr="00205C60" w:rsidRDefault="008C208E" w:rsidP="00623E3B">
      <w:pPr>
        <w:jc w:val="both"/>
        <w:rPr>
          <w:rFonts w:ascii="Verdana" w:hAnsi="Verdana" w:cs="Arial"/>
          <w:sz w:val="22"/>
          <w:szCs w:val="22"/>
        </w:rPr>
      </w:pPr>
      <w:r w:rsidRPr="00205C60">
        <w:rPr>
          <w:rFonts w:ascii="Verdana" w:hAnsi="Verdana" w:cs="Arial"/>
          <w:sz w:val="22"/>
          <w:szCs w:val="22"/>
        </w:rPr>
        <w:t>C</w:t>
      </w:r>
      <w:r w:rsidR="00503F0B" w:rsidRPr="00205C60">
        <w:rPr>
          <w:rFonts w:ascii="Verdana" w:hAnsi="Verdana" w:cs="Arial"/>
          <w:sz w:val="22"/>
          <w:szCs w:val="22"/>
        </w:rPr>
        <w:t>omo resultado de las transacciones en moneda extranjera y de la valuación de los activos y pasivos monetarios denominados en moneda extranjera, durante el año terminado el 31 de diciembre del 20</w:t>
      </w:r>
      <w:r w:rsidR="00192FCC" w:rsidRPr="00205C60">
        <w:rPr>
          <w:rFonts w:ascii="Verdana" w:hAnsi="Verdana" w:cs="Arial"/>
          <w:sz w:val="22"/>
          <w:szCs w:val="22"/>
        </w:rPr>
        <w:t>2</w:t>
      </w:r>
      <w:r w:rsidR="00396CB5" w:rsidRPr="00205C60">
        <w:rPr>
          <w:rFonts w:ascii="Verdana" w:hAnsi="Verdana" w:cs="Arial"/>
          <w:sz w:val="22"/>
          <w:szCs w:val="22"/>
        </w:rPr>
        <w:t>2</w:t>
      </w:r>
      <w:r w:rsidR="00503F0B" w:rsidRPr="00205C60">
        <w:rPr>
          <w:rFonts w:ascii="Verdana" w:hAnsi="Verdana" w:cs="Arial"/>
          <w:sz w:val="22"/>
          <w:szCs w:val="22"/>
        </w:rPr>
        <w:t xml:space="preserve">, se reconoció un </w:t>
      </w:r>
      <w:r w:rsidR="00192FCC" w:rsidRPr="00205C60">
        <w:rPr>
          <w:rFonts w:ascii="Verdana" w:hAnsi="Verdana" w:cs="Arial"/>
          <w:sz w:val="22"/>
          <w:szCs w:val="22"/>
        </w:rPr>
        <w:t>gasto</w:t>
      </w:r>
      <w:r w:rsidR="00503F0B" w:rsidRPr="00205C60">
        <w:rPr>
          <w:rFonts w:ascii="Verdana" w:hAnsi="Verdana" w:cs="Arial"/>
          <w:sz w:val="22"/>
          <w:szCs w:val="22"/>
        </w:rPr>
        <w:t xml:space="preserve"> neto por diferencias de cambio por un monto de </w:t>
      </w:r>
      <w:r w:rsidR="00936992" w:rsidRPr="00205C60">
        <w:rPr>
          <w:rFonts w:ascii="Verdana" w:hAnsi="Verdana" w:cs="Arial"/>
          <w:sz w:val="22"/>
          <w:szCs w:val="22"/>
        </w:rPr>
        <w:t xml:space="preserve">₡ </w:t>
      </w:r>
      <w:r w:rsidR="008406B6" w:rsidRPr="00205C60">
        <w:rPr>
          <w:rFonts w:ascii="Verdana" w:hAnsi="Verdana" w:cs="Arial"/>
          <w:sz w:val="22"/>
          <w:szCs w:val="22"/>
        </w:rPr>
        <w:t>120</w:t>
      </w:r>
      <w:r w:rsidR="00936992" w:rsidRPr="00205C60">
        <w:rPr>
          <w:rFonts w:ascii="Verdana" w:hAnsi="Verdana" w:cs="Arial"/>
          <w:sz w:val="22"/>
          <w:szCs w:val="22"/>
        </w:rPr>
        <w:t>.</w:t>
      </w:r>
      <w:r w:rsidR="008406B6" w:rsidRPr="00205C60">
        <w:rPr>
          <w:rFonts w:ascii="Verdana" w:hAnsi="Verdana" w:cs="Arial"/>
          <w:sz w:val="22"/>
          <w:szCs w:val="22"/>
        </w:rPr>
        <w:t>149</w:t>
      </w:r>
      <w:r w:rsidR="00503F0B" w:rsidRPr="00205C60">
        <w:rPr>
          <w:rFonts w:ascii="Verdana" w:hAnsi="Verdana" w:cs="Arial"/>
          <w:sz w:val="22"/>
          <w:szCs w:val="22"/>
        </w:rPr>
        <w:t xml:space="preserve"> miles</w:t>
      </w:r>
      <w:r w:rsidR="004D0F63" w:rsidRPr="00205C60">
        <w:rPr>
          <w:rFonts w:ascii="Verdana" w:hAnsi="Verdana" w:cs="Arial"/>
          <w:sz w:val="22"/>
          <w:szCs w:val="22"/>
        </w:rPr>
        <w:t xml:space="preserve"> </w:t>
      </w:r>
      <w:r w:rsidR="00623E3B" w:rsidRPr="00205C60">
        <w:rPr>
          <w:rFonts w:ascii="Verdana" w:hAnsi="Verdana" w:cs="Arial"/>
          <w:sz w:val="22"/>
          <w:szCs w:val="22"/>
        </w:rPr>
        <w:t>producto del impacto de la devaluación del colón respecto al dólar</w:t>
      </w:r>
      <w:r w:rsidR="00403BBC" w:rsidRPr="00205C60">
        <w:rPr>
          <w:rFonts w:ascii="Verdana" w:hAnsi="Verdana" w:cs="Arial"/>
          <w:sz w:val="22"/>
          <w:szCs w:val="22"/>
        </w:rPr>
        <w:t>.</w:t>
      </w:r>
    </w:p>
    <w:p w14:paraId="3CA7F1F5" w14:textId="0D624F6A" w:rsidR="00FD1619" w:rsidRPr="00205C60" w:rsidRDefault="00FD1619" w:rsidP="00623E3B">
      <w:pPr>
        <w:jc w:val="both"/>
        <w:rPr>
          <w:rFonts w:ascii="Verdana" w:hAnsi="Verdana" w:cs="Arial"/>
          <w:sz w:val="22"/>
          <w:szCs w:val="22"/>
        </w:rPr>
      </w:pPr>
    </w:p>
    <w:p w14:paraId="3CA7F1F6" w14:textId="77777777" w:rsidR="00B44125" w:rsidRPr="00205C60" w:rsidRDefault="00B44125" w:rsidP="00307E2B">
      <w:pPr>
        <w:pStyle w:val="Ttulo2"/>
        <w:numPr>
          <w:ilvl w:val="1"/>
          <w:numId w:val="1"/>
        </w:numPr>
        <w:rPr>
          <w:rFonts w:ascii="Verdana" w:hAnsi="Verdana" w:cs="Arial"/>
          <w:sz w:val="22"/>
          <w:szCs w:val="22"/>
        </w:rPr>
      </w:pPr>
      <w:bookmarkStart w:id="157" w:name="_Toc64699233"/>
      <w:bookmarkStart w:id="158" w:name="_Toc104529484"/>
      <w:r w:rsidRPr="00205C60">
        <w:rPr>
          <w:rFonts w:ascii="Verdana" w:hAnsi="Verdana" w:cs="Arial"/>
          <w:sz w:val="22"/>
          <w:szCs w:val="22"/>
        </w:rPr>
        <w:t>Liquidez y recursos de capital</w:t>
      </w:r>
      <w:bookmarkEnd w:id="157"/>
      <w:bookmarkEnd w:id="158"/>
    </w:p>
    <w:p w14:paraId="3CA7F1F7" w14:textId="77777777" w:rsidR="00681297" w:rsidRPr="00205C60" w:rsidRDefault="00681297" w:rsidP="001949F2">
      <w:pPr>
        <w:rPr>
          <w:rFonts w:ascii="Verdana" w:hAnsi="Verdana"/>
          <w:sz w:val="22"/>
          <w:szCs w:val="22"/>
        </w:rPr>
      </w:pPr>
    </w:p>
    <w:p w14:paraId="3CA7F1F8" w14:textId="77777777" w:rsidR="00646635" w:rsidRPr="00205C60" w:rsidRDefault="00646635" w:rsidP="00C34EB5">
      <w:pPr>
        <w:jc w:val="both"/>
        <w:rPr>
          <w:rFonts w:ascii="Verdana" w:hAnsi="Verdana" w:cs="Arial"/>
          <w:sz w:val="22"/>
          <w:szCs w:val="22"/>
        </w:rPr>
      </w:pPr>
      <w:r w:rsidRPr="00205C60">
        <w:rPr>
          <w:rFonts w:ascii="Verdana" w:hAnsi="Verdana" w:cs="Arial"/>
          <w:sz w:val="22"/>
          <w:szCs w:val="22"/>
        </w:rPr>
        <w:t>La principal fuente de liquidez de la Compañía</w:t>
      </w:r>
      <w:r w:rsidR="00005747" w:rsidRPr="00205C60">
        <w:rPr>
          <w:rFonts w:ascii="Verdana" w:hAnsi="Verdana" w:cs="Arial"/>
          <w:sz w:val="22"/>
          <w:szCs w:val="22"/>
        </w:rPr>
        <w:t xml:space="preserve"> proviene del cobro de las ventas de energ</w:t>
      </w:r>
      <w:r w:rsidR="00C34EB5" w:rsidRPr="00205C60">
        <w:rPr>
          <w:rFonts w:ascii="Verdana" w:hAnsi="Verdana" w:cs="Arial"/>
          <w:sz w:val="22"/>
          <w:szCs w:val="22"/>
        </w:rPr>
        <w:t>ía a sus clientes, otros ingresos de operación</w:t>
      </w:r>
      <w:r w:rsidR="006E3262" w:rsidRPr="00205C60">
        <w:rPr>
          <w:rFonts w:ascii="Verdana" w:hAnsi="Verdana" w:cs="Arial"/>
          <w:sz w:val="22"/>
          <w:szCs w:val="22"/>
        </w:rPr>
        <w:t xml:space="preserve"> y</w:t>
      </w:r>
      <w:r w:rsidR="00C34EB5" w:rsidRPr="00205C60">
        <w:rPr>
          <w:rFonts w:ascii="Verdana" w:hAnsi="Verdana" w:cs="Arial"/>
          <w:sz w:val="22"/>
          <w:szCs w:val="22"/>
        </w:rPr>
        <w:t xml:space="preserve"> la disposición de recursos provenientes de créditos para el financiamiento de obras de inversión</w:t>
      </w:r>
      <w:r w:rsidR="006E3262" w:rsidRPr="00205C60">
        <w:rPr>
          <w:rFonts w:ascii="Verdana" w:hAnsi="Verdana" w:cs="Arial"/>
          <w:sz w:val="22"/>
          <w:szCs w:val="22"/>
        </w:rPr>
        <w:t>.</w:t>
      </w:r>
    </w:p>
    <w:p w14:paraId="3CA7F1F9" w14:textId="77777777" w:rsidR="00CD2E3D" w:rsidRPr="00205C60" w:rsidRDefault="00CD2E3D">
      <w:pPr>
        <w:jc w:val="both"/>
        <w:rPr>
          <w:rFonts w:ascii="Verdana" w:hAnsi="Verdana" w:cs="Arial"/>
          <w:sz w:val="22"/>
          <w:szCs w:val="22"/>
        </w:rPr>
      </w:pPr>
    </w:p>
    <w:p w14:paraId="3CA7F1FA" w14:textId="3B156443" w:rsidR="00574575" w:rsidRPr="00205C60" w:rsidRDefault="007C328A">
      <w:pPr>
        <w:jc w:val="both"/>
        <w:rPr>
          <w:rFonts w:ascii="Verdana" w:hAnsi="Verdana" w:cs="Arial"/>
          <w:sz w:val="22"/>
          <w:szCs w:val="22"/>
        </w:rPr>
      </w:pPr>
      <w:r w:rsidRPr="00205C60">
        <w:rPr>
          <w:rFonts w:ascii="Verdana" w:hAnsi="Verdana" w:cs="Arial"/>
          <w:sz w:val="22"/>
          <w:szCs w:val="22"/>
        </w:rPr>
        <w:t>L</w:t>
      </w:r>
      <w:r w:rsidR="00690685" w:rsidRPr="00205C60">
        <w:rPr>
          <w:rFonts w:ascii="Verdana" w:hAnsi="Verdana" w:cs="Arial"/>
          <w:sz w:val="22"/>
          <w:szCs w:val="22"/>
        </w:rPr>
        <w:t xml:space="preserve">a ley de creación de ARESEP obliga a los regulados a presentar al menos </w:t>
      </w:r>
      <w:r w:rsidR="00EB2C1C" w:rsidRPr="00205C60">
        <w:rPr>
          <w:rFonts w:ascii="Verdana" w:hAnsi="Verdana" w:cs="Arial"/>
          <w:sz w:val="22"/>
          <w:szCs w:val="22"/>
        </w:rPr>
        <w:t xml:space="preserve">una </w:t>
      </w:r>
      <w:r w:rsidR="00690685" w:rsidRPr="00205C60">
        <w:rPr>
          <w:rFonts w:ascii="Verdana" w:hAnsi="Verdana" w:cs="Arial"/>
          <w:sz w:val="22"/>
          <w:szCs w:val="22"/>
        </w:rPr>
        <w:t xml:space="preserve">solicitud de </w:t>
      </w:r>
      <w:r w:rsidR="006D1715" w:rsidRPr="00205C60">
        <w:rPr>
          <w:rFonts w:ascii="Verdana" w:hAnsi="Verdana" w:cs="Arial"/>
          <w:sz w:val="22"/>
          <w:szCs w:val="22"/>
        </w:rPr>
        <w:t>ajuste tarifario</w:t>
      </w:r>
      <w:r w:rsidR="00690685" w:rsidRPr="00205C60">
        <w:rPr>
          <w:rFonts w:ascii="Verdana" w:hAnsi="Verdana" w:cs="Arial"/>
          <w:sz w:val="22"/>
          <w:szCs w:val="22"/>
        </w:rPr>
        <w:t xml:space="preserve"> </w:t>
      </w:r>
      <w:r w:rsidR="00332144" w:rsidRPr="00205C60">
        <w:rPr>
          <w:rFonts w:ascii="Verdana" w:hAnsi="Verdana" w:cs="Arial"/>
          <w:sz w:val="22"/>
          <w:szCs w:val="22"/>
        </w:rPr>
        <w:t xml:space="preserve">anualmente </w:t>
      </w:r>
      <w:r w:rsidR="00921B0A" w:rsidRPr="00205C60">
        <w:rPr>
          <w:rFonts w:ascii="Verdana" w:hAnsi="Verdana" w:cs="Arial"/>
          <w:sz w:val="22"/>
          <w:szCs w:val="22"/>
        </w:rPr>
        <w:t xml:space="preserve">(adicional al ajuste automático) </w:t>
      </w:r>
      <w:r w:rsidR="00332144" w:rsidRPr="00205C60">
        <w:rPr>
          <w:rFonts w:ascii="Verdana" w:hAnsi="Verdana" w:cs="Arial"/>
          <w:sz w:val="22"/>
          <w:szCs w:val="22"/>
        </w:rPr>
        <w:t xml:space="preserve">y también faculta a dicha entidad para el trámite de oficio </w:t>
      </w:r>
      <w:r w:rsidR="00941AA0" w:rsidRPr="00205C60">
        <w:rPr>
          <w:rFonts w:ascii="Verdana" w:hAnsi="Verdana" w:cs="Arial"/>
          <w:sz w:val="22"/>
          <w:szCs w:val="22"/>
        </w:rPr>
        <w:t xml:space="preserve">en caso necesario, por lo que las actualizaciones tarifarias de la </w:t>
      </w:r>
      <w:r w:rsidR="00427A98" w:rsidRPr="00205C60">
        <w:rPr>
          <w:rFonts w:ascii="Verdana" w:hAnsi="Verdana" w:cs="Arial"/>
          <w:sz w:val="22"/>
          <w:szCs w:val="22"/>
        </w:rPr>
        <w:t>Compañía</w:t>
      </w:r>
      <w:r w:rsidR="00941AA0" w:rsidRPr="00205C60">
        <w:rPr>
          <w:rFonts w:ascii="Verdana" w:hAnsi="Verdana" w:cs="Arial"/>
          <w:sz w:val="22"/>
          <w:szCs w:val="22"/>
        </w:rPr>
        <w:t xml:space="preserve"> continúan sujetas a la aprobación directa según los procedimientos y facultades de ARESEP.</w:t>
      </w:r>
    </w:p>
    <w:p w14:paraId="3CA7F1FB" w14:textId="77777777" w:rsidR="00574575" w:rsidRPr="00205C60" w:rsidRDefault="00574575">
      <w:pPr>
        <w:jc w:val="both"/>
        <w:rPr>
          <w:rFonts w:ascii="Verdana" w:hAnsi="Verdana" w:cs="Arial"/>
          <w:b/>
          <w:sz w:val="22"/>
          <w:szCs w:val="22"/>
        </w:rPr>
      </w:pPr>
    </w:p>
    <w:p w14:paraId="3CA7F1FC" w14:textId="77777777" w:rsidR="00574575" w:rsidRPr="00205C60" w:rsidRDefault="00332144">
      <w:pPr>
        <w:jc w:val="both"/>
        <w:rPr>
          <w:rFonts w:ascii="Verdana" w:hAnsi="Verdana" w:cs="Arial"/>
          <w:sz w:val="22"/>
          <w:szCs w:val="22"/>
        </w:rPr>
      </w:pPr>
      <w:r w:rsidRPr="00205C60">
        <w:rPr>
          <w:rFonts w:ascii="Verdana" w:hAnsi="Verdana" w:cs="Arial"/>
          <w:sz w:val="22"/>
          <w:szCs w:val="22"/>
        </w:rPr>
        <w:t>Por lo anterior</w:t>
      </w:r>
      <w:r w:rsidR="00EB2C1C" w:rsidRPr="00205C60">
        <w:rPr>
          <w:rFonts w:ascii="Verdana" w:hAnsi="Verdana" w:cs="Arial"/>
          <w:sz w:val="22"/>
          <w:szCs w:val="22"/>
        </w:rPr>
        <w:t>,</w:t>
      </w:r>
      <w:r w:rsidRPr="00205C60">
        <w:rPr>
          <w:rFonts w:ascii="Verdana" w:hAnsi="Verdana" w:cs="Arial"/>
          <w:sz w:val="22"/>
          <w:szCs w:val="22"/>
        </w:rPr>
        <w:t xml:space="preserve"> </w:t>
      </w:r>
      <w:r w:rsidR="00EB2C1C" w:rsidRPr="00205C60">
        <w:rPr>
          <w:rFonts w:ascii="Verdana" w:hAnsi="Verdana" w:cs="Arial"/>
          <w:sz w:val="22"/>
          <w:szCs w:val="22"/>
        </w:rPr>
        <w:t xml:space="preserve">queda </w:t>
      </w:r>
      <w:r w:rsidRPr="00205C60">
        <w:rPr>
          <w:rFonts w:ascii="Verdana" w:hAnsi="Verdana" w:cs="Arial"/>
          <w:sz w:val="22"/>
          <w:szCs w:val="22"/>
        </w:rPr>
        <w:t>previsto que la Compañía está obligada a velar porque sus tarifas provean la liquidez adecuada para atender sus compromisos de corto, mediano y largo plazo</w:t>
      </w:r>
      <w:r w:rsidR="00EB2C1C" w:rsidRPr="00205C60">
        <w:rPr>
          <w:rFonts w:ascii="Verdana" w:hAnsi="Verdana" w:cs="Arial"/>
          <w:sz w:val="22"/>
          <w:szCs w:val="22"/>
        </w:rPr>
        <w:t xml:space="preserve"> en cumplimiento de la normativa señalada.</w:t>
      </w:r>
    </w:p>
    <w:p w14:paraId="3CA7F1FD" w14:textId="77777777" w:rsidR="00FD1619" w:rsidRPr="00205C60" w:rsidRDefault="00FD1619">
      <w:pPr>
        <w:jc w:val="both"/>
        <w:rPr>
          <w:rFonts w:ascii="Verdana" w:hAnsi="Verdana" w:cs="Arial"/>
          <w:sz w:val="22"/>
          <w:szCs w:val="22"/>
        </w:rPr>
      </w:pPr>
    </w:p>
    <w:p w14:paraId="3CA7F1FE" w14:textId="77777777" w:rsidR="00B44125" w:rsidRPr="00205C60" w:rsidRDefault="00B44125" w:rsidP="00307E2B">
      <w:pPr>
        <w:pStyle w:val="Ttulo2"/>
        <w:numPr>
          <w:ilvl w:val="1"/>
          <w:numId w:val="1"/>
        </w:numPr>
        <w:rPr>
          <w:rFonts w:ascii="Verdana" w:hAnsi="Verdana" w:cs="Arial"/>
          <w:sz w:val="22"/>
          <w:szCs w:val="22"/>
        </w:rPr>
      </w:pPr>
      <w:bookmarkStart w:id="159" w:name="_Toc64699234"/>
      <w:bookmarkStart w:id="160" w:name="_Toc104529485"/>
      <w:r w:rsidRPr="00205C60">
        <w:rPr>
          <w:rFonts w:ascii="Verdana" w:hAnsi="Verdana" w:cs="Arial"/>
          <w:sz w:val="22"/>
          <w:szCs w:val="22"/>
        </w:rPr>
        <w:t>Investigación y desarrollo, patentes y licencias</w:t>
      </w:r>
      <w:bookmarkEnd w:id="159"/>
      <w:bookmarkEnd w:id="160"/>
    </w:p>
    <w:p w14:paraId="3CA7F1FF" w14:textId="77777777" w:rsidR="008D1424" w:rsidRPr="00205C60" w:rsidRDefault="008D1424" w:rsidP="008D1424">
      <w:pPr>
        <w:rPr>
          <w:rFonts w:ascii="Verdana" w:hAnsi="Verdana"/>
          <w:sz w:val="22"/>
          <w:szCs w:val="22"/>
        </w:rPr>
      </w:pPr>
    </w:p>
    <w:p w14:paraId="3CA7F200" w14:textId="77777777" w:rsidR="00316A6C" w:rsidRPr="00205C60" w:rsidRDefault="00B44125">
      <w:pPr>
        <w:jc w:val="both"/>
        <w:rPr>
          <w:rFonts w:ascii="Verdana" w:hAnsi="Verdana" w:cs="Arial"/>
          <w:sz w:val="22"/>
          <w:szCs w:val="22"/>
        </w:rPr>
      </w:pPr>
      <w:r w:rsidRPr="00205C60">
        <w:rPr>
          <w:rFonts w:ascii="Verdana" w:hAnsi="Verdana" w:cs="Arial"/>
          <w:sz w:val="22"/>
          <w:szCs w:val="22"/>
        </w:rPr>
        <w:t>La Compañía se rige por un Contrato Eléctrico firmado el 08 de abril de 1941 y modificado mediante Ley 4</w:t>
      </w:r>
      <w:r w:rsidR="00316A6C" w:rsidRPr="00205C60">
        <w:rPr>
          <w:rFonts w:ascii="Verdana" w:hAnsi="Verdana" w:cs="Arial"/>
          <w:sz w:val="22"/>
          <w:szCs w:val="22"/>
        </w:rPr>
        <w:t>197</w:t>
      </w:r>
      <w:r w:rsidRPr="00205C60">
        <w:rPr>
          <w:rFonts w:ascii="Verdana" w:hAnsi="Verdana" w:cs="Arial"/>
          <w:sz w:val="22"/>
          <w:szCs w:val="22"/>
        </w:rPr>
        <w:t xml:space="preserve"> del </w:t>
      </w:r>
      <w:r w:rsidR="00316A6C" w:rsidRPr="00205C60">
        <w:rPr>
          <w:rFonts w:ascii="Verdana" w:hAnsi="Verdana" w:cs="Arial"/>
          <w:sz w:val="22"/>
          <w:szCs w:val="22"/>
        </w:rPr>
        <w:t>20</w:t>
      </w:r>
      <w:r w:rsidRPr="00205C60">
        <w:rPr>
          <w:rFonts w:ascii="Verdana" w:hAnsi="Verdana" w:cs="Arial"/>
          <w:sz w:val="22"/>
          <w:szCs w:val="22"/>
        </w:rPr>
        <w:t xml:space="preserve"> de </w:t>
      </w:r>
      <w:r w:rsidR="00316A6C" w:rsidRPr="00205C60">
        <w:rPr>
          <w:rFonts w:ascii="Verdana" w:hAnsi="Verdana" w:cs="Arial"/>
          <w:sz w:val="22"/>
          <w:szCs w:val="22"/>
        </w:rPr>
        <w:t xml:space="preserve">setiembre </w:t>
      </w:r>
      <w:r w:rsidRPr="00205C60">
        <w:rPr>
          <w:rFonts w:ascii="Verdana" w:hAnsi="Verdana" w:cs="Arial"/>
          <w:sz w:val="22"/>
          <w:szCs w:val="22"/>
        </w:rPr>
        <w:t>de 19</w:t>
      </w:r>
      <w:r w:rsidR="00316A6C" w:rsidRPr="00205C60">
        <w:rPr>
          <w:rFonts w:ascii="Verdana" w:hAnsi="Verdana" w:cs="Arial"/>
          <w:sz w:val="22"/>
          <w:szCs w:val="22"/>
        </w:rPr>
        <w:t>68 y la Ley 4977 del 19 de mayo de 1972</w:t>
      </w:r>
      <w:r w:rsidRPr="00205C60">
        <w:rPr>
          <w:rFonts w:ascii="Verdana" w:hAnsi="Verdana" w:cs="Arial"/>
          <w:sz w:val="22"/>
          <w:szCs w:val="22"/>
        </w:rPr>
        <w:t xml:space="preserve">, el cual </w:t>
      </w:r>
      <w:r w:rsidR="00316A6C" w:rsidRPr="00205C60">
        <w:rPr>
          <w:rFonts w:ascii="Verdana" w:hAnsi="Verdana" w:cs="Arial"/>
          <w:sz w:val="22"/>
          <w:szCs w:val="22"/>
        </w:rPr>
        <w:t xml:space="preserve">vence cada 25 años a partir del 1º de julio de 1968 </w:t>
      </w:r>
      <w:r w:rsidR="00694886" w:rsidRPr="00205C60">
        <w:rPr>
          <w:rFonts w:ascii="Verdana" w:hAnsi="Verdana" w:cs="Arial"/>
          <w:sz w:val="22"/>
          <w:szCs w:val="22"/>
        </w:rPr>
        <w:t>y se considerará automáticamente prorrogado por un período igual, salvo acuerdo previo en contrario de las partes.  De acuerdo con lo anterior, la vigencia</w:t>
      </w:r>
      <w:r w:rsidR="00056B99" w:rsidRPr="00205C60">
        <w:rPr>
          <w:rFonts w:ascii="Verdana" w:hAnsi="Verdana" w:cs="Arial"/>
          <w:sz w:val="22"/>
          <w:szCs w:val="22"/>
        </w:rPr>
        <w:t xml:space="preserve"> actual llega hasta el año 20</w:t>
      </w:r>
      <w:r w:rsidR="0084491C" w:rsidRPr="00205C60">
        <w:rPr>
          <w:rFonts w:ascii="Verdana" w:hAnsi="Verdana" w:cs="Arial"/>
          <w:sz w:val="22"/>
          <w:szCs w:val="22"/>
        </w:rPr>
        <w:t>18</w:t>
      </w:r>
      <w:r w:rsidR="00056B99" w:rsidRPr="00205C60">
        <w:rPr>
          <w:rFonts w:ascii="Verdana" w:hAnsi="Verdana" w:cs="Arial"/>
          <w:sz w:val="22"/>
          <w:szCs w:val="22"/>
        </w:rPr>
        <w:t>.</w:t>
      </w:r>
      <w:r w:rsidR="00F03334" w:rsidRPr="00205C60">
        <w:rPr>
          <w:rFonts w:ascii="Verdana" w:hAnsi="Verdana" w:cs="Arial"/>
          <w:sz w:val="22"/>
          <w:szCs w:val="22"/>
        </w:rPr>
        <w:t xml:space="preserve">  </w:t>
      </w:r>
    </w:p>
    <w:p w14:paraId="3CA7F201" w14:textId="77777777" w:rsidR="00316A6C" w:rsidRPr="00205C60" w:rsidRDefault="00316A6C">
      <w:pPr>
        <w:jc w:val="both"/>
        <w:rPr>
          <w:rFonts w:ascii="Verdana" w:hAnsi="Verdana" w:cs="Arial"/>
          <w:sz w:val="22"/>
          <w:szCs w:val="22"/>
        </w:rPr>
      </w:pPr>
    </w:p>
    <w:p w14:paraId="3CA7F202" w14:textId="77777777" w:rsidR="00B44125" w:rsidRPr="00205C60" w:rsidRDefault="00B44125">
      <w:pPr>
        <w:jc w:val="both"/>
        <w:rPr>
          <w:rFonts w:ascii="Verdana" w:hAnsi="Verdana" w:cs="Arial"/>
          <w:sz w:val="22"/>
          <w:szCs w:val="22"/>
        </w:rPr>
      </w:pPr>
      <w:r w:rsidRPr="00205C60">
        <w:rPr>
          <w:rFonts w:ascii="Verdana" w:hAnsi="Verdana" w:cs="Arial"/>
          <w:sz w:val="22"/>
          <w:szCs w:val="22"/>
        </w:rPr>
        <w:t>En el artículo 2 de este contrato se le concede a la Compañía el derecho de explotar el negocio de electricidad en los siguientes lugares: Provincia de San José, distrito de Río Segundo en la provincia de Alajuela, distritos de Barva, Belén, Flores, Santa Bárbara y Santo Domingo en la Provincia de Heredia, y distrito de la Unión en la provincia de Cartago.</w:t>
      </w:r>
    </w:p>
    <w:p w14:paraId="3CA7F203" w14:textId="77777777" w:rsidR="00B44125" w:rsidRPr="00205C60" w:rsidRDefault="00B44125">
      <w:pPr>
        <w:jc w:val="both"/>
        <w:rPr>
          <w:rFonts w:ascii="Verdana" w:hAnsi="Verdana" w:cs="Arial"/>
          <w:sz w:val="22"/>
          <w:szCs w:val="22"/>
        </w:rPr>
      </w:pPr>
    </w:p>
    <w:p w14:paraId="3CA7F204" w14:textId="77777777" w:rsidR="00600F03" w:rsidRPr="00205C60" w:rsidRDefault="002074AE" w:rsidP="00C2728F">
      <w:pPr>
        <w:jc w:val="both"/>
        <w:rPr>
          <w:rFonts w:ascii="Verdana" w:hAnsi="Verdana" w:cs="Arial"/>
          <w:sz w:val="22"/>
          <w:szCs w:val="22"/>
        </w:rPr>
      </w:pPr>
      <w:r w:rsidRPr="00205C60">
        <w:rPr>
          <w:rFonts w:ascii="Verdana" w:hAnsi="Verdana" w:cs="Arial"/>
          <w:sz w:val="22"/>
          <w:szCs w:val="22"/>
        </w:rPr>
        <w:t>L</w:t>
      </w:r>
      <w:r w:rsidR="00C2728F" w:rsidRPr="00205C60">
        <w:rPr>
          <w:rFonts w:ascii="Verdana" w:hAnsi="Verdana" w:cs="Arial"/>
          <w:sz w:val="22"/>
          <w:szCs w:val="22"/>
        </w:rPr>
        <w:t>a Compañía ha desarrollado proyectos hidroeléctricos en Nuevo Arenal y San Ramón utilizando tecnologías de avanzada</w:t>
      </w:r>
      <w:r w:rsidR="00600F03" w:rsidRPr="00205C60">
        <w:rPr>
          <w:rFonts w:ascii="Verdana" w:hAnsi="Verdana" w:cs="Arial"/>
          <w:sz w:val="22"/>
          <w:szCs w:val="22"/>
        </w:rPr>
        <w:t>.</w:t>
      </w:r>
    </w:p>
    <w:p w14:paraId="3CA7F205" w14:textId="77777777" w:rsidR="00D30B84" w:rsidRPr="00205C60" w:rsidRDefault="00600F03" w:rsidP="00C2728F">
      <w:pPr>
        <w:jc w:val="both"/>
        <w:rPr>
          <w:rFonts w:ascii="Verdana" w:hAnsi="Verdana" w:cs="Arial"/>
          <w:sz w:val="22"/>
          <w:szCs w:val="22"/>
        </w:rPr>
      </w:pPr>
      <w:r w:rsidRPr="00205C60">
        <w:rPr>
          <w:rFonts w:ascii="Verdana" w:hAnsi="Verdana" w:cs="Arial"/>
          <w:sz w:val="22"/>
          <w:szCs w:val="22"/>
        </w:rPr>
        <w:t xml:space="preserve"> </w:t>
      </w:r>
    </w:p>
    <w:p w14:paraId="3CA7F206" w14:textId="77777777" w:rsidR="008D1424" w:rsidRPr="00205C60" w:rsidRDefault="00B44125" w:rsidP="00CE0622">
      <w:pPr>
        <w:jc w:val="both"/>
        <w:rPr>
          <w:rFonts w:ascii="Verdana" w:hAnsi="Verdana" w:cs="Arial"/>
          <w:color w:val="C00000"/>
          <w:sz w:val="22"/>
          <w:szCs w:val="22"/>
        </w:rPr>
      </w:pPr>
      <w:r w:rsidRPr="00205C60">
        <w:rPr>
          <w:rFonts w:ascii="Verdana" w:hAnsi="Verdana" w:cs="Arial"/>
          <w:sz w:val="22"/>
          <w:szCs w:val="22"/>
        </w:rPr>
        <w:t xml:space="preserve">También ha </w:t>
      </w:r>
      <w:r w:rsidR="00EA5F3A" w:rsidRPr="00205C60">
        <w:rPr>
          <w:rFonts w:ascii="Verdana" w:hAnsi="Verdana" w:cs="Arial"/>
          <w:sz w:val="22"/>
          <w:szCs w:val="22"/>
        </w:rPr>
        <w:t xml:space="preserve">impulsado </w:t>
      </w:r>
      <w:r w:rsidRPr="00205C60">
        <w:rPr>
          <w:rFonts w:ascii="Verdana" w:hAnsi="Verdana" w:cs="Arial"/>
          <w:sz w:val="22"/>
          <w:szCs w:val="22"/>
        </w:rPr>
        <w:t>otros proyectos de generación eléctrica a través del biogás que se produce en los rellenos sanitarios y el aprovechamiento de la energía solar</w:t>
      </w:r>
      <w:r w:rsidR="001701C9" w:rsidRPr="00205C60">
        <w:rPr>
          <w:rFonts w:ascii="Verdana" w:hAnsi="Verdana" w:cs="Arial"/>
          <w:color w:val="C00000"/>
          <w:sz w:val="22"/>
          <w:szCs w:val="22"/>
        </w:rPr>
        <w:t>.</w:t>
      </w:r>
      <w:bookmarkStart w:id="161" w:name="_Toc92517716"/>
      <w:bookmarkStart w:id="162" w:name="_Toc64695500"/>
      <w:bookmarkStart w:id="163" w:name="_Toc64699236"/>
      <w:bookmarkEnd w:id="161"/>
    </w:p>
    <w:p w14:paraId="3CA7F207" w14:textId="77777777" w:rsidR="00AF594B" w:rsidRPr="00205C60" w:rsidRDefault="00AF594B" w:rsidP="00CE0622">
      <w:pPr>
        <w:jc w:val="both"/>
        <w:rPr>
          <w:rFonts w:ascii="Verdana" w:hAnsi="Verdana" w:cs="Arial"/>
          <w:color w:val="C00000"/>
          <w:sz w:val="22"/>
          <w:szCs w:val="22"/>
        </w:rPr>
      </w:pPr>
    </w:p>
    <w:p w14:paraId="3CA7F210" w14:textId="3CE43050" w:rsidR="00296721" w:rsidRPr="00205C60" w:rsidRDefault="00296721" w:rsidP="00CE0622">
      <w:pPr>
        <w:jc w:val="both"/>
        <w:rPr>
          <w:rFonts w:ascii="Verdana" w:hAnsi="Verdana" w:cs="Arial"/>
          <w:color w:val="C00000"/>
          <w:sz w:val="22"/>
          <w:szCs w:val="22"/>
        </w:rPr>
      </w:pPr>
    </w:p>
    <w:p w14:paraId="3CA7F217" w14:textId="540EAAC2" w:rsidR="00B44125" w:rsidRPr="00205C60" w:rsidRDefault="006A3953">
      <w:pPr>
        <w:pStyle w:val="Ttulo1"/>
        <w:numPr>
          <w:ilvl w:val="0"/>
          <w:numId w:val="0"/>
        </w:numPr>
        <w:jc w:val="center"/>
        <w:rPr>
          <w:rFonts w:ascii="Verdana" w:hAnsi="Verdana" w:cs="Arial"/>
          <w:bCs/>
          <w:sz w:val="22"/>
          <w:szCs w:val="22"/>
        </w:rPr>
      </w:pPr>
      <w:bookmarkStart w:id="164" w:name="_Toc104529486"/>
      <w:bookmarkStart w:id="165" w:name="_Toc64695501"/>
      <w:bookmarkEnd w:id="162"/>
      <w:r w:rsidRPr="00205C60">
        <w:rPr>
          <w:rFonts w:ascii="Verdana" w:hAnsi="Verdana" w:cs="Arial"/>
          <w:bCs/>
          <w:sz w:val="22"/>
          <w:szCs w:val="22"/>
        </w:rPr>
        <w:t>CAPITULO V</w:t>
      </w:r>
      <w:bookmarkEnd w:id="164"/>
    </w:p>
    <w:p w14:paraId="3CA7F218" w14:textId="77777777" w:rsidR="00B44125" w:rsidRPr="00205C60" w:rsidRDefault="00B44125">
      <w:pPr>
        <w:pStyle w:val="Ttulo1"/>
        <w:numPr>
          <w:ilvl w:val="0"/>
          <w:numId w:val="0"/>
        </w:numPr>
        <w:jc w:val="center"/>
        <w:rPr>
          <w:rFonts w:ascii="Verdana" w:hAnsi="Verdana" w:cs="Arial"/>
          <w:bCs/>
          <w:sz w:val="22"/>
          <w:szCs w:val="22"/>
        </w:rPr>
      </w:pPr>
      <w:bookmarkStart w:id="166" w:name="_Toc104529487"/>
      <w:r w:rsidRPr="00205C60">
        <w:rPr>
          <w:rFonts w:ascii="Verdana" w:hAnsi="Verdana" w:cs="Arial"/>
          <w:bCs/>
          <w:sz w:val="22"/>
          <w:szCs w:val="22"/>
        </w:rPr>
        <w:t>DIRECTORES, PERSONAL GERENCIAL Y EMPLEADOS</w:t>
      </w:r>
      <w:bookmarkEnd w:id="163"/>
      <w:bookmarkEnd w:id="165"/>
      <w:bookmarkEnd w:id="166"/>
    </w:p>
    <w:p w14:paraId="3CA7F219" w14:textId="77777777" w:rsidR="00CD2716" w:rsidRPr="00205C60" w:rsidRDefault="00CD2716" w:rsidP="00CD2716">
      <w:pPr>
        <w:rPr>
          <w:rFonts w:ascii="Verdana" w:hAnsi="Verdana"/>
          <w:sz w:val="22"/>
          <w:szCs w:val="22"/>
        </w:rPr>
      </w:pPr>
    </w:p>
    <w:p w14:paraId="3CA7F21A" w14:textId="77777777" w:rsidR="009E56F8" w:rsidRPr="00205C60" w:rsidRDefault="009E56F8" w:rsidP="00CD2716">
      <w:pPr>
        <w:rPr>
          <w:rFonts w:ascii="Verdana" w:hAnsi="Verdana"/>
          <w:sz w:val="22"/>
          <w:szCs w:val="22"/>
        </w:rPr>
      </w:pPr>
    </w:p>
    <w:p w14:paraId="3CA7F21B" w14:textId="77777777" w:rsidR="00B44125" w:rsidRPr="00205C60" w:rsidRDefault="0014007F" w:rsidP="00307E2B">
      <w:pPr>
        <w:pStyle w:val="Ttulo2"/>
        <w:numPr>
          <w:ilvl w:val="1"/>
          <w:numId w:val="2"/>
        </w:numPr>
        <w:tabs>
          <w:tab w:val="clear" w:pos="720"/>
          <w:tab w:val="left" w:pos="708"/>
        </w:tabs>
        <w:rPr>
          <w:rFonts w:ascii="Verdana" w:hAnsi="Verdana" w:cs="Arial"/>
          <w:sz w:val="22"/>
          <w:szCs w:val="22"/>
        </w:rPr>
      </w:pPr>
      <w:bookmarkStart w:id="167" w:name="_Toc64699237"/>
      <w:bookmarkStart w:id="168" w:name="_Toc104529488"/>
      <w:r w:rsidRPr="00205C60">
        <w:rPr>
          <w:rFonts w:ascii="Verdana" w:hAnsi="Verdana" w:cs="Arial"/>
          <w:sz w:val="22"/>
          <w:szCs w:val="22"/>
        </w:rPr>
        <w:t>Personal Directivo</w:t>
      </w:r>
      <w:bookmarkEnd w:id="167"/>
      <w:bookmarkEnd w:id="168"/>
    </w:p>
    <w:p w14:paraId="3CA7F21C" w14:textId="77777777" w:rsidR="008D1424" w:rsidRPr="00205C60" w:rsidRDefault="008D1424" w:rsidP="008D1424">
      <w:pPr>
        <w:rPr>
          <w:rFonts w:ascii="Verdana" w:hAnsi="Verdana"/>
          <w:sz w:val="22"/>
          <w:szCs w:val="22"/>
        </w:rPr>
      </w:pPr>
    </w:p>
    <w:p w14:paraId="3CA7F21D" w14:textId="1115D1EB" w:rsidR="00346421" w:rsidRPr="00205C60" w:rsidRDefault="00346421" w:rsidP="00346421">
      <w:pPr>
        <w:jc w:val="both"/>
        <w:rPr>
          <w:rFonts w:ascii="Verdana" w:hAnsi="Verdana" w:cs="Arial"/>
          <w:sz w:val="22"/>
          <w:szCs w:val="22"/>
        </w:rPr>
      </w:pPr>
      <w:r w:rsidRPr="00205C60">
        <w:rPr>
          <w:rFonts w:ascii="Verdana" w:hAnsi="Verdana" w:cs="Arial"/>
          <w:sz w:val="22"/>
          <w:szCs w:val="22"/>
        </w:rPr>
        <w:t xml:space="preserve">La Sociedad es administrada por un Consejo de Administración, compuesto de no menos de </w:t>
      </w:r>
      <w:r w:rsidR="00E8358C" w:rsidRPr="00205C60">
        <w:rPr>
          <w:rFonts w:ascii="Verdana" w:hAnsi="Verdana" w:cs="Arial"/>
          <w:sz w:val="22"/>
          <w:szCs w:val="22"/>
        </w:rPr>
        <w:t>tres</w:t>
      </w:r>
      <w:r w:rsidRPr="00205C60">
        <w:rPr>
          <w:rFonts w:ascii="Verdana" w:hAnsi="Verdana" w:cs="Arial"/>
          <w:sz w:val="22"/>
          <w:szCs w:val="22"/>
        </w:rPr>
        <w:t xml:space="preserve"> y no más de </w:t>
      </w:r>
      <w:r w:rsidR="00E8358C" w:rsidRPr="00205C60">
        <w:rPr>
          <w:rFonts w:ascii="Verdana" w:hAnsi="Verdana" w:cs="Arial"/>
          <w:sz w:val="22"/>
          <w:szCs w:val="22"/>
        </w:rPr>
        <w:t>cinco</w:t>
      </w:r>
      <w:r w:rsidRPr="00205C60">
        <w:rPr>
          <w:rFonts w:ascii="Verdana" w:hAnsi="Verdana" w:cs="Arial"/>
          <w:sz w:val="22"/>
          <w:szCs w:val="22"/>
        </w:rPr>
        <w:t xml:space="preserve"> miembros propietarios.  El número de miembros propietarios lo determinará, de tiempo en tiempo, la Asamblea General de Accionistas, en una reunión anual ordinaria y durarán en sus funciones por el período de dos años pudiendo ser reelegidos; pero la Asamblea tendrá la facultad de sustituirlos con otros en cualquier tiempo. Si por las vacantes que se produzcan la Administración </w:t>
      </w:r>
      <w:r w:rsidR="002B0B40" w:rsidRPr="00205C60">
        <w:rPr>
          <w:rFonts w:ascii="Verdana" w:hAnsi="Verdana" w:cs="Arial"/>
          <w:sz w:val="22"/>
          <w:szCs w:val="22"/>
        </w:rPr>
        <w:t>quedará</w:t>
      </w:r>
      <w:r w:rsidRPr="00205C60">
        <w:rPr>
          <w:rFonts w:ascii="Verdana" w:hAnsi="Verdana" w:cs="Arial"/>
          <w:sz w:val="22"/>
          <w:szCs w:val="22"/>
        </w:rPr>
        <w:t xml:space="preserve"> acéfala, se convocará de inmediato a la Asamblea General de Accionistas para llenarlas. En todo caso, los miembros del Consejo de </w:t>
      </w:r>
      <w:r w:rsidR="002B0B40" w:rsidRPr="00205C60">
        <w:rPr>
          <w:rFonts w:ascii="Verdana" w:hAnsi="Verdana" w:cs="Arial"/>
          <w:sz w:val="22"/>
          <w:szCs w:val="22"/>
        </w:rPr>
        <w:t>Administración</w:t>
      </w:r>
      <w:r w:rsidRPr="00205C60">
        <w:rPr>
          <w:rFonts w:ascii="Verdana" w:hAnsi="Verdana" w:cs="Arial"/>
          <w:sz w:val="22"/>
          <w:szCs w:val="22"/>
        </w:rPr>
        <w:t xml:space="preserve"> permanecerán en el ejercicio de sus funciones hasta que sus sucesores puedan ejercer legalmente sus cargos.</w:t>
      </w:r>
    </w:p>
    <w:p w14:paraId="3CA7F21E" w14:textId="77777777" w:rsidR="00346421" w:rsidRPr="00205C60" w:rsidRDefault="00346421" w:rsidP="00346421">
      <w:pPr>
        <w:jc w:val="both"/>
        <w:rPr>
          <w:rFonts w:ascii="Verdana" w:hAnsi="Verdana" w:cs="Arial"/>
          <w:sz w:val="22"/>
          <w:szCs w:val="22"/>
        </w:rPr>
      </w:pPr>
    </w:p>
    <w:p w14:paraId="3CA7F21F" w14:textId="77777777" w:rsidR="00346421" w:rsidRPr="00205C60" w:rsidRDefault="00346421" w:rsidP="00346421">
      <w:pPr>
        <w:jc w:val="both"/>
        <w:rPr>
          <w:rFonts w:ascii="Verdana" w:hAnsi="Verdana" w:cs="Arial"/>
          <w:sz w:val="22"/>
          <w:szCs w:val="22"/>
        </w:rPr>
      </w:pPr>
      <w:r w:rsidRPr="00205C60">
        <w:rPr>
          <w:rFonts w:ascii="Verdana" w:hAnsi="Verdana" w:cs="Arial"/>
          <w:sz w:val="22"/>
          <w:szCs w:val="22"/>
        </w:rPr>
        <w:t xml:space="preserve">Los honorarios de los miembros del Consejo se fijarán por la Asamblea General de Accionistas. </w:t>
      </w:r>
      <w:r w:rsidR="00972CBA" w:rsidRPr="00205C60">
        <w:rPr>
          <w:rFonts w:ascii="Verdana" w:hAnsi="Verdana" w:cs="Arial"/>
          <w:sz w:val="22"/>
          <w:szCs w:val="22"/>
        </w:rPr>
        <w:t>L</w:t>
      </w:r>
      <w:r w:rsidRPr="00205C60">
        <w:rPr>
          <w:rFonts w:ascii="Verdana" w:hAnsi="Verdana" w:cs="Arial"/>
          <w:sz w:val="22"/>
          <w:szCs w:val="22"/>
        </w:rPr>
        <w:t>os miembros podrán ser o no accionistas. El Consejo de Administración tiene todas las facultades que le señalan los estatutos de la Escritura Constitutiva, inclusive todas las facultades de administración y de libre disposición que no estén reservadas por la Ley a la Asamblea General de Accionistas.</w:t>
      </w:r>
    </w:p>
    <w:p w14:paraId="3CA7F220" w14:textId="77777777" w:rsidR="00346421" w:rsidRPr="00205C60" w:rsidRDefault="00346421" w:rsidP="00346421">
      <w:pPr>
        <w:jc w:val="both"/>
        <w:rPr>
          <w:rFonts w:ascii="Verdana" w:hAnsi="Verdana" w:cs="Arial"/>
          <w:sz w:val="22"/>
          <w:szCs w:val="22"/>
        </w:rPr>
      </w:pPr>
    </w:p>
    <w:p w14:paraId="3CA7F221" w14:textId="050619A8" w:rsidR="00346421" w:rsidRPr="00205C60" w:rsidRDefault="00346421" w:rsidP="00346421">
      <w:pPr>
        <w:jc w:val="both"/>
        <w:rPr>
          <w:rFonts w:ascii="Verdana" w:hAnsi="Verdana" w:cs="Arial"/>
          <w:sz w:val="22"/>
          <w:szCs w:val="22"/>
        </w:rPr>
      </w:pPr>
      <w:r w:rsidRPr="00205C60">
        <w:rPr>
          <w:rFonts w:ascii="Verdana" w:hAnsi="Verdana" w:cs="Arial"/>
          <w:sz w:val="22"/>
          <w:szCs w:val="22"/>
        </w:rPr>
        <w:t xml:space="preserve">El Consejo de Administración tiene a su cargo el manejo del negocio de la Sociedad.  El Consejo de Administración elegirá entre sus miembros: un </w:t>
      </w:r>
      <w:r w:rsidR="002B0B40" w:rsidRPr="00205C60">
        <w:rPr>
          <w:rFonts w:ascii="Verdana" w:hAnsi="Verdana" w:cs="Arial"/>
          <w:sz w:val="22"/>
          <w:szCs w:val="22"/>
        </w:rPr>
        <w:t>presidente</w:t>
      </w:r>
      <w:r w:rsidRPr="00205C60">
        <w:rPr>
          <w:rFonts w:ascii="Verdana" w:hAnsi="Verdana" w:cs="Arial"/>
          <w:sz w:val="22"/>
          <w:szCs w:val="22"/>
        </w:rPr>
        <w:t xml:space="preserve"> que tendrá la representación judicial y extrajudicial de la Compañía con las facultades del artículo mil doscientos cincuenta y tres del Código Civil, un </w:t>
      </w:r>
      <w:r w:rsidR="004A53F8" w:rsidRPr="00205C60">
        <w:rPr>
          <w:rFonts w:ascii="Verdana" w:hAnsi="Verdana" w:cs="Arial"/>
          <w:sz w:val="22"/>
          <w:szCs w:val="22"/>
        </w:rPr>
        <w:t>vicepresidente</w:t>
      </w:r>
      <w:r w:rsidRPr="00205C60">
        <w:rPr>
          <w:rFonts w:ascii="Verdana" w:hAnsi="Verdana" w:cs="Arial"/>
          <w:sz w:val="22"/>
          <w:szCs w:val="22"/>
        </w:rPr>
        <w:t xml:space="preserve">, un </w:t>
      </w:r>
      <w:r w:rsidR="004A53F8" w:rsidRPr="00205C60">
        <w:rPr>
          <w:rFonts w:ascii="Verdana" w:hAnsi="Verdana" w:cs="Arial"/>
          <w:sz w:val="22"/>
          <w:szCs w:val="22"/>
        </w:rPr>
        <w:t>secretario</w:t>
      </w:r>
      <w:r w:rsidRPr="00205C60">
        <w:rPr>
          <w:rFonts w:ascii="Verdana" w:hAnsi="Verdana" w:cs="Arial"/>
          <w:sz w:val="22"/>
          <w:szCs w:val="22"/>
        </w:rPr>
        <w:t xml:space="preserve"> y un Tesorero y podrá removerlos.</w:t>
      </w:r>
    </w:p>
    <w:p w14:paraId="3CA7F222" w14:textId="77777777" w:rsidR="00346421" w:rsidRPr="00205C60" w:rsidRDefault="00346421" w:rsidP="00346421">
      <w:pPr>
        <w:jc w:val="both"/>
        <w:rPr>
          <w:rFonts w:ascii="Verdana" w:hAnsi="Verdana" w:cs="Arial"/>
          <w:sz w:val="22"/>
          <w:szCs w:val="22"/>
        </w:rPr>
      </w:pPr>
    </w:p>
    <w:p w14:paraId="3CA7F223" w14:textId="3AF2B50F" w:rsidR="00D84E88" w:rsidRPr="00205C60" w:rsidRDefault="00346421" w:rsidP="00346421">
      <w:pPr>
        <w:jc w:val="both"/>
        <w:rPr>
          <w:rFonts w:ascii="Verdana" w:hAnsi="Verdana" w:cs="Arial"/>
          <w:sz w:val="22"/>
          <w:szCs w:val="22"/>
        </w:rPr>
      </w:pPr>
      <w:r w:rsidRPr="00205C60">
        <w:rPr>
          <w:rFonts w:ascii="Verdana" w:hAnsi="Verdana" w:cs="Arial"/>
          <w:sz w:val="22"/>
          <w:szCs w:val="22"/>
        </w:rPr>
        <w:t xml:space="preserve">El Consejo de Administración nombrará un Gerente, que tendrá las facultades del artículo mil doscientos cincuenta y tres del Código Civil. El Gerente podrá conferir y revocar poderes especiales dentro de sus facultades y de acuerdo con el artículo mil doscientos ochenta y nueve del Código Civil, nombrar apoderados judiciales y revocar esos nombramientos. </w:t>
      </w:r>
      <w:r w:rsidR="002B0B40" w:rsidRPr="00205C60">
        <w:rPr>
          <w:rFonts w:ascii="Verdana" w:hAnsi="Verdana" w:cs="Arial"/>
          <w:sz w:val="22"/>
          <w:szCs w:val="22"/>
        </w:rPr>
        <w:t>Asimismo,</w:t>
      </w:r>
      <w:r w:rsidRPr="00205C60">
        <w:rPr>
          <w:rFonts w:ascii="Verdana" w:hAnsi="Verdana" w:cs="Arial"/>
          <w:sz w:val="22"/>
          <w:szCs w:val="22"/>
        </w:rPr>
        <w:t xml:space="preserve"> el Consejo designará un Auditor. Tanto el nombramiento del Gerente como del Auditor serán por tiempo indefinido.  </w:t>
      </w:r>
    </w:p>
    <w:p w14:paraId="3CA7F224" w14:textId="77777777" w:rsidR="00D84E88" w:rsidRPr="00205C60" w:rsidRDefault="00D84E88" w:rsidP="00346421">
      <w:pPr>
        <w:jc w:val="both"/>
        <w:rPr>
          <w:rFonts w:ascii="Verdana" w:hAnsi="Verdana" w:cs="Arial"/>
          <w:sz w:val="22"/>
          <w:szCs w:val="22"/>
        </w:rPr>
      </w:pPr>
    </w:p>
    <w:p w14:paraId="3CA7F225" w14:textId="77777777" w:rsidR="00422F8A" w:rsidRPr="00205C60" w:rsidRDefault="00346421" w:rsidP="00346421">
      <w:pPr>
        <w:jc w:val="both"/>
        <w:rPr>
          <w:rFonts w:ascii="Verdana" w:hAnsi="Verdana" w:cs="Arial"/>
          <w:sz w:val="22"/>
          <w:szCs w:val="22"/>
        </w:rPr>
      </w:pPr>
      <w:r w:rsidRPr="00205C60">
        <w:rPr>
          <w:rFonts w:ascii="Verdana" w:hAnsi="Verdana" w:cs="Arial"/>
          <w:sz w:val="22"/>
          <w:szCs w:val="22"/>
        </w:rPr>
        <w:t xml:space="preserve">Adicionalmente el Consejo de Administración </w:t>
      </w:r>
      <w:r w:rsidR="00D84E88" w:rsidRPr="00205C60">
        <w:rPr>
          <w:rFonts w:ascii="Verdana" w:hAnsi="Verdana" w:cs="Arial"/>
          <w:sz w:val="22"/>
          <w:szCs w:val="22"/>
        </w:rPr>
        <w:t xml:space="preserve">de acuerdo con lo dispuesto en la Cláusula Sexta de la Escritura Constitutiva ajustada a las disposiciones del Código de Comercio vigente en mayo de 1991, </w:t>
      </w:r>
      <w:r w:rsidRPr="00205C60">
        <w:rPr>
          <w:rFonts w:ascii="Verdana" w:hAnsi="Verdana" w:cs="Arial"/>
          <w:sz w:val="22"/>
          <w:szCs w:val="22"/>
        </w:rPr>
        <w:t>nombrará un Agente Residente</w:t>
      </w:r>
      <w:r w:rsidR="006304A5" w:rsidRPr="00205C60">
        <w:rPr>
          <w:rFonts w:ascii="Verdana" w:hAnsi="Verdana" w:cs="Arial"/>
          <w:sz w:val="22"/>
          <w:szCs w:val="22"/>
        </w:rPr>
        <w:t xml:space="preserve">. </w:t>
      </w:r>
    </w:p>
    <w:p w14:paraId="3CA7F226" w14:textId="77777777" w:rsidR="006304A5" w:rsidRPr="00205C60" w:rsidRDefault="006304A5" w:rsidP="00346421">
      <w:pPr>
        <w:jc w:val="both"/>
        <w:rPr>
          <w:rFonts w:ascii="Verdana" w:hAnsi="Verdana" w:cs="Arial"/>
          <w:sz w:val="22"/>
          <w:szCs w:val="22"/>
        </w:rPr>
      </w:pPr>
    </w:p>
    <w:p w14:paraId="3CA7F227" w14:textId="77777777" w:rsidR="00AB4361" w:rsidRPr="00205C60" w:rsidRDefault="006304A5" w:rsidP="00AB4361">
      <w:pPr>
        <w:jc w:val="both"/>
        <w:rPr>
          <w:rFonts w:ascii="Verdana" w:hAnsi="Verdana" w:cs="Arial"/>
          <w:sz w:val="22"/>
          <w:szCs w:val="22"/>
        </w:rPr>
      </w:pPr>
      <w:r w:rsidRPr="00205C60">
        <w:rPr>
          <w:rFonts w:ascii="Verdana" w:hAnsi="Verdana" w:cs="Arial"/>
          <w:sz w:val="22"/>
          <w:szCs w:val="22"/>
        </w:rPr>
        <w:t xml:space="preserve">Cabe mencionar que el Código de Comercio de 1991 fue reformado por la Ley Nº 7413 del 3 de junio de 1994 reservándose la figura de agente residente para los casos en que ninguno de los representantes de la Sociedad tenga domicilio en el país, situación que no aplica en la Compañía.  </w:t>
      </w:r>
    </w:p>
    <w:p w14:paraId="3CA7F228" w14:textId="2132AB67" w:rsidR="00014A5F" w:rsidRPr="00205C60" w:rsidRDefault="00014A5F" w:rsidP="00AB4361">
      <w:pPr>
        <w:jc w:val="both"/>
        <w:rPr>
          <w:rFonts w:ascii="Verdana" w:hAnsi="Verdana" w:cs="Arial"/>
          <w:sz w:val="22"/>
          <w:szCs w:val="22"/>
        </w:rPr>
      </w:pPr>
    </w:p>
    <w:p w14:paraId="3CA7F229" w14:textId="77777777" w:rsidR="009042E9" w:rsidRPr="00205C60" w:rsidRDefault="009042E9" w:rsidP="009042E9">
      <w:pPr>
        <w:jc w:val="both"/>
        <w:rPr>
          <w:rFonts w:ascii="Verdana" w:eastAsia="Calibri" w:hAnsi="Verdana" w:cs="Arial"/>
          <w:bCs/>
          <w:sz w:val="22"/>
          <w:szCs w:val="22"/>
        </w:rPr>
      </w:pPr>
      <w:r w:rsidRPr="00205C60">
        <w:rPr>
          <w:rFonts w:ascii="Verdana" w:eastAsia="Calibri" w:hAnsi="Verdana" w:cs="Arial"/>
          <w:bCs/>
          <w:sz w:val="22"/>
          <w:szCs w:val="22"/>
        </w:rPr>
        <w:t>La Gerencia General concedió un Poder General Judicial al Lic. Guillermo Gerardo Sánchez Williams, mayor, casado una vez, vecino de Escazú, cédula 1-0875-0866, confiriéndole al efecto las facultades del artículo mil doscientos ochenta y nueve del Código Civil, a partir del 26 de octubre del año 2016.</w:t>
      </w:r>
    </w:p>
    <w:p w14:paraId="2E19C827" w14:textId="5BF3BC5B" w:rsidR="004A53F8" w:rsidRPr="00205C60" w:rsidRDefault="004A53F8" w:rsidP="00AB4361">
      <w:pPr>
        <w:jc w:val="both"/>
        <w:rPr>
          <w:rFonts w:ascii="Verdana" w:hAnsi="Verdana" w:cs="Arial"/>
          <w:color w:val="FF0000"/>
          <w:sz w:val="22"/>
          <w:szCs w:val="22"/>
        </w:rPr>
      </w:pPr>
    </w:p>
    <w:p w14:paraId="2C7D0E4F" w14:textId="77777777" w:rsidR="00771BD3" w:rsidRDefault="00771BD3" w:rsidP="00771BD3">
      <w:pPr>
        <w:jc w:val="both"/>
        <w:rPr>
          <w:rFonts w:ascii="Verdana" w:hAnsi="Verdana" w:cs="Arial"/>
          <w:sz w:val="22"/>
          <w:szCs w:val="22"/>
        </w:rPr>
      </w:pPr>
      <w:r w:rsidRPr="00205C60">
        <w:rPr>
          <w:rFonts w:ascii="Verdana" w:hAnsi="Verdana" w:cs="Arial"/>
          <w:sz w:val="22"/>
          <w:szCs w:val="22"/>
        </w:rPr>
        <w:t>Actualmente el Consejo de Administración de la Compañía está integrado por las siguientes personas:</w:t>
      </w:r>
    </w:p>
    <w:p w14:paraId="549AAC63" w14:textId="77777777" w:rsidR="00771BD3" w:rsidRDefault="00771BD3" w:rsidP="00771BD3">
      <w:pPr>
        <w:jc w:val="both"/>
        <w:rPr>
          <w:rFonts w:ascii="Verdana" w:hAnsi="Verdana" w:cs="Arial"/>
          <w:sz w:val="22"/>
          <w:szCs w:val="22"/>
        </w:rPr>
      </w:pPr>
    </w:p>
    <w:p w14:paraId="4CD43AF0" w14:textId="77777777" w:rsidR="00771BD3" w:rsidRDefault="00771BD3" w:rsidP="00771BD3">
      <w:pPr>
        <w:jc w:val="both"/>
        <w:rPr>
          <w:rFonts w:ascii="Verdana" w:hAnsi="Verdana" w:cs="Arial"/>
          <w:sz w:val="22"/>
          <w:szCs w:val="22"/>
        </w:rPr>
      </w:pPr>
    </w:p>
    <w:p w14:paraId="04E5F563" w14:textId="77777777" w:rsidR="00771BD3" w:rsidRDefault="00771BD3" w:rsidP="00771BD3">
      <w:pPr>
        <w:jc w:val="both"/>
        <w:rPr>
          <w:rFonts w:ascii="Verdana" w:hAnsi="Verdana" w:cs="Arial"/>
          <w:sz w:val="22"/>
          <w:szCs w:val="22"/>
        </w:rPr>
      </w:pPr>
    </w:p>
    <w:p w14:paraId="05039589" w14:textId="77777777" w:rsidR="00771BD3" w:rsidRDefault="00771BD3" w:rsidP="00771BD3">
      <w:pPr>
        <w:jc w:val="both"/>
        <w:rPr>
          <w:rFonts w:ascii="Verdana" w:hAnsi="Verdana" w:cs="Arial"/>
          <w:sz w:val="22"/>
          <w:szCs w:val="22"/>
        </w:rPr>
      </w:pPr>
    </w:p>
    <w:p w14:paraId="758C4F94" w14:textId="77777777" w:rsidR="00771BD3" w:rsidRDefault="00771BD3" w:rsidP="00771BD3">
      <w:pPr>
        <w:jc w:val="both"/>
        <w:rPr>
          <w:rFonts w:ascii="Verdana" w:hAnsi="Verdana" w:cs="Arial"/>
          <w:sz w:val="22"/>
          <w:szCs w:val="22"/>
        </w:rPr>
      </w:pPr>
    </w:p>
    <w:p w14:paraId="22D5E46B" w14:textId="77777777" w:rsidR="00771BD3" w:rsidRDefault="00771BD3" w:rsidP="00771BD3">
      <w:pPr>
        <w:jc w:val="both"/>
        <w:rPr>
          <w:rFonts w:ascii="Verdana" w:hAnsi="Verdana" w:cs="Arial"/>
          <w:sz w:val="22"/>
          <w:szCs w:val="22"/>
        </w:rPr>
      </w:pPr>
    </w:p>
    <w:p w14:paraId="02A895E5" w14:textId="77777777" w:rsidR="00771BD3" w:rsidRDefault="00771BD3" w:rsidP="00771BD3">
      <w:pPr>
        <w:jc w:val="both"/>
        <w:rPr>
          <w:rFonts w:ascii="Verdana" w:hAnsi="Verdana" w:cs="Arial"/>
          <w:sz w:val="22"/>
          <w:szCs w:val="22"/>
        </w:rPr>
      </w:pPr>
    </w:p>
    <w:p w14:paraId="188B2E70" w14:textId="77777777" w:rsidR="00771BD3" w:rsidRDefault="00771BD3" w:rsidP="00771BD3">
      <w:pPr>
        <w:jc w:val="both"/>
        <w:rPr>
          <w:rFonts w:ascii="Verdana" w:hAnsi="Verdana" w:cs="Arial"/>
          <w:sz w:val="22"/>
          <w:szCs w:val="22"/>
        </w:rPr>
      </w:pPr>
    </w:p>
    <w:p w14:paraId="2E8133AA" w14:textId="77777777" w:rsidR="00771BD3" w:rsidRDefault="00771BD3" w:rsidP="00771BD3">
      <w:pPr>
        <w:jc w:val="both"/>
        <w:rPr>
          <w:rFonts w:ascii="Verdana" w:hAnsi="Verdana" w:cs="Arial"/>
          <w:sz w:val="22"/>
          <w:szCs w:val="22"/>
        </w:rPr>
      </w:pPr>
    </w:p>
    <w:p w14:paraId="2DA7DB59" w14:textId="77777777" w:rsidR="00771BD3" w:rsidRDefault="00771BD3" w:rsidP="00771BD3">
      <w:pPr>
        <w:jc w:val="both"/>
        <w:rPr>
          <w:rFonts w:ascii="Verdana" w:hAnsi="Verdana" w:cs="Arial"/>
          <w:sz w:val="22"/>
          <w:szCs w:val="22"/>
        </w:rPr>
      </w:pPr>
    </w:p>
    <w:p w14:paraId="1B96AFF7" w14:textId="77777777" w:rsidR="00771BD3" w:rsidRPr="00205C60" w:rsidRDefault="00771BD3" w:rsidP="00771BD3">
      <w:pPr>
        <w:jc w:val="both"/>
        <w:rPr>
          <w:rFonts w:ascii="Verdana" w:hAnsi="Verdana" w:cs="Arial"/>
          <w:sz w:val="22"/>
          <w:szCs w:val="22"/>
        </w:rPr>
      </w:pPr>
    </w:p>
    <w:p w14:paraId="7EE946E8" w14:textId="77777777" w:rsidR="00771BD3" w:rsidRPr="00205C60" w:rsidRDefault="00771BD3" w:rsidP="00771BD3">
      <w:pPr>
        <w:jc w:val="both"/>
        <w:rPr>
          <w:rFonts w:ascii="Verdana" w:hAnsi="Verdana" w:cs="Arial"/>
          <w:sz w:val="22"/>
          <w:szCs w:val="22"/>
          <w:lang w:val="es-CR"/>
        </w:rPr>
      </w:pPr>
    </w:p>
    <w:tbl>
      <w:tblPr>
        <w:tblW w:w="8952" w:type="dxa"/>
        <w:tblCellMar>
          <w:left w:w="0" w:type="dxa"/>
          <w:right w:w="0" w:type="dxa"/>
        </w:tblCellMar>
        <w:tblLook w:val="04A0" w:firstRow="1" w:lastRow="0" w:firstColumn="1" w:lastColumn="0" w:noHBand="0" w:noVBand="1"/>
      </w:tblPr>
      <w:tblGrid>
        <w:gridCol w:w="1527"/>
        <w:gridCol w:w="1479"/>
        <w:gridCol w:w="2174"/>
        <w:gridCol w:w="1447"/>
        <w:gridCol w:w="2325"/>
      </w:tblGrid>
      <w:tr w:rsidR="00771BD3" w:rsidRPr="004E679A" w14:paraId="2939BE73" w14:textId="77777777" w:rsidTr="00F43C56">
        <w:trPr>
          <w:trHeight w:val="291"/>
        </w:trPr>
        <w:tc>
          <w:tcPr>
            <w:tcW w:w="8952"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522A9D" w14:textId="77777777" w:rsidR="00771BD3" w:rsidRPr="00863B5F" w:rsidRDefault="00771BD3" w:rsidP="00F43C56">
            <w:pPr>
              <w:jc w:val="center"/>
              <w:rPr>
                <w:rFonts w:ascii="Verdana" w:hAnsi="Verdana"/>
                <w:sz w:val="22"/>
                <w:szCs w:val="22"/>
                <w:lang w:val="es-419" w:eastAsia="es-CR"/>
              </w:rPr>
            </w:pPr>
            <w:r w:rsidRPr="00863B5F">
              <w:rPr>
                <w:rFonts w:ascii="Verdana" w:hAnsi="Verdana" w:cs="Arial"/>
                <w:b/>
                <w:bCs/>
                <w:sz w:val="22"/>
                <w:szCs w:val="22"/>
                <w:lang w:val="es-419"/>
              </w:rPr>
              <w:lastRenderedPageBreak/>
              <w:t>INTEGRACION DEL CONSEJO DE ADMINISTRACION</w:t>
            </w:r>
          </w:p>
        </w:tc>
      </w:tr>
      <w:tr w:rsidR="00771BD3" w:rsidRPr="004E679A" w14:paraId="12FE28F7" w14:textId="77777777" w:rsidTr="00F43C56">
        <w:trPr>
          <w:trHeight w:val="875"/>
        </w:trPr>
        <w:tc>
          <w:tcPr>
            <w:tcW w:w="15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4C0D75" w14:textId="77777777" w:rsidR="00771BD3" w:rsidRPr="00863B5F" w:rsidRDefault="00771BD3" w:rsidP="00F43C56">
            <w:pPr>
              <w:jc w:val="center"/>
              <w:rPr>
                <w:rFonts w:ascii="Verdana" w:hAnsi="Verdana"/>
                <w:sz w:val="22"/>
                <w:szCs w:val="22"/>
                <w:lang w:val="es-CR"/>
              </w:rPr>
            </w:pPr>
            <w:r w:rsidRPr="00863B5F">
              <w:rPr>
                <w:rFonts w:ascii="Verdana" w:hAnsi="Verdana" w:cs="Arial"/>
                <w:b/>
                <w:bCs/>
                <w:sz w:val="22"/>
                <w:szCs w:val="22"/>
              </w:rPr>
              <w:t>NOMBRE</w:t>
            </w:r>
          </w:p>
        </w:tc>
        <w:tc>
          <w:tcPr>
            <w:tcW w:w="14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AD0684" w14:textId="77777777" w:rsidR="00771BD3" w:rsidRPr="00863B5F" w:rsidRDefault="00771BD3" w:rsidP="00F43C56">
            <w:pPr>
              <w:jc w:val="center"/>
              <w:rPr>
                <w:rFonts w:ascii="Verdana" w:hAnsi="Verdana"/>
                <w:sz w:val="22"/>
                <w:szCs w:val="22"/>
              </w:rPr>
            </w:pPr>
            <w:r w:rsidRPr="00863B5F">
              <w:rPr>
                <w:rFonts w:ascii="Verdana" w:hAnsi="Verdana" w:cs="Arial"/>
                <w:b/>
                <w:bCs/>
                <w:sz w:val="22"/>
                <w:szCs w:val="22"/>
              </w:rPr>
              <w:t>PUESTO</w:t>
            </w:r>
          </w:p>
        </w:tc>
        <w:tc>
          <w:tcPr>
            <w:tcW w:w="21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DFB498" w14:textId="77777777" w:rsidR="00771BD3" w:rsidRPr="00863B5F" w:rsidRDefault="00771BD3" w:rsidP="00F43C56">
            <w:pPr>
              <w:jc w:val="center"/>
              <w:rPr>
                <w:rFonts w:ascii="Verdana" w:hAnsi="Verdana"/>
                <w:sz w:val="22"/>
                <w:szCs w:val="22"/>
              </w:rPr>
            </w:pPr>
            <w:r w:rsidRPr="00863B5F">
              <w:rPr>
                <w:rFonts w:ascii="Verdana" w:hAnsi="Verdana" w:cs="Arial"/>
                <w:b/>
                <w:bCs/>
                <w:sz w:val="22"/>
                <w:szCs w:val="22"/>
              </w:rPr>
              <w:t>PERMANENCIA EN EL PUESTO</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1FFF5D" w14:textId="77777777" w:rsidR="00771BD3" w:rsidRPr="00863B5F" w:rsidRDefault="00771BD3" w:rsidP="00F43C56">
            <w:pPr>
              <w:jc w:val="center"/>
              <w:rPr>
                <w:rFonts w:ascii="Verdana" w:hAnsi="Verdana"/>
                <w:sz w:val="22"/>
                <w:szCs w:val="22"/>
              </w:rPr>
            </w:pPr>
            <w:r w:rsidRPr="00863B5F">
              <w:rPr>
                <w:rFonts w:ascii="Verdana" w:hAnsi="Verdana" w:cs="Arial"/>
                <w:b/>
                <w:bCs/>
                <w:sz w:val="22"/>
                <w:szCs w:val="22"/>
              </w:rPr>
              <w:t>PODER QUE OSTENTA</w:t>
            </w:r>
          </w:p>
        </w:tc>
        <w:tc>
          <w:tcPr>
            <w:tcW w:w="23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946BF4" w14:textId="77777777" w:rsidR="00771BD3" w:rsidRPr="00863B5F" w:rsidRDefault="00771BD3" w:rsidP="00F43C56">
            <w:pPr>
              <w:jc w:val="center"/>
              <w:rPr>
                <w:rFonts w:ascii="Verdana" w:hAnsi="Verdana"/>
                <w:sz w:val="22"/>
                <w:szCs w:val="22"/>
                <w:lang w:val="es-419"/>
              </w:rPr>
            </w:pPr>
            <w:r w:rsidRPr="00863B5F">
              <w:rPr>
                <w:rFonts w:ascii="Verdana" w:hAnsi="Verdana" w:cs="Arial"/>
                <w:b/>
                <w:bCs/>
                <w:sz w:val="22"/>
                <w:szCs w:val="22"/>
                <w:lang w:val="es-419"/>
              </w:rPr>
              <w:t>NACIONALIDAD Y FECHA DE NACIMIENTO</w:t>
            </w:r>
          </w:p>
        </w:tc>
      </w:tr>
      <w:tr w:rsidR="00771BD3" w:rsidRPr="004E679A" w14:paraId="64083D25" w14:textId="77777777" w:rsidTr="00F43C56">
        <w:trPr>
          <w:trHeight w:val="584"/>
        </w:trPr>
        <w:tc>
          <w:tcPr>
            <w:tcW w:w="15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763D7C" w14:textId="77777777" w:rsidR="00771BD3" w:rsidRPr="004E679A" w:rsidRDefault="00771BD3" w:rsidP="00F43C56">
            <w:pPr>
              <w:jc w:val="center"/>
              <w:rPr>
                <w:rFonts w:ascii="Verdana" w:hAnsi="Verdana"/>
                <w:sz w:val="22"/>
                <w:szCs w:val="22"/>
                <w:highlight w:val="yellow"/>
                <w:lang w:val="es-CR"/>
              </w:rPr>
            </w:pPr>
            <w:proofErr w:type="spellStart"/>
            <w:r>
              <w:rPr>
                <w:rFonts w:ascii="Verdana" w:hAnsi="Verdana"/>
              </w:rPr>
              <w:t>Rayner</w:t>
            </w:r>
            <w:proofErr w:type="spellEnd"/>
            <w:r>
              <w:rPr>
                <w:rFonts w:ascii="Verdana" w:hAnsi="Verdana"/>
              </w:rPr>
              <w:t xml:space="preserve"> García Villalobos 1/</w:t>
            </w:r>
          </w:p>
        </w:tc>
        <w:tc>
          <w:tcPr>
            <w:tcW w:w="14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219FE7" w14:textId="77777777" w:rsidR="00771BD3" w:rsidRPr="004E679A" w:rsidRDefault="00771BD3" w:rsidP="00F43C56">
            <w:pPr>
              <w:jc w:val="center"/>
              <w:rPr>
                <w:rFonts w:ascii="Verdana" w:hAnsi="Verdana"/>
                <w:sz w:val="22"/>
                <w:szCs w:val="22"/>
                <w:highlight w:val="yellow"/>
              </w:rPr>
            </w:pPr>
            <w:r>
              <w:rPr>
                <w:rFonts w:ascii="Verdana" w:hAnsi="Verdana"/>
              </w:rPr>
              <w:t>Presidente</w:t>
            </w:r>
          </w:p>
        </w:tc>
        <w:tc>
          <w:tcPr>
            <w:tcW w:w="21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00434D" w14:textId="77777777" w:rsidR="00771BD3" w:rsidRPr="004E679A" w:rsidRDefault="00771BD3" w:rsidP="00F43C56">
            <w:pPr>
              <w:jc w:val="center"/>
              <w:rPr>
                <w:rFonts w:ascii="Verdana" w:hAnsi="Verdana"/>
                <w:sz w:val="22"/>
                <w:szCs w:val="22"/>
                <w:highlight w:val="yellow"/>
              </w:rPr>
            </w:pPr>
            <w:r>
              <w:rPr>
                <w:rFonts w:ascii="Verdana" w:hAnsi="Verdana"/>
              </w:rPr>
              <w:t>31 meses</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22A767" w14:textId="77777777" w:rsidR="00771BD3" w:rsidRPr="004E679A" w:rsidRDefault="00771BD3" w:rsidP="00F43C56">
            <w:pPr>
              <w:jc w:val="center"/>
              <w:rPr>
                <w:rFonts w:ascii="Verdana" w:hAnsi="Verdana"/>
                <w:sz w:val="22"/>
                <w:szCs w:val="22"/>
                <w:highlight w:val="yellow"/>
              </w:rPr>
            </w:pPr>
            <w:r>
              <w:rPr>
                <w:rFonts w:ascii="Verdana" w:hAnsi="Verdana"/>
              </w:rPr>
              <w:t>No aplica</w:t>
            </w:r>
          </w:p>
        </w:tc>
        <w:tc>
          <w:tcPr>
            <w:tcW w:w="23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7D10BC" w14:textId="77777777" w:rsidR="00771BD3" w:rsidRDefault="00771BD3" w:rsidP="00F43C56">
            <w:pPr>
              <w:jc w:val="center"/>
            </w:pPr>
            <w:r>
              <w:rPr>
                <w:rFonts w:ascii="Verdana" w:hAnsi="Verdana"/>
              </w:rPr>
              <w:t>Costarricense</w:t>
            </w:r>
          </w:p>
          <w:p w14:paraId="1CF7A882" w14:textId="77777777" w:rsidR="00771BD3" w:rsidRPr="004E679A" w:rsidRDefault="00771BD3" w:rsidP="00F43C56">
            <w:pPr>
              <w:jc w:val="center"/>
              <w:rPr>
                <w:rFonts w:ascii="Verdana" w:hAnsi="Verdana"/>
                <w:sz w:val="22"/>
                <w:szCs w:val="22"/>
                <w:highlight w:val="yellow"/>
              </w:rPr>
            </w:pPr>
            <w:r>
              <w:rPr>
                <w:rFonts w:ascii="Verdana" w:hAnsi="Verdana"/>
              </w:rPr>
              <w:t>14 de marzo de 1980</w:t>
            </w:r>
          </w:p>
        </w:tc>
      </w:tr>
      <w:tr w:rsidR="00771BD3" w:rsidRPr="004E679A" w14:paraId="7CC24D8E" w14:textId="77777777" w:rsidTr="00F43C56">
        <w:trPr>
          <w:trHeight w:val="875"/>
        </w:trPr>
        <w:tc>
          <w:tcPr>
            <w:tcW w:w="15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1E9DF1" w14:textId="77777777" w:rsidR="00771BD3" w:rsidRPr="004E679A" w:rsidRDefault="00771BD3" w:rsidP="00F43C56">
            <w:pPr>
              <w:jc w:val="center"/>
              <w:rPr>
                <w:rFonts w:ascii="Verdana" w:hAnsi="Verdana" w:cs="Arial"/>
                <w:sz w:val="22"/>
                <w:szCs w:val="22"/>
                <w:highlight w:val="yellow"/>
              </w:rPr>
            </w:pPr>
            <w:r>
              <w:rPr>
                <w:rFonts w:ascii="Verdana" w:hAnsi="Verdana"/>
              </w:rPr>
              <w:t>Rebeca Carvajal Porras 2/</w:t>
            </w:r>
          </w:p>
        </w:tc>
        <w:tc>
          <w:tcPr>
            <w:tcW w:w="14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9DF6CC" w14:textId="77777777" w:rsidR="00771BD3" w:rsidRPr="004E679A" w:rsidRDefault="00771BD3" w:rsidP="00F43C56">
            <w:pPr>
              <w:jc w:val="center"/>
              <w:rPr>
                <w:rFonts w:ascii="Verdana" w:hAnsi="Verdana" w:cs="Arial"/>
                <w:sz w:val="22"/>
                <w:szCs w:val="22"/>
                <w:highlight w:val="yellow"/>
              </w:rPr>
            </w:pPr>
            <w:r>
              <w:rPr>
                <w:rFonts w:ascii="Verdana" w:hAnsi="Verdana"/>
              </w:rPr>
              <w:t xml:space="preserve">Tesorera </w:t>
            </w:r>
          </w:p>
        </w:tc>
        <w:tc>
          <w:tcPr>
            <w:tcW w:w="21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11DE8D" w14:textId="77777777" w:rsidR="00771BD3" w:rsidRPr="004E679A" w:rsidRDefault="00771BD3" w:rsidP="00F43C56">
            <w:pPr>
              <w:jc w:val="center"/>
              <w:rPr>
                <w:rFonts w:ascii="Verdana" w:hAnsi="Verdana" w:cs="Calibri"/>
                <w:color w:val="FF0000"/>
                <w:sz w:val="22"/>
                <w:szCs w:val="22"/>
                <w:highlight w:val="yellow"/>
              </w:rPr>
            </w:pPr>
            <w:r>
              <w:rPr>
                <w:rFonts w:ascii="Verdana" w:hAnsi="Verdana"/>
              </w:rPr>
              <w:t>24 días</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93BD62" w14:textId="77777777" w:rsidR="00771BD3" w:rsidRPr="004E679A" w:rsidRDefault="00771BD3" w:rsidP="00F43C56">
            <w:pPr>
              <w:jc w:val="center"/>
              <w:rPr>
                <w:rFonts w:ascii="Verdana" w:hAnsi="Verdana"/>
                <w:sz w:val="22"/>
                <w:szCs w:val="22"/>
                <w:highlight w:val="yellow"/>
              </w:rPr>
            </w:pPr>
            <w:r>
              <w:rPr>
                <w:rFonts w:ascii="Verdana" w:hAnsi="Verdana"/>
              </w:rPr>
              <w:t>No aplica</w:t>
            </w:r>
          </w:p>
        </w:tc>
        <w:tc>
          <w:tcPr>
            <w:tcW w:w="23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D5439A" w14:textId="77777777" w:rsidR="00771BD3" w:rsidRDefault="00771BD3" w:rsidP="00F43C56">
            <w:pPr>
              <w:jc w:val="center"/>
            </w:pPr>
            <w:r>
              <w:rPr>
                <w:rFonts w:ascii="Verdana" w:hAnsi="Verdana"/>
              </w:rPr>
              <w:t>Costarricense</w:t>
            </w:r>
          </w:p>
          <w:p w14:paraId="518F2D1B" w14:textId="77777777" w:rsidR="00771BD3" w:rsidRPr="004E679A" w:rsidRDefault="00771BD3" w:rsidP="00F43C56">
            <w:pPr>
              <w:jc w:val="center"/>
              <w:rPr>
                <w:rFonts w:ascii="Verdana" w:hAnsi="Verdana"/>
                <w:sz w:val="22"/>
                <w:szCs w:val="22"/>
                <w:highlight w:val="yellow"/>
              </w:rPr>
            </w:pPr>
            <w:r>
              <w:rPr>
                <w:rFonts w:ascii="Verdana" w:hAnsi="Verdana"/>
              </w:rPr>
              <w:t>21 de marzo de 1987</w:t>
            </w:r>
          </w:p>
        </w:tc>
      </w:tr>
      <w:tr w:rsidR="00771BD3" w:rsidRPr="004E679A" w14:paraId="42C90312" w14:textId="77777777" w:rsidTr="00F43C56">
        <w:trPr>
          <w:trHeight w:val="875"/>
        </w:trPr>
        <w:tc>
          <w:tcPr>
            <w:tcW w:w="15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263E3E" w14:textId="77777777" w:rsidR="00771BD3" w:rsidRDefault="00771BD3" w:rsidP="00F43C56">
            <w:pPr>
              <w:jc w:val="center"/>
            </w:pPr>
            <w:r>
              <w:rPr>
                <w:rFonts w:ascii="Verdana" w:hAnsi="Verdana"/>
              </w:rPr>
              <w:t>José Alberto Fonseca Araya 3/</w:t>
            </w:r>
          </w:p>
          <w:p w14:paraId="672E9B86" w14:textId="77777777" w:rsidR="00771BD3" w:rsidRPr="004E679A" w:rsidRDefault="00771BD3" w:rsidP="00F43C56">
            <w:pPr>
              <w:jc w:val="center"/>
              <w:rPr>
                <w:rFonts w:ascii="Verdana" w:hAnsi="Verdana" w:cs="Arial"/>
                <w:sz w:val="22"/>
                <w:szCs w:val="22"/>
                <w:highlight w:val="yellow"/>
              </w:rPr>
            </w:pPr>
            <w:r>
              <w:rPr>
                <w:rFonts w:ascii="Verdana" w:hAnsi="Verdana"/>
              </w:rPr>
              <w:t> </w:t>
            </w:r>
          </w:p>
        </w:tc>
        <w:tc>
          <w:tcPr>
            <w:tcW w:w="14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115D11" w14:textId="77777777" w:rsidR="00771BD3" w:rsidRPr="004E679A" w:rsidRDefault="00771BD3" w:rsidP="00F43C56">
            <w:pPr>
              <w:jc w:val="center"/>
              <w:rPr>
                <w:rFonts w:ascii="Verdana" w:hAnsi="Verdana" w:cs="Arial"/>
                <w:sz w:val="22"/>
                <w:szCs w:val="22"/>
                <w:highlight w:val="yellow"/>
              </w:rPr>
            </w:pPr>
            <w:r>
              <w:rPr>
                <w:rFonts w:ascii="Verdana" w:hAnsi="Verdana"/>
              </w:rPr>
              <w:t>Director Segundo</w:t>
            </w:r>
          </w:p>
        </w:tc>
        <w:tc>
          <w:tcPr>
            <w:tcW w:w="21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2C128A" w14:textId="77777777" w:rsidR="00771BD3" w:rsidRPr="004E679A" w:rsidRDefault="00771BD3" w:rsidP="00F43C56">
            <w:pPr>
              <w:jc w:val="center"/>
              <w:rPr>
                <w:rFonts w:ascii="Verdana" w:hAnsi="Verdana" w:cs="Arial"/>
                <w:color w:val="FF0000"/>
                <w:sz w:val="22"/>
                <w:szCs w:val="22"/>
                <w:highlight w:val="yellow"/>
              </w:rPr>
            </w:pPr>
            <w:r>
              <w:rPr>
                <w:rFonts w:ascii="Verdana" w:hAnsi="Verdana"/>
              </w:rPr>
              <w:t>34 meses</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D02F46" w14:textId="77777777" w:rsidR="00771BD3" w:rsidRPr="004E679A" w:rsidRDefault="00771BD3" w:rsidP="00F43C56">
            <w:pPr>
              <w:jc w:val="center"/>
              <w:rPr>
                <w:rFonts w:ascii="Verdana" w:hAnsi="Verdana" w:cs="Arial"/>
                <w:sz w:val="22"/>
                <w:szCs w:val="22"/>
                <w:highlight w:val="yellow"/>
              </w:rPr>
            </w:pPr>
            <w:r>
              <w:rPr>
                <w:rFonts w:ascii="Verdana" w:hAnsi="Verdana"/>
              </w:rPr>
              <w:t>No aplica</w:t>
            </w:r>
          </w:p>
        </w:tc>
        <w:tc>
          <w:tcPr>
            <w:tcW w:w="23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B253A4" w14:textId="77777777" w:rsidR="00771BD3" w:rsidRDefault="00771BD3" w:rsidP="00F43C56">
            <w:pPr>
              <w:jc w:val="center"/>
            </w:pPr>
            <w:r>
              <w:rPr>
                <w:rFonts w:ascii="Verdana" w:hAnsi="Verdana"/>
              </w:rPr>
              <w:t>Costarricense</w:t>
            </w:r>
          </w:p>
          <w:p w14:paraId="153F91CC" w14:textId="77777777" w:rsidR="00771BD3" w:rsidRPr="004E679A" w:rsidRDefault="00771BD3" w:rsidP="00F43C56">
            <w:pPr>
              <w:jc w:val="center"/>
              <w:rPr>
                <w:rFonts w:ascii="Verdana" w:hAnsi="Verdana" w:cs="Arial"/>
                <w:sz w:val="22"/>
                <w:szCs w:val="22"/>
                <w:highlight w:val="yellow"/>
              </w:rPr>
            </w:pPr>
            <w:r>
              <w:rPr>
                <w:rFonts w:ascii="Verdana" w:hAnsi="Verdana"/>
              </w:rPr>
              <w:t>20 abril de 1964</w:t>
            </w:r>
          </w:p>
        </w:tc>
      </w:tr>
      <w:tr w:rsidR="00771BD3" w:rsidRPr="004E679A" w14:paraId="180762D6" w14:textId="77777777" w:rsidTr="00F43C56">
        <w:trPr>
          <w:trHeight w:val="859"/>
        </w:trPr>
        <w:tc>
          <w:tcPr>
            <w:tcW w:w="15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8799B7" w14:textId="77777777" w:rsidR="00771BD3" w:rsidRPr="004E679A" w:rsidRDefault="00771BD3" w:rsidP="00F43C56">
            <w:pPr>
              <w:jc w:val="center"/>
              <w:rPr>
                <w:rFonts w:ascii="Verdana" w:hAnsi="Verdana" w:cs="Arial"/>
                <w:sz w:val="22"/>
                <w:szCs w:val="22"/>
                <w:highlight w:val="yellow"/>
              </w:rPr>
            </w:pPr>
            <w:r>
              <w:rPr>
                <w:rFonts w:ascii="Verdana" w:hAnsi="Verdana"/>
              </w:rPr>
              <w:t>Ileana Camacho Rodríguez 4/</w:t>
            </w:r>
          </w:p>
        </w:tc>
        <w:tc>
          <w:tcPr>
            <w:tcW w:w="14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20C298" w14:textId="77777777" w:rsidR="00771BD3" w:rsidRPr="004E679A" w:rsidRDefault="00771BD3" w:rsidP="00F43C56">
            <w:pPr>
              <w:jc w:val="center"/>
              <w:rPr>
                <w:rFonts w:ascii="Verdana" w:hAnsi="Verdana" w:cs="Arial"/>
                <w:sz w:val="22"/>
                <w:szCs w:val="22"/>
                <w:highlight w:val="yellow"/>
              </w:rPr>
            </w:pPr>
            <w:r>
              <w:rPr>
                <w:rFonts w:ascii="Verdana" w:hAnsi="Verdana"/>
              </w:rPr>
              <w:t xml:space="preserve">Directora Suplente </w:t>
            </w:r>
          </w:p>
        </w:tc>
        <w:tc>
          <w:tcPr>
            <w:tcW w:w="21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D61523" w14:textId="77777777" w:rsidR="00771BD3" w:rsidRPr="004E679A" w:rsidRDefault="00771BD3" w:rsidP="00F43C56">
            <w:pPr>
              <w:jc w:val="center"/>
              <w:rPr>
                <w:rFonts w:ascii="Verdana" w:hAnsi="Verdana" w:cs="Arial"/>
                <w:color w:val="FF0000"/>
                <w:sz w:val="22"/>
                <w:szCs w:val="22"/>
                <w:highlight w:val="yellow"/>
              </w:rPr>
            </w:pPr>
            <w:r>
              <w:rPr>
                <w:rFonts w:ascii="Verdana" w:hAnsi="Verdana"/>
              </w:rPr>
              <w:t>43 meses</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F5CA56" w14:textId="77777777" w:rsidR="00771BD3" w:rsidRPr="004E679A" w:rsidRDefault="00771BD3" w:rsidP="00F43C56">
            <w:pPr>
              <w:jc w:val="center"/>
              <w:rPr>
                <w:rFonts w:ascii="Verdana" w:hAnsi="Verdana" w:cs="Arial"/>
                <w:sz w:val="22"/>
                <w:szCs w:val="22"/>
                <w:highlight w:val="yellow"/>
              </w:rPr>
            </w:pPr>
            <w:r>
              <w:rPr>
                <w:rFonts w:ascii="Verdana" w:hAnsi="Verdana"/>
              </w:rPr>
              <w:t>No aplica</w:t>
            </w:r>
          </w:p>
        </w:tc>
        <w:tc>
          <w:tcPr>
            <w:tcW w:w="23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60315C" w14:textId="77777777" w:rsidR="00771BD3" w:rsidRDefault="00771BD3" w:rsidP="00F43C56">
            <w:pPr>
              <w:jc w:val="center"/>
            </w:pPr>
            <w:r>
              <w:rPr>
                <w:rFonts w:ascii="Verdana" w:hAnsi="Verdana"/>
              </w:rPr>
              <w:t>Costarricense</w:t>
            </w:r>
          </w:p>
          <w:p w14:paraId="4C529ABF" w14:textId="77777777" w:rsidR="00771BD3" w:rsidRPr="004E679A" w:rsidRDefault="00771BD3" w:rsidP="00F43C56">
            <w:pPr>
              <w:jc w:val="center"/>
              <w:rPr>
                <w:rFonts w:ascii="Verdana" w:hAnsi="Verdana" w:cs="Arial"/>
                <w:sz w:val="22"/>
                <w:szCs w:val="22"/>
                <w:highlight w:val="yellow"/>
              </w:rPr>
            </w:pPr>
            <w:r>
              <w:rPr>
                <w:rFonts w:ascii="Verdana" w:hAnsi="Verdana"/>
              </w:rPr>
              <w:t>25 de octubre de 1979</w:t>
            </w:r>
          </w:p>
        </w:tc>
      </w:tr>
      <w:tr w:rsidR="00771BD3" w:rsidRPr="004E679A" w14:paraId="3A1F9D31" w14:textId="77777777" w:rsidTr="00F43C56">
        <w:trPr>
          <w:trHeight w:val="859"/>
        </w:trPr>
        <w:tc>
          <w:tcPr>
            <w:tcW w:w="15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677039" w14:textId="77777777" w:rsidR="00771BD3" w:rsidRPr="004E679A" w:rsidRDefault="00771BD3" w:rsidP="00F43C56">
            <w:pPr>
              <w:jc w:val="center"/>
              <w:rPr>
                <w:rFonts w:ascii="Verdana" w:hAnsi="Verdana" w:cs="Arial"/>
                <w:sz w:val="22"/>
                <w:szCs w:val="22"/>
                <w:highlight w:val="yellow"/>
              </w:rPr>
            </w:pPr>
            <w:proofErr w:type="spellStart"/>
            <w:r>
              <w:rPr>
                <w:rFonts w:ascii="Verdana" w:hAnsi="Verdana"/>
              </w:rPr>
              <w:t>Heylen</w:t>
            </w:r>
            <w:proofErr w:type="spellEnd"/>
            <w:r>
              <w:rPr>
                <w:rFonts w:ascii="Verdana" w:hAnsi="Verdana"/>
              </w:rPr>
              <w:t xml:space="preserve"> Cristina Villalta </w:t>
            </w:r>
            <w:proofErr w:type="spellStart"/>
            <w:r>
              <w:rPr>
                <w:rFonts w:ascii="Verdana" w:hAnsi="Verdana"/>
              </w:rPr>
              <w:t>Maietta</w:t>
            </w:r>
            <w:proofErr w:type="spellEnd"/>
            <w:r>
              <w:rPr>
                <w:rFonts w:ascii="Verdana" w:hAnsi="Verdana"/>
              </w:rPr>
              <w:t>/5</w:t>
            </w:r>
          </w:p>
        </w:tc>
        <w:tc>
          <w:tcPr>
            <w:tcW w:w="1459" w:type="dxa"/>
            <w:tcBorders>
              <w:top w:val="nil"/>
              <w:left w:val="nil"/>
              <w:bottom w:val="single" w:sz="8" w:space="0" w:color="auto"/>
              <w:right w:val="single" w:sz="8" w:space="0" w:color="auto"/>
            </w:tcBorders>
            <w:tcMar>
              <w:top w:w="0" w:type="dxa"/>
              <w:left w:w="108" w:type="dxa"/>
              <w:bottom w:w="0" w:type="dxa"/>
              <w:right w:w="108" w:type="dxa"/>
            </w:tcMar>
            <w:vAlign w:val="center"/>
          </w:tcPr>
          <w:p w14:paraId="11493BA9" w14:textId="77777777" w:rsidR="00771BD3" w:rsidRPr="004E679A" w:rsidRDefault="00771BD3" w:rsidP="00F43C56">
            <w:pPr>
              <w:jc w:val="center"/>
              <w:rPr>
                <w:rFonts w:ascii="Verdana" w:hAnsi="Verdana" w:cs="Arial"/>
                <w:sz w:val="22"/>
                <w:szCs w:val="22"/>
                <w:highlight w:val="yellow"/>
              </w:rPr>
            </w:pPr>
            <w:r>
              <w:rPr>
                <w:rFonts w:ascii="Verdana" w:hAnsi="Verdana"/>
              </w:rPr>
              <w:t xml:space="preserve">Secretaria </w:t>
            </w:r>
          </w:p>
        </w:tc>
        <w:tc>
          <w:tcPr>
            <w:tcW w:w="2179" w:type="dxa"/>
            <w:tcBorders>
              <w:top w:val="nil"/>
              <w:left w:val="nil"/>
              <w:bottom w:val="single" w:sz="8" w:space="0" w:color="auto"/>
              <w:right w:val="single" w:sz="8" w:space="0" w:color="auto"/>
            </w:tcBorders>
            <w:tcMar>
              <w:top w:w="0" w:type="dxa"/>
              <w:left w:w="108" w:type="dxa"/>
              <w:bottom w:w="0" w:type="dxa"/>
              <w:right w:w="108" w:type="dxa"/>
            </w:tcMar>
            <w:vAlign w:val="center"/>
          </w:tcPr>
          <w:p w14:paraId="41828D19" w14:textId="77777777" w:rsidR="00771BD3" w:rsidRPr="004E679A" w:rsidRDefault="00771BD3" w:rsidP="00F43C56">
            <w:pPr>
              <w:jc w:val="center"/>
              <w:rPr>
                <w:rFonts w:ascii="Verdana" w:hAnsi="Verdana" w:cs="Arial"/>
                <w:sz w:val="22"/>
                <w:szCs w:val="22"/>
                <w:highlight w:val="yellow"/>
              </w:rPr>
            </w:pPr>
            <w:r>
              <w:rPr>
                <w:rFonts w:ascii="Verdana" w:hAnsi="Verdana"/>
              </w:rPr>
              <w:t xml:space="preserve">4 meses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center"/>
          </w:tcPr>
          <w:p w14:paraId="486BD598" w14:textId="77777777" w:rsidR="00771BD3" w:rsidRPr="004E679A" w:rsidRDefault="00771BD3" w:rsidP="00F43C56">
            <w:pPr>
              <w:jc w:val="center"/>
              <w:rPr>
                <w:rFonts w:ascii="Verdana" w:hAnsi="Verdana" w:cs="Arial"/>
                <w:sz w:val="22"/>
                <w:szCs w:val="22"/>
                <w:highlight w:val="yellow"/>
              </w:rPr>
            </w:pPr>
            <w:r>
              <w:rPr>
                <w:rFonts w:ascii="Verdana" w:hAnsi="Verdana"/>
              </w:rPr>
              <w:t>No aplica</w:t>
            </w:r>
          </w:p>
        </w:tc>
        <w:tc>
          <w:tcPr>
            <w:tcW w:w="2331" w:type="dxa"/>
            <w:tcBorders>
              <w:top w:val="nil"/>
              <w:left w:val="nil"/>
              <w:bottom w:val="single" w:sz="8" w:space="0" w:color="auto"/>
              <w:right w:val="single" w:sz="8" w:space="0" w:color="auto"/>
            </w:tcBorders>
            <w:tcMar>
              <w:top w:w="0" w:type="dxa"/>
              <w:left w:w="108" w:type="dxa"/>
              <w:bottom w:w="0" w:type="dxa"/>
              <w:right w:w="108" w:type="dxa"/>
            </w:tcMar>
            <w:vAlign w:val="center"/>
          </w:tcPr>
          <w:p w14:paraId="6BEDF611" w14:textId="77777777" w:rsidR="00771BD3" w:rsidRDefault="00771BD3" w:rsidP="00F43C56">
            <w:pPr>
              <w:jc w:val="center"/>
            </w:pPr>
            <w:r>
              <w:rPr>
                <w:rFonts w:ascii="Verdana" w:hAnsi="Verdana"/>
              </w:rPr>
              <w:t>Costarricense</w:t>
            </w:r>
          </w:p>
          <w:p w14:paraId="2305DFD1" w14:textId="77777777" w:rsidR="00771BD3" w:rsidRDefault="00771BD3" w:rsidP="00F43C56">
            <w:pPr>
              <w:jc w:val="center"/>
            </w:pPr>
            <w:r>
              <w:rPr>
                <w:rFonts w:ascii="Verdana" w:hAnsi="Verdana"/>
              </w:rPr>
              <w:t>15 de junio de 1981</w:t>
            </w:r>
          </w:p>
          <w:p w14:paraId="33680F4C" w14:textId="77777777" w:rsidR="00771BD3" w:rsidRPr="004E679A" w:rsidRDefault="00771BD3" w:rsidP="00F43C56">
            <w:pPr>
              <w:jc w:val="center"/>
              <w:rPr>
                <w:rFonts w:ascii="Verdana" w:hAnsi="Verdana" w:cs="Arial"/>
                <w:sz w:val="22"/>
                <w:szCs w:val="22"/>
                <w:highlight w:val="yellow"/>
              </w:rPr>
            </w:pPr>
            <w:r>
              <w:rPr>
                <w:rFonts w:ascii="Verdana" w:hAnsi="Verdana"/>
              </w:rPr>
              <w:t> </w:t>
            </w:r>
          </w:p>
        </w:tc>
      </w:tr>
      <w:tr w:rsidR="00771BD3" w:rsidRPr="004E679A" w14:paraId="2FC08A9A" w14:textId="77777777" w:rsidTr="00F43C56">
        <w:trPr>
          <w:trHeight w:val="1168"/>
        </w:trPr>
        <w:tc>
          <w:tcPr>
            <w:tcW w:w="15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DE3EAF" w14:textId="77777777" w:rsidR="00771BD3" w:rsidRPr="004E679A" w:rsidRDefault="00771BD3" w:rsidP="00F43C56">
            <w:pPr>
              <w:jc w:val="center"/>
              <w:rPr>
                <w:rFonts w:ascii="Verdana" w:hAnsi="Verdana" w:cs="Arial"/>
                <w:sz w:val="22"/>
                <w:szCs w:val="22"/>
                <w:highlight w:val="yellow"/>
              </w:rPr>
            </w:pPr>
            <w:r>
              <w:rPr>
                <w:rFonts w:ascii="Verdana" w:hAnsi="Verdana"/>
              </w:rPr>
              <w:t>Erick Picado Sancho/6</w:t>
            </w:r>
          </w:p>
        </w:tc>
        <w:tc>
          <w:tcPr>
            <w:tcW w:w="1459" w:type="dxa"/>
            <w:tcBorders>
              <w:top w:val="nil"/>
              <w:left w:val="nil"/>
              <w:bottom w:val="single" w:sz="8" w:space="0" w:color="auto"/>
              <w:right w:val="single" w:sz="8" w:space="0" w:color="auto"/>
            </w:tcBorders>
            <w:tcMar>
              <w:top w:w="0" w:type="dxa"/>
              <w:left w:w="108" w:type="dxa"/>
              <w:bottom w:w="0" w:type="dxa"/>
              <w:right w:w="108" w:type="dxa"/>
            </w:tcMar>
            <w:vAlign w:val="center"/>
          </w:tcPr>
          <w:p w14:paraId="0E17B045" w14:textId="77777777" w:rsidR="00771BD3" w:rsidRPr="004E679A" w:rsidRDefault="00771BD3" w:rsidP="00F43C56">
            <w:pPr>
              <w:jc w:val="center"/>
              <w:rPr>
                <w:rFonts w:ascii="Verdana" w:hAnsi="Verdana" w:cs="Arial"/>
                <w:sz w:val="22"/>
                <w:szCs w:val="22"/>
                <w:highlight w:val="yellow"/>
              </w:rPr>
            </w:pPr>
            <w:r>
              <w:rPr>
                <w:rFonts w:ascii="Verdana" w:hAnsi="Verdana"/>
              </w:rPr>
              <w:t>Director Primero</w:t>
            </w:r>
          </w:p>
        </w:tc>
        <w:tc>
          <w:tcPr>
            <w:tcW w:w="2179" w:type="dxa"/>
            <w:tcBorders>
              <w:top w:val="nil"/>
              <w:left w:val="nil"/>
              <w:bottom w:val="single" w:sz="8" w:space="0" w:color="auto"/>
              <w:right w:val="single" w:sz="8" w:space="0" w:color="auto"/>
            </w:tcBorders>
            <w:tcMar>
              <w:top w:w="0" w:type="dxa"/>
              <w:left w:w="108" w:type="dxa"/>
              <w:bottom w:w="0" w:type="dxa"/>
              <w:right w:w="108" w:type="dxa"/>
            </w:tcMar>
            <w:vAlign w:val="center"/>
          </w:tcPr>
          <w:p w14:paraId="3DD201BC" w14:textId="77777777" w:rsidR="00771BD3" w:rsidRPr="004E679A" w:rsidRDefault="00771BD3" w:rsidP="00F43C56">
            <w:pPr>
              <w:jc w:val="center"/>
              <w:rPr>
                <w:rFonts w:ascii="Verdana" w:hAnsi="Verdana" w:cs="Arial"/>
                <w:sz w:val="22"/>
                <w:szCs w:val="22"/>
                <w:highlight w:val="yellow"/>
              </w:rPr>
            </w:pPr>
            <w:r>
              <w:rPr>
                <w:rFonts w:ascii="Verdana" w:hAnsi="Verdana"/>
              </w:rPr>
              <w:t>24 días</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center"/>
          </w:tcPr>
          <w:p w14:paraId="3C996BC1" w14:textId="77777777" w:rsidR="00771BD3" w:rsidRPr="004E679A" w:rsidRDefault="00771BD3" w:rsidP="00F43C56">
            <w:pPr>
              <w:jc w:val="center"/>
              <w:rPr>
                <w:rFonts w:ascii="Verdana" w:hAnsi="Verdana" w:cs="Arial"/>
                <w:sz w:val="22"/>
                <w:szCs w:val="22"/>
                <w:highlight w:val="yellow"/>
              </w:rPr>
            </w:pPr>
            <w:r>
              <w:rPr>
                <w:rFonts w:ascii="Verdana" w:hAnsi="Verdana"/>
              </w:rPr>
              <w:t>No aplica</w:t>
            </w:r>
          </w:p>
        </w:tc>
        <w:tc>
          <w:tcPr>
            <w:tcW w:w="2331" w:type="dxa"/>
            <w:tcBorders>
              <w:top w:val="nil"/>
              <w:left w:val="nil"/>
              <w:bottom w:val="single" w:sz="8" w:space="0" w:color="auto"/>
              <w:right w:val="single" w:sz="8" w:space="0" w:color="auto"/>
            </w:tcBorders>
            <w:tcMar>
              <w:top w:w="0" w:type="dxa"/>
              <w:left w:w="108" w:type="dxa"/>
              <w:bottom w:w="0" w:type="dxa"/>
              <w:right w:w="108" w:type="dxa"/>
            </w:tcMar>
            <w:vAlign w:val="center"/>
          </w:tcPr>
          <w:p w14:paraId="64C79883" w14:textId="77777777" w:rsidR="00771BD3" w:rsidRDefault="00771BD3" w:rsidP="00F43C56">
            <w:pPr>
              <w:jc w:val="center"/>
            </w:pPr>
            <w:r>
              <w:rPr>
                <w:rFonts w:ascii="Verdana" w:hAnsi="Verdana"/>
              </w:rPr>
              <w:t>Costarricense</w:t>
            </w:r>
          </w:p>
          <w:p w14:paraId="5832CBC8" w14:textId="77777777" w:rsidR="00771BD3" w:rsidRPr="004E679A" w:rsidRDefault="00771BD3" w:rsidP="00F43C56">
            <w:pPr>
              <w:jc w:val="center"/>
              <w:rPr>
                <w:rFonts w:ascii="Verdana" w:hAnsi="Verdana" w:cs="Arial"/>
                <w:sz w:val="22"/>
                <w:szCs w:val="22"/>
                <w:highlight w:val="yellow"/>
              </w:rPr>
            </w:pPr>
            <w:r>
              <w:rPr>
                <w:rFonts w:ascii="Verdana" w:hAnsi="Verdana"/>
              </w:rPr>
              <w:t>03 de agosto de 1981</w:t>
            </w:r>
          </w:p>
        </w:tc>
      </w:tr>
    </w:tbl>
    <w:p w14:paraId="089212B6" w14:textId="77777777" w:rsidR="00771BD3" w:rsidRPr="00863B5F" w:rsidRDefault="00771BD3" w:rsidP="00771BD3">
      <w:pPr>
        <w:jc w:val="center"/>
        <w:rPr>
          <w:rFonts w:ascii="Verdana" w:hAnsi="Verdana" w:cs="Arial"/>
          <w:sz w:val="22"/>
          <w:szCs w:val="22"/>
        </w:rPr>
      </w:pPr>
      <w:r w:rsidRPr="00863B5F">
        <w:rPr>
          <w:rFonts w:ascii="Verdana" w:hAnsi="Verdana" w:cs="Arial"/>
          <w:sz w:val="22"/>
          <w:szCs w:val="22"/>
        </w:rPr>
        <w:t> </w:t>
      </w:r>
    </w:p>
    <w:p w14:paraId="66E47EA5" w14:textId="77777777" w:rsidR="00771BD3" w:rsidRDefault="00771BD3" w:rsidP="00771BD3">
      <w:pPr>
        <w:jc w:val="both"/>
        <w:rPr>
          <w:sz w:val="22"/>
          <w:lang w:val="es-CR" w:eastAsia="en-US"/>
        </w:rPr>
      </w:pPr>
      <w:r>
        <w:rPr>
          <w:rFonts w:ascii="Verdana" w:hAnsi="Verdana"/>
        </w:rPr>
        <w:t xml:space="preserve">1/ Nombrado en sesión de la Asamblea General Ordinaria de Accionistas </w:t>
      </w:r>
      <w:proofErr w:type="spellStart"/>
      <w:r>
        <w:rPr>
          <w:rFonts w:ascii="Verdana" w:hAnsi="Verdana"/>
        </w:rPr>
        <w:t>Nº</w:t>
      </w:r>
      <w:proofErr w:type="spellEnd"/>
      <w:r>
        <w:rPr>
          <w:rFonts w:ascii="Verdana" w:hAnsi="Verdana"/>
        </w:rPr>
        <w:t xml:space="preserve"> 135 celebrada el 24 de setiembre del 2020, período estatutario 28 de setiembre de 2020 al 28 setiembre de 2021. / Nombrado en sesión de la Asamblea General Ordinaria de Accionistas </w:t>
      </w:r>
      <w:proofErr w:type="spellStart"/>
      <w:r>
        <w:rPr>
          <w:rFonts w:ascii="Verdana" w:hAnsi="Verdana"/>
        </w:rPr>
        <w:t>Nº</w:t>
      </w:r>
      <w:proofErr w:type="spellEnd"/>
      <w:r>
        <w:rPr>
          <w:rFonts w:ascii="Verdana" w:hAnsi="Verdana"/>
        </w:rPr>
        <w:t xml:space="preserve"> 138 celebrada el 31 de marzo de 2022, periodo estatutario del 31 de marzo del 2022 hasta el 31 de marzo del 2023. / Nombrado en sesión de la Asamblea General Ordinaria de Accionistas </w:t>
      </w:r>
      <w:proofErr w:type="spellStart"/>
      <w:r>
        <w:rPr>
          <w:rFonts w:ascii="Verdana" w:hAnsi="Verdana"/>
        </w:rPr>
        <w:t>Nº</w:t>
      </w:r>
      <w:proofErr w:type="spellEnd"/>
      <w:r>
        <w:rPr>
          <w:rFonts w:ascii="Verdana" w:hAnsi="Verdana"/>
        </w:rPr>
        <w:t xml:space="preserve"> 141 celebrada el 29 de mayo de 2023, periodo estatutario del 29 de mayo del 2023 hasta el 29 de mayo del 2025.</w:t>
      </w:r>
    </w:p>
    <w:p w14:paraId="66DB786D" w14:textId="77777777" w:rsidR="00771BD3" w:rsidRDefault="00771BD3" w:rsidP="00771BD3">
      <w:pPr>
        <w:jc w:val="both"/>
        <w:rPr>
          <w:lang w:val="es-CR"/>
        </w:rPr>
      </w:pPr>
      <w:r>
        <w:rPr>
          <w:rFonts w:ascii="Verdana" w:hAnsi="Verdana"/>
        </w:rPr>
        <w:t> </w:t>
      </w:r>
    </w:p>
    <w:p w14:paraId="0CA7CA70" w14:textId="77777777" w:rsidR="00771BD3" w:rsidRDefault="00771BD3" w:rsidP="00771BD3">
      <w:pPr>
        <w:jc w:val="both"/>
        <w:rPr>
          <w:lang w:val="es-CR"/>
        </w:rPr>
      </w:pPr>
      <w:r>
        <w:rPr>
          <w:rFonts w:ascii="Verdana" w:hAnsi="Verdana"/>
        </w:rPr>
        <w:t xml:space="preserve">2/ Nombrada en sesión de la Asamblea General Ordinaria de Accionistas </w:t>
      </w:r>
      <w:proofErr w:type="spellStart"/>
      <w:r>
        <w:rPr>
          <w:rFonts w:ascii="Verdana" w:hAnsi="Verdana"/>
        </w:rPr>
        <w:t>Nº</w:t>
      </w:r>
      <w:proofErr w:type="spellEnd"/>
      <w:r>
        <w:rPr>
          <w:rFonts w:ascii="Verdana" w:hAnsi="Verdana"/>
        </w:rPr>
        <w:t xml:space="preserve"> 141 celebrada el 29 de mayo de 2023, periodo estatutario del 29 de mayo del 2023 hasta el 29 de mayo del 2025.</w:t>
      </w:r>
    </w:p>
    <w:p w14:paraId="1C0DE030" w14:textId="77777777" w:rsidR="00771BD3" w:rsidRDefault="00771BD3" w:rsidP="00771BD3">
      <w:pPr>
        <w:jc w:val="both"/>
        <w:rPr>
          <w:lang w:val="es-CR"/>
        </w:rPr>
      </w:pPr>
      <w:r>
        <w:rPr>
          <w:rFonts w:ascii="Arial" w:hAnsi="Arial" w:cs="Arial"/>
          <w:szCs w:val="24"/>
          <w:lang w:val="es-CR" w:eastAsia="es-CR"/>
        </w:rPr>
        <w:t> </w:t>
      </w:r>
    </w:p>
    <w:p w14:paraId="5B5E5F70" w14:textId="77777777" w:rsidR="00771BD3" w:rsidRDefault="00771BD3" w:rsidP="00771BD3">
      <w:pPr>
        <w:jc w:val="both"/>
        <w:rPr>
          <w:lang w:val="es-CR"/>
        </w:rPr>
      </w:pPr>
      <w:r>
        <w:rPr>
          <w:rFonts w:ascii="Verdana" w:hAnsi="Verdana"/>
        </w:rPr>
        <w:t xml:space="preserve">3/ Nombrado en sesión de la Asamblea General Ordinaria de Accionistas </w:t>
      </w:r>
      <w:proofErr w:type="spellStart"/>
      <w:r>
        <w:rPr>
          <w:rFonts w:ascii="Verdana" w:hAnsi="Verdana"/>
        </w:rPr>
        <w:t>Nº</w:t>
      </w:r>
      <w:proofErr w:type="spellEnd"/>
      <w:r>
        <w:rPr>
          <w:rFonts w:ascii="Verdana" w:hAnsi="Verdana"/>
        </w:rPr>
        <w:t xml:space="preserve"> 133 celebrada el 1 de junio de 2020, período estatutario del 1 de junio de 2020 al 1 de junio de 2022. / Nombrado en sesión de la Asamblea General </w:t>
      </w:r>
      <w:r>
        <w:rPr>
          <w:rFonts w:ascii="Verdana" w:hAnsi="Verdana"/>
        </w:rPr>
        <w:lastRenderedPageBreak/>
        <w:t xml:space="preserve">Ordinaria de Accionistas </w:t>
      </w:r>
      <w:proofErr w:type="spellStart"/>
      <w:r>
        <w:rPr>
          <w:rFonts w:ascii="Verdana" w:hAnsi="Verdana"/>
        </w:rPr>
        <w:t>Nº</w:t>
      </w:r>
      <w:proofErr w:type="spellEnd"/>
      <w:r>
        <w:rPr>
          <w:rFonts w:ascii="Verdana" w:hAnsi="Verdana"/>
        </w:rPr>
        <w:t xml:space="preserve"> 138 celebrada el 31 de marzo de 2022, periodo estatutario del 31 de marzo de 2022 hasta el 31 de marzo del 2024.</w:t>
      </w:r>
    </w:p>
    <w:p w14:paraId="4E8028E6" w14:textId="77777777" w:rsidR="00771BD3" w:rsidRDefault="00771BD3" w:rsidP="00771BD3">
      <w:pPr>
        <w:jc w:val="both"/>
        <w:rPr>
          <w:lang w:val="es-CR"/>
        </w:rPr>
      </w:pPr>
      <w:r>
        <w:rPr>
          <w:rFonts w:ascii="Verdana" w:hAnsi="Verdana"/>
        </w:rPr>
        <w:t> </w:t>
      </w:r>
    </w:p>
    <w:p w14:paraId="25ADD7E6" w14:textId="77777777" w:rsidR="00771BD3" w:rsidRDefault="00771BD3" w:rsidP="00771BD3">
      <w:pPr>
        <w:jc w:val="both"/>
        <w:rPr>
          <w:lang w:val="es-CR"/>
        </w:rPr>
      </w:pPr>
      <w:r>
        <w:rPr>
          <w:rFonts w:ascii="Verdana" w:hAnsi="Verdana"/>
        </w:rPr>
        <w:t xml:space="preserve">4/ Nombrada directora suplente en la sesión del Consejo de Administración </w:t>
      </w:r>
      <w:proofErr w:type="spellStart"/>
      <w:r>
        <w:rPr>
          <w:rFonts w:ascii="Verdana" w:hAnsi="Verdana"/>
        </w:rPr>
        <w:t>Nº</w:t>
      </w:r>
      <w:proofErr w:type="spellEnd"/>
      <w:r>
        <w:rPr>
          <w:rFonts w:ascii="Verdana" w:hAnsi="Verdana"/>
        </w:rPr>
        <w:t xml:space="preserve"> 2482 celebrada el 4 de setiembre de 2019, período estatutario del el 4 de setiembre de 2019 al 04 de setiembre de 2021. / Nombrada del 05 de setiembre de 2021 hasta el 05 de setiembre de 2023, según acuerdo en firme tomado en el Capítulo I, artículo 3 del Consejo de Administración de la CNFL, de la Sesión Extraordinaria Virtual No. 2563 del jueves 09 de setiembre de 2021.</w:t>
      </w:r>
    </w:p>
    <w:p w14:paraId="19404BF4" w14:textId="77777777" w:rsidR="00771BD3" w:rsidRDefault="00771BD3" w:rsidP="00771BD3">
      <w:pPr>
        <w:jc w:val="both"/>
        <w:rPr>
          <w:lang w:val="es-CR"/>
        </w:rPr>
      </w:pPr>
      <w:r>
        <w:rPr>
          <w:rFonts w:ascii="Verdana" w:hAnsi="Verdana"/>
          <w:lang w:val="es-CR"/>
        </w:rPr>
        <w:t> </w:t>
      </w:r>
    </w:p>
    <w:p w14:paraId="52AE885C" w14:textId="77777777" w:rsidR="00771BD3" w:rsidRDefault="00771BD3" w:rsidP="00771BD3">
      <w:pPr>
        <w:jc w:val="both"/>
        <w:rPr>
          <w:lang w:val="es-CR"/>
        </w:rPr>
      </w:pPr>
      <w:r>
        <w:rPr>
          <w:rFonts w:ascii="Verdana" w:hAnsi="Verdana"/>
        </w:rPr>
        <w:t xml:space="preserve">5/ Nombrada en sesión de la Asamblea General Ordinaria de Accionistas </w:t>
      </w:r>
      <w:proofErr w:type="spellStart"/>
      <w:r>
        <w:rPr>
          <w:rFonts w:ascii="Verdana" w:hAnsi="Verdana"/>
        </w:rPr>
        <w:t>Nº</w:t>
      </w:r>
      <w:proofErr w:type="spellEnd"/>
      <w:r>
        <w:rPr>
          <w:rFonts w:ascii="Verdana" w:hAnsi="Verdana"/>
        </w:rPr>
        <w:t xml:space="preserve"> 139 celebrada el 7 de febrero de 2023, período estatutario del 07 de febrero del 2023 hasta el 31 de marzo del 2024.</w:t>
      </w:r>
    </w:p>
    <w:p w14:paraId="0CB21E85" w14:textId="77777777" w:rsidR="00771BD3" w:rsidRDefault="00771BD3" w:rsidP="00771BD3">
      <w:pPr>
        <w:jc w:val="both"/>
        <w:rPr>
          <w:lang w:val="es-CR"/>
        </w:rPr>
      </w:pPr>
      <w:r>
        <w:rPr>
          <w:rFonts w:ascii="Verdana" w:hAnsi="Verdana"/>
        </w:rPr>
        <w:t> </w:t>
      </w:r>
    </w:p>
    <w:p w14:paraId="284999C7" w14:textId="77777777" w:rsidR="00771BD3" w:rsidRDefault="00771BD3" w:rsidP="00771BD3">
      <w:pPr>
        <w:jc w:val="both"/>
        <w:rPr>
          <w:lang w:val="es-CR"/>
        </w:rPr>
      </w:pPr>
      <w:r>
        <w:rPr>
          <w:rFonts w:ascii="Verdana" w:hAnsi="Verdana"/>
        </w:rPr>
        <w:t xml:space="preserve">6/ Nombrado en sesión de la Asamblea General Ordinaria de Accionistas </w:t>
      </w:r>
      <w:proofErr w:type="spellStart"/>
      <w:r>
        <w:rPr>
          <w:rFonts w:ascii="Verdana" w:hAnsi="Verdana"/>
        </w:rPr>
        <w:t>Nº</w:t>
      </w:r>
      <w:proofErr w:type="spellEnd"/>
      <w:r>
        <w:rPr>
          <w:rFonts w:ascii="Verdana" w:hAnsi="Verdana"/>
        </w:rPr>
        <w:t xml:space="preserve"> 141 celebrada el 29 de mayo de 2023, periodo estatutario del 29 de mayo del 2023 hasta el 29 de mayo del 2025.</w:t>
      </w:r>
    </w:p>
    <w:p w14:paraId="2A9D2962" w14:textId="77777777" w:rsidR="00771BD3" w:rsidRDefault="00771BD3" w:rsidP="00771BD3">
      <w:pPr>
        <w:rPr>
          <w:lang w:val="es-CR"/>
        </w:rPr>
      </w:pPr>
      <w:r>
        <w:t> </w:t>
      </w:r>
    </w:p>
    <w:p w14:paraId="6A495004" w14:textId="77777777" w:rsidR="00771BD3" w:rsidRPr="00344B2C" w:rsidRDefault="00771BD3" w:rsidP="00771BD3">
      <w:pPr>
        <w:jc w:val="both"/>
        <w:rPr>
          <w:rFonts w:ascii="Verdana" w:hAnsi="Verdana" w:cs="Arial"/>
          <w:sz w:val="22"/>
          <w:szCs w:val="22"/>
          <w:lang w:val="es-CR"/>
        </w:rPr>
      </w:pPr>
    </w:p>
    <w:p w14:paraId="198FAB3B" w14:textId="77777777" w:rsidR="00771BD3" w:rsidRPr="00344B2C" w:rsidRDefault="00771BD3" w:rsidP="00771BD3">
      <w:pPr>
        <w:jc w:val="both"/>
        <w:rPr>
          <w:rFonts w:ascii="Verdana" w:hAnsi="Verdana" w:cs="Arial"/>
          <w:sz w:val="22"/>
          <w:szCs w:val="22"/>
          <w:lang w:val="es-CR"/>
        </w:rPr>
      </w:pPr>
      <w:r w:rsidRPr="00344B2C">
        <w:rPr>
          <w:rFonts w:ascii="Verdana" w:hAnsi="Verdana" w:cs="Arial"/>
          <w:sz w:val="22"/>
          <w:szCs w:val="22"/>
          <w:lang w:val="es-CR"/>
        </w:rPr>
        <w:t>Los miembros del Consejo de Administración desempeñan cargos en otras juntas directivas:</w:t>
      </w:r>
    </w:p>
    <w:p w14:paraId="37A8C0FD" w14:textId="77777777" w:rsidR="00771BD3" w:rsidRPr="00344B2C" w:rsidRDefault="00771BD3" w:rsidP="00771BD3">
      <w:pPr>
        <w:jc w:val="both"/>
        <w:rPr>
          <w:rFonts w:ascii="Verdana" w:hAnsi="Verdana" w:cs="Arial"/>
          <w:noProof/>
          <w:color w:val="FF0000"/>
          <w:sz w:val="22"/>
          <w:szCs w:val="22"/>
          <w:lang w:val="es-CR"/>
        </w:rPr>
      </w:pPr>
    </w:p>
    <w:tbl>
      <w:tblPr>
        <w:tblStyle w:val="Tablaconcuadrcula"/>
        <w:tblW w:w="9351" w:type="dxa"/>
        <w:tblLook w:val="04A0" w:firstRow="1" w:lastRow="0" w:firstColumn="1" w:lastColumn="0" w:noHBand="0" w:noVBand="1"/>
      </w:tblPr>
      <w:tblGrid>
        <w:gridCol w:w="2547"/>
        <w:gridCol w:w="5245"/>
        <w:gridCol w:w="1559"/>
      </w:tblGrid>
      <w:tr w:rsidR="00771BD3" w:rsidRPr="00344B2C" w14:paraId="7086E292" w14:textId="77777777" w:rsidTr="00F43C56">
        <w:trPr>
          <w:trHeight w:val="448"/>
        </w:trPr>
        <w:tc>
          <w:tcPr>
            <w:tcW w:w="2547" w:type="dxa"/>
          </w:tcPr>
          <w:p w14:paraId="6000797B" w14:textId="77777777" w:rsidR="00771BD3" w:rsidRPr="00344B2C" w:rsidRDefault="00771BD3" w:rsidP="00F43C56">
            <w:pPr>
              <w:jc w:val="center"/>
              <w:rPr>
                <w:rFonts w:ascii="Verdana" w:hAnsi="Verdana" w:cs="Arial"/>
                <w:sz w:val="14"/>
                <w:szCs w:val="14"/>
              </w:rPr>
            </w:pPr>
            <w:r w:rsidRPr="00344B2C">
              <w:rPr>
                <w:rFonts w:ascii="Verdana" w:hAnsi="Verdana" w:cs="Arial"/>
                <w:sz w:val="14"/>
                <w:szCs w:val="14"/>
              </w:rPr>
              <w:t>Nombre del Directivo</w:t>
            </w:r>
          </w:p>
        </w:tc>
        <w:tc>
          <w:tcPr>
            <w:tcW w:w="5245" w:type="dxa"/>
          </w:tcPr>
          <w:p w14:paraId="0D416025" w14:textId="77777777" w:rsidR="00771BD3" w:rsidRPr="00344B2C" w:rsidRDefault="00771BD3" w:rsidP="00F43C56">
            <w:pPr>
              <w:jc w:val="center"/>
              <w:rPr>
                <w:rFonts w:ascii="Verdana" w:hAnsi="Verdana" w:cs="Arial"/>
                <w:sz w:val="14"/>
                <w:szCs w:val="14"/>
              </w:rPr>
            </w:pPr>
            <w:r w:rsidRPr="00344B2C">
              <w:rPr>
                <w:rFonts w:ascii="Verdana" w:hAnsi="Verdana" w:cs="Arial"/>
                <w:sz w:val="14"/>
                <w:szCs w:val="14"/>
              </w:rPr>
              <w:t>Nombre de la entidad en el que el directivo ocupa otro puesto</w:t>
            </w:r>
          </w:p>
        </w:tc>
        <w:tc>
          <w:tcPr>
            <w:tcW w:w="1559" w:type="dxa"/>
          </w:tcPr>
          <w:p w14:paraId="2012139B" w14:textId="77777777" w:rsidR="00771BD3" w:rsidRPr="00344B2C" w:rsidRDefault="00771BD3" w:rsidP="00F43C56">
            <w:pPr>
              <w:jc w:val="center"/>
              <w:rPr>
                <w:rFonts w:ascii="Verdana" w:hAnsi="Verdana" w:cs="Arial"/>
                <w:sz w:val="14"/>
                <w:szCs w:val="14"/>
              </w:rPr>
            </w:pPr>
            <w:r w:rsidRPr="00344B2C">
              <w:rPr>
                <w:rFonts w:ascii="Verdana" w:hAnsi="Verdana" w:cs="Arial"/>
                <w:sz w:val="14"/>
                <w:szCs w:val="14"/>
              </w:rPr>
              <w:t>No. Cédula jurídica de la otra Entidad</w:t>
            </w:r>
          </w:p>
        </w:tc>
      </w:tr>
      <w:tr w:rsidR="00771BD3" w:rsidRPr="00344B2C" w14:paraId="33CC9C7A" w14:textId="77777777" w:rsidTr="00F43C56">
        <w:tc>
          <w:tcPr>
            <w:tcW w:w="2547" w:type="dxa"/>
            <w:shd w:val="clear" w:color="auto" w:fill="auto"/>
          </w:tcPr>
          <w:p w14:paraId="01AEDCE6" w14:textId="77777777" w:rsidR="00771BD3" w:rsidRPr="00344B2C" w:rsidRDefault="00771BD3" w:rsidP="00F43C56">
            <w:pPr>
              <w:jc w:val="both"/>
              <w:rPr>
                <w:rFonts w:ascii="Verdana" w:hAnsi="Verdana" w:cs="Arial"/>
                <w:sz w:val="16"/>
                <w:szCs w:val="16"/>
              </w:rPr>
            </w:pPr>
            <w:proofErr w:type="spellStart"/>
            <w:r w:rsidRPr="00344B2C">
              <w:rPr>
                <w:rFonts w:ascii="Verdana" w:hAnsi="Verdana" w:cs="Arial"/>
                <w:sz w:val="16"/>
                <w:szCs w:val="16"/>
              </w:rPr>
              <w:t>Rayner</w:t>
            </w:r>
            <w:proofErr w:type="spellEnd"/>
            <w:r w:rsidRPr="00344B2C">
              <w:rPr>
                <w:rFonts w:ascii="Verdana" w:hAnsi="Verdana" w:cs="Arial"/>
                <w:sz w:val="16"/>
                <w:szCs w:val="16"/>
              </w:rPr>
              <w:t xml:space="preserve"> García Villalobos </w:t>
            </w:r>
          </w:p>
        </w:tc>
        <w:tc>
          <w:tcPr>
            <w:tcW w:w="5245" w:type="dxa"/>
            <w:shd w:val="clear" w:color="auto" w:fill="auto"/>
          </w:tcPr>
          <w:p w14:paraId="2C5D1FB9" w14:textId="77777777" w:rsidR="00771BD3" w:rsidRPr="00344B2C" w:rsidRDefault="00771BD3" w:rsidP="00F43C56">
            <w:pPr>
              <w:jc w:val="both"/>
              <w:rPr>
                <w:rFonts w:ascii="Verdana" w:hAnsi="Verdana" w:cs="Arial"/>
                <w:sz w:val="16"/>
                <w:szCs w:val="16"/>
              </w:rPr>
            </w:pPr>
            <w:r w:rsidRPr="00344B2C">
              <w:rPr>
                <w:rFonts w:ascii="Verdana" w:hAnsi="Verdana" w:cs="Arial"/>
                <w:sz w:val="16"/>
                <w:szCs w:val="16"/>
              </w:rPr>
              <w:t>COMPAÑÍA NACIONAL DE FUERZA Y LUZ S.A. PRESIDENTE</w:t>
            </w:r>
          </w:p>
        </w:tc>
        <w:tc>
          <w:tcPr>
            <w:tcW w:w="1559" w:type="dxa"/>
            <w:shd w:val="clear" w:color="auto" w:fill="auto"/>
          </w:tcPr>
          <w:p w14:paraId="0B96D095" w14:textId="77777777" w:rsidR="00771BD3" w:rsidRPr="00344B2C" w:rsidRDefault="00771BD3" w:rsidP="00F43C56">
            <w:pPr>
              <w:jc w:val="both"/>
              <w:rPr>
                <w:rFonts w:ascii="Verdana" w:hAnsi="Verdana" w:cs="Arial"/>
                <w:sz w:val="16"/>
                <w:szCs w:val="16"/>
              </w:rPr>
            </w:pPr>
            <w:r w:rsidRPr="00344B2C">
              <w:rPr>
                <w:rFonts w:ascii="Verdana" w:hAnsi="Verdana" w:cs="Arial"/>
                <w:sz w:val="16"/>
                <w:szCs w:val="16"/>
              </w:rPr>
              <w:t>3-101-000046</w:t>
            </w:r>
          </w:p>
        </w:tc>
      </w:tr>
      <w:tr w:rsidR="00771BD3" w:rsidRPr="00344B2C" w14:paraId="3312203A" w14:textId="77777777" w:rsidTr="00F43C56">
        <w:tc>
          <w:tcPr>
            <w:tcW w:w="2547" w:type="dxa"/>
            <w:shd w:val="clear" w:color="auto" w:fill="auto"/>
          </w:tcPr>
          <w:p w14:paraId="4B9BBE93" w14:textId="77777777" w:rsidR="00771BD3" w:rsidRPr="00344B2C" w:rsidRDefault="00771BD3" w:rsidP="00F43C56">
            <w:pPr>
              <w:jc w:val="both"/>
              <w:rPr>
                <w:rFonts w:ascii="Verdana" w:hAnsi="Verdana" w:cs="Arial"/>
                <w:sz w:val="16"/>
                <w:szCs w:val="16"/>
              </w:rPr>
            </w:pPr>
            <w:proofErr w:type="spellStart"/>
            <w:r w:rsidRPr="00344B2C">
              <w:rPr>
                <w:rFonts w:ascii="Verdana" w:hAnsi="Verdana"/>
                <w:sz w:val="16"/>
                <w:szCs w:val="16"/>
              </w:rPr>
              <w:t>Heylen</w:t>
            </w:r>
            <w:proofErr w:type="spellEnd"/>
            <w:r w:rsidRPr="00344B2C">
              <w:rPr>
                <w:rFonts w:ascii="Verdana" w:hAnsi="Verdana"/>
                <w:sz w:val="16"/>
                <w:szCs w:val="16"/>
              </w:rPr>
              <w:t xml:space="preserve"> Cristina Villalta </w:t>
            </w:r>
            <w:proofErr w:type="spellStart"/>
            <w:r w:rsidRPr="00344B2C">
              <w:rPr>
                <w:rFonts w:ascii="Verdana" w:hAnsi="Verdana"/>
                <w:sz w:val="16"/>
                <w:szCs w:val="16"/>
              </w:rPr>
              <w:t>Maietta</w:t>
            </w:r>
            <w:proofErr w:type="spellEnd"/>
          </w:p>
        </w:tc>
        <w:tc>
          <w:tcPr>
            <w:tcW w:w="5245" w:type="dxa"/>
            <w:shd w:val="clear" w:color="auto" w:fill="auto"/>
          </w:tcPr>
          <w:p w14:paraId="30EAE778" w14:textId="77777777" w:rsidR="00771BD3" w:rsidRPr="00344B2C" w:rsidRDefault="00771BD3" w:rsidP="00F43C56">
            <w:pPr>
              <w:jc w:val="both"/>
              <w:rPr>
                <w:rFonts w:ascii="Verdana" w:hAnsi="Verdana" w:cs="Arial"/>
                <w:sz w:val="16"/>
                <w:szCs w:val="16"/>
              </w:rPr>
            </w:pPr>
            <w:r w:rsidRPr="00344B2C">
              <w:rPr>
                <w:rFonts w:ascii="Verdana" w:hAnsi="Verdana" w:cs="Arial"/>
                <w:sz w:val="16"/>
                <w:szCs w:val="16"/>
              </w:rPr>
              <w:t>COMPAÑÍA NACIONAL DE FUERZA Y LUZ S.A.</w:t>
            </w:r>
          </w:p>
        </w:tc>
        <w:tc>
          <w:tcPr>
            <w:tcW w:w="1559" w:type="dxa"/>
            <w:shd w:val="clear" w:color="auto" w:fill="auto"/>
          </w:tcPr>
          <w:p w14:paraId="3EBEA6CF" w14:textId="77777777" w:rsidR="00771BD3" w:rsidRPr="00344B2C" w:rsidRDefault="00771BD3" w:rsidP="00F43C56">
            <w:pPr>
              <w:jc w:val="both"/>
              <w:rPr>
                <w:rFonts w:ascii="Verdana" w:hAnsi="Verdana" w:cs="Arial"/>
                <w:sz w:val="16"/>
                <w:szCs w:val="16"/>
              </w:rPr>
            </w:pPr>
            <w:r w:rsidRPr="00344B2C">
              <w:rPr>
                <w:rFonts w:ascii="Verdana" w:hAnsi="Verdana" w:cs="Arial"/>
                <w:sz w:val="16"/>
                <w:szCs w:val="16"/>
              </w:rPr>
              <w:t>3-101-000046</w:t>
            </w:r>
          </w:p>
        </w:tc>
      </w:tr>
      <w:tr w:rsidR="00771BD3" w:rsidRPr="00344B2C" w14:paraId="4B1A3DD7" w14:textId="77777777" w:rsidTr="00F43C56">
        <w:tc>
          <w:tcPr>
            <w:tcW w:w="2547" w:type="dxa"/>
            <w:shd w:val="clear" w:color="auto" w:fill="auto"/>
          </w:tcPr>
          <w:p w14:paraId="596B206B" w14:textId="77777777" w:rsidR="00771BD3" w:rsidRPr="00344B2C" w:rsidRDefault="00771BD3" w:rsidP="00F43C56">
            <w:pPr>
              <w:jc w:val="both"/>
              <w:rPr>
                <w:rFonts w:ascii="Verdana" w:hAnsi="Verdana" w:cs="Arial"/>
                <w:sz w:val="16"/>
                <w:szCs w:val="16"/>
              </w:rPr>
            </w:pPr>
            <w:r w:rsidRPr="00344B2C">
              <w:rPr>
                <w:rFonts w:ascii="Verdana" w:hAnsi="Verdana" w:cs="Arial"/>
                <w:sz w:val="16"/>
                <w:szCs w:val="16"/>
              </w:rPr>
              <w:t xml:space="preserve">José Fonseca Araya </w:t>
            </w:r>
          </w:p>
        </w:tc>
        <w:tc>
          <w:tcPr>
            <w:tcW w:w="5245" w:type="dxa"/>
            <w:shd w:val="clear" w:color="auto" w:fill="auto"/>
          </w:tcPr>
          <w:p w14:paraId="7DC7906B" w14:textId="77777777" w:rsidR="00771BD3" w:rsidRPr="00344B2C" w:rsidRDefault="00771BD3" w:rsidP="00F43C56">
            <w:pPr>
              <w:jc w:val="both"/>
              <w:rPr>
                <w:rFonts w:ascii="Verdana" w:hAnsi="Verdana" w:cs="Arial"/>
                <w:sz w:val="16"/>
                <w:szCs w:val="16"/>
              </w:rPr>
            </w:pPr>
            <w:r w:rsidRPr="00344B2C">
              <w:rPr>
                <w:rFonts w:ascii="Verdana" w:hAnsi="Verdana" w:cs="Arial"/>
                <w:sz w:val="16"/>
                <w:szCs w:val="16"/>
              </w:rPr>
              <w:t xml:space="preserve">COMPAÑÍA NACIONAL DE FUERZA Y LUZ </w:t>
            </w:r>
          </w:p>
        </w:tc>
        <w:tc>
          <w:tcPr>
            <w:tcW w:w="1559" w:type="dxa"/>
            <w:shd w:val="clear" w:color="auto" w:fill="auto"/>
          </w:tcPr>
          <w:p w14:paraId="6BFC5A1F" w14:textId="77777777" w:rsidR="00771BD3" w:rsidRPr="00344B2C" w:rsidRDefault="00771BD3" w:rsidP="00F43C56">
            <w:pPr>
              <w:jc w:val="both"/>
              <w:rPr>
                <w:rFonts w:ascii="Verdana" w:hAnsi="Verdana" w:cs="Arial"/>
                <w:sz w:val="16"/>
                <w:szCs w:val="16"/>
              </w:rPr>
            </w:pPr>
            <w:r w:rsidRPr="00344B2C">
              <w:rPr>
                <w:rFonts w:ascii="Verdana" w:hAnsi="Verdana" w:cs="Arial"/>
                <w:sz w:val="16"/>
                <w:szCs w:val="16"/>
              </w:rPr>
              <w:t>3-101-000046</w:t>
            </w:r>
          </w:p>
        </w:tc>
      </w:tr>
      <w:tr w:rsidR="00771BD3" w:rsidRPr="00344B2C" w14:paraId="04D32FDD" w14:textId="77777777" w:rsidTr="00F43C56">
        <w:tc>
          <w:tcPr>
            <w:tcW w:w="2547" w:type="dxa"/>
            <w:shd w:val="clear" w:color="auto" w:fill="auto"/>
          </w:tcPr>
          <w:p w14:paraId="48C32E35" w14:textId="77777777" w:rsidR="00771BD3" w:rsidRPr="00344B2C" w:rsidRDefault="00771BD3" w:rsidP="00F43C56">
            <w:pPr>
              <w:jc w:val="both"/>
              <w:rPr>
                <w:rFonts w:ascii="Verdana" w:hAnsi="Verdana" w:cs="Arial"/>
                <w:sz w:val="16"/>
                <w:szCs w:val="16"/>
              </w:rPr>
            </w:pPr>
            <w:r w:rsidRPr="00344B2C">
              <w:rPr>
                <w:rFonts w:ascii="Verdana" w:hAnsi="Verdana"/>
                <w:sz w:val="16"/>
                <w:szCs w:val="16"/>
              </w:rPr>
              <w:t>Rebeca Carvajal Porras</w:t>
            </w:r>
          </w:p>
        </w:tc>
        <w:tc>
          <w:tcPr>
            <w:tcW w:w="5245" w:type="dxa"/>
            <w:shd w:val="clear" w:color="auto" w:fill="auto"/>
          </w:tcPr>
          <w:p w14:paraId="02D07D93" w14:textId="77777777" w:rsidR="00771BD3" w:rsidRPr="00344B2C" w:rsidRDefault="00771BD3" w:rsidP="00F43C56">
            <w:pPr>
              <w:jc w:val="both"/>
              <w:rPr>
                <w:rFonts w:ascii="Verdana" w:hAnsi="Verdana" w:cs="Arial"/>
                <w:sz w:val="16"/>
                <w:szCs w:val="16"/>
              </w:rPr>
            </w:pPr>
            <w:r w:rsidRPr="00344B2C">
              <w:rPr>
                <w:rFonts w:ascii="Verdana" w:hAnsi="Verdana" w:cs="Arial"/>
                <w:sz w:val="16"/>
                <w:szCs w:val="16"/>
              </w:rPr>
              <w:t>MÁS COMERCIO E INNOVACIÓN SOCIEDAD ANONIMA</w:t>
            </w:r>
          </w:p>
        </w:tc>
        <w:tc>
          <w:tcPr>
            <w:tcW w:w="1559" w:type="dxa"/>
            <w:shd w:val="clear" w:color="auto" w:fill="auto"/>
          </w:tcPr>
          <w:p w14:paraId="136E2D79" w14:textId="77777777" w:rsidR="00771BD3" w:rsidRPr="00344B2C" w:rsidRDefault="00771BD3" w:rsidP="00F43C56">
            <w:pPr>
              <w:jc w:val="both"/>
              <w:rPr>
                <w:rFonts w:ascii="Verdana" w:hAnsi="Verdana" w:cs="Arial"/>
                <w:sz w:val="16"/>
                <w:szCs w:val="16"/>
              </w:rPr>
            </w:pPr>
            <w:r w:rsidRPr="00344B2C">
              <w:rPr>
                <w:rFonts w:ascii="Verdana" w:hAnsi="Verdana" w:cs="Arial"/>
                <w:sz w:val="16"/>
                <w:szCs w:val="16"/>
              </w:rPr>
              <w:t>3-101-803859</w:t>
            </w:r>
          </w:p>
        </w:tc>
      </w:tr>
      <w:tr w:rsidR="00771BD3" w:rsidRPr="00344B2C" w14:paraId="68400A94" w14:textId="77777777" w:rsidTr="00F43C56">
        <w:tc>
          <w:tcPr>
            <w:tcW w:w="2547" w:type="dxa"/>
            <w:shd w:val="clear" w:color="auto" w:fill="auto"/>
          </w:tcPr>
          <w:p w14:paraId="34DFDE8B" w14:textId="77777777" w:rsidR="00771BD3" w:rsidRPr="00344B2C" w:rsidRDefault="00771BD3" w:rsidP="00F43C56">
            <w:pPr>
              <w:jc w:val="both"/>
              <w:rPr>
                <w:rFonts w:ascii="Verdana" w:hAnsi="Verdana"/>
                <w:sz w:val="16"/>
                <w:szCs w:val="16"/>
              </w:rPr>
            </w:pPr>
            <w:r w:rsidRPr="00344B2C">
              <w:rPr>
                <w:rFonts w:ascii="Verdana" w:hAnsi="Verdana" w:cs="Arial"/>
                <w:sz w:val="16"/>
                <w:szCs w:val="16"/>
              </w:rPr>
              <w:t>Erick Picado Sancho</w:t>
            </w:r>
          </w:p>
        </w:tc>
        <w:tc>
          <w:tcPr>
            <w:tcW w:w="5245" w:type="dxa"/>
            <w:shd w:val="clear" w:color="auto" w:fill="auto"/>
          </w:tcPr>
          <w:p w14:paraId="0B694940" w14:textId="77777777" w:rsidR="00771BD3" w:rsidRPr="00344B2C" w:rsidRDefault="00771BD3" w:rsidP="00F43C56">
            <w:pPr>
              <w:jc w:val="both"/>
              <w:rPr>
                <w:rFonts w:ascii="Verdana" w:hAnsi="Verdana" w:cs="Arial"/>
                <w:sz w:val="16"/>
                <w:szCs w:val="16"/>
              </w:rPr>
            </w:pPr>
            <w:r w:rsidRPr="00344B2C">
              <w:rPr>
                <w:rFonts w:ascii="Verdana" w:hAnsi="Verdana" w:cs="Arial"/>
                <w:sz w:val="16"/>
                <w:szCs w:val="16"/>
              </w:rPr>
              <w:t>3-101-430779</w:t>
            </w:r>
          </w:p>
        </w:tc>
        <w:tc>
          <w:tcPr>
            <w:tcW w:w="1559" w:type="dxa"/>
            <w:shd w:val="clear" w:color="auto" w:fill="auto"/>
          </w:tcPr>
          <w:p w14:paraId="612BCC0D" w14:textId="77777777" w:rsidR="00771BD3" w:rsidRPr="00344B2C" w:rsidRDefault="00771BD3" w:rsidP="00F43C56">
            <w:pPr>
              <w:jc w:val="both"/>
              <w:rPr>
                <w:rFonts w:ascii="Verdana" w:hAnsi="Verdana" w:cs="Arial"/>
                <w:sz w:val="16"/>
                <w:szCs w:val="16"/>
              </w:rPr>
            </w:pPr>
            <w:r w:rsidRPr="00344B2C">
              <w:rPr>
                <w:rFonts w:ascii="Verdana" w:hAnsi="Verdana" w:cs="Arial"/>
                <w:sz w:val="16"/>
                <w:szCs w:val="16"/>
              </w:rPr>
              <w:t>3-101-430779</w:t>
            </w:r>
          </w:p>
        </w:tc>
      </w:tr>
      <w:tr w:rsidR="00771BD3" w:rsidRPr="00205C60" w14:paraId="1E39E39D" w14:textId="77777777" w:rsidTr="00F43C56">
        <w:tc>
          <w:tcPr>
            <w:tcW w:w="2547" w:type="dxa"/>
            <w:shd w:val="clear" w:color="auto" w:fill="auto"/>
          </w:tcPr>
          <w:p w14:paraId="7BE2B344" w14:textId="77777777" w:rsidR="00771BD3" w:rsidRPr="00344B2C" w:rsidRDefault="00771BD3" w:rsidP="00F43C56">
            <w:pPr>
              <w:jc w:val="both"/>
              <w:rPr>
                <w:rFonts w:ascii="Verdana" w:hAnsi="Verdana" w:cs="Arial"/>
                <w:sz w:val="16"/>
                <w:szCs w:val="16"/>
              </w:rPr>
            </w:pPr>
            <w:r w:rsidRPr="00344B2C">
              <w:rPr>
                <w:rFonts w:ascii="Verdana" w:hAnsi="Verdana" w:cs="Arial"/>
                <w:sz w:val="16"/>
                <w:szCs w:val="16"/>
              </w:rPr>
              <w:t>Ileana Camacho Rodríguez</w:t>
            </w:r>
          </w:p>
          <w:p w14:paraId="4304404C" w14:textId="77777777" w:rsidR="00771BD3" w:rsidRPr="00344B2C" w:rsidRDefault="00771BD3" w:rsidP="00F43C56">
            <w:pPr>
              <w:jc w:val="both"/>
              <w:rPr>
                <w:rFonts w:ascii="Verdana" w:hAnsi="Verdana" w:cs="Arial"/>
                <w:sz w:val="16"/>
                <w:szCs w:val="16"/>
              </w:rPr>
            </w:pPr>
            <w:r w:rsidRPr="00344B2C">
              <w:rPr>
                <w:rFonts w:ascii="Verdana" w:hAnsi="Verdana" w:cs="Arial"/>
                <w:sz w:val="16"/>
                <w:szCs w:val="16"/>
              </w:rPr>
              <w:t>Ileana Camacho Rodríguez</w:t>
            </w:r>
          </w:p>
          <w:p w14:paraId="1523828C" w14:textId="77777777" w:rsidR="00771BD3" w:rsidRPr="00344B2C" w:rsidRDefault="00771BD3" w:rsidP="00F43C56">
            <w:pPr>
              <w:jc w:val="both"/>
              <w:rPr>
                <w:rFonts w:ascii="Verdana" w:hAnsi="Verdana" w:cs="Arial"/>
                <w:sz w:val="16"/>
                <w:szCs w:val="16"/>
              </w:rPr>
            </w:pPr>
            <w:r w:rsidRPr="00344B2C">
              <w:rPr>
                <w:rFonts w:ascii="Verdana" w:hAnsi="Verdana" w:cs="Arial"/>
                <w:sz w:val="16"/>
                <w:szCs w:val="16"/>
              </w:rPr>
              <w:t>Ileana Camacho Rodríguez</w:t>
            </w:r>
          </w:p>
        </w:tc>
        <w:tc>
          <w:tcPr>
            <w:tcW w:w="5245" w:type="dxa"/>
            <w:shd w:val="clear" w:color="auto" w:fill="auto"/>
          </w:tcPr>
          <w:p w14:paraId="0E53EDA9" w14:textId="77777777" w:rsidR="00771BD3" w:rsidRPr="00344B2C" w:rsidRDefault="00771BD3" w:rsidP="00F43C56">
            <w:pPr>
              <w:jc w:val="both"/>
              <w:rPr>
                <w:rFonts w:ascii="Verdana" w:hAnsi="Verdana" w:cs="Arial"/>
                <w:sz w:val="16"/>
                <w:szCs w:val="16"/>
              </w:rPr>
            </w:pPr>
            <w:r w:rsidRPr="00344B2C">
              <w:rPr>
                <w:rFonts w:ascii="Verdana" w:hAnsi="Verdana" w:cs="Arial"/>
                <w:sz w:val="16"/>
                <w:szCs w:val="16"/>
              </w:rPr>
              <w:t>INNOVUS COSTA RICA SOCIEDAD ANONIMA SECRETARIO</w:t>
            </w:r>
          </w:p>
          <w:p w14:paraId="44D113BB" w14:textId="77777777" w:rsidR="00771BD3" w:rsidRPr="00344B2C" w:rsidRDefault="00771BD3" w:rsidP="00F43C56">
            <w:pPr>
              <w:jc w:val="both"/>
              <w:rPr>
                <w:rFonts w:ascii="Verdana" w:hAnsi="Verdana" w:cs="Arial"/>
                <w:sz w:val="16"/>
                <w:szCs w:val="16"/>
              </w:rPr>
            </w:pPr>
            <w:r w:rsidRPr="00344B2C">
              <w:rPr>
                <w:rFonts w:ascii="Verdana" w:hAnsi="Verdana" w:cs="Arial"/>
                <w:sz w:val="16"/>
                <w:szCs w:val="16"/>
              </w:rPr>
              <w:t>INVERSIONES ITAIPU AZUL SOCIEDAD ANONIMA</w:t>
            </w:r>
          </w:p>
          <w:p w14:paraId="23EED4A3" w14:textId="77777777" w:rsidR="00771BD3" w:rsidRPr="00344B2C" w:rsidRDefault="00771BD3" w:rsidP="00F43C56">
            <w:pPr>
              <w:jc w:val="both"/>
              <w:rPr>
                <w:rFonts w:ascii="Verdana" w:hAnsi="Verdana" w:cs="Arial"/>
                <w:sz w:val="16"/>
                <w:szCs w:val="16"/>
              </w:rPr>
            </w:pPr>
            <w:r w:rsidRPr="00344B2C">
              <w:rPr>
                <w:rFonts w:ascii="Verdana" w:hAnsi="Verdana" w:cs="Arial"/>
                <w:sz w:val="16"/>
                <w:szCs w:val="16"/>
              </w:rPr>
              <w:t>COMPAÑÍA NACIONAL DE FUERZA Y LUZ S.A. SUPLENTE</w:t>
            </w:r>
          </w:p>
        </w:tc>
        <w:tc>
          <w:tcPr>
            <w:tcW w:w="1559" w:type="dxa"/>
            <w:shd w:val="clear" w:color="auto" w:fill="auto"/>
          </w:tcPr>
          <w:p w14:paraId="1C6033AE" w14:textId="77777777" w:rsidR="00771BD3" w:rsidRPr="00344B2C" w:rsidRDefault="00771BD3" w:rsidP="00F43C56">
            <w:pPr>
              <w:jc w:val="both"/>
              <w:rPr>
                <w:rFonts w:ascii="Verdana" w:hAnsi="Verdana" w:cs="Arial"/>
                <w:sz w:val="16"/>
                <w:szCs w:val="16"/>
              </w:rPr>
            </w:pPr>
            <w:r w:rsidRPr="00344B2C">
              <w:rPr>
                <w:rFonts w:ascii="Verdana" w:hAnsi="Verdana" w:cs="Arial"/>
                <w:sz w:val="16"/>
                <w:szCs w:val="16"/>
              </w:rPr>
              <w:t>3-101-772505</w:t>
            </w:r>
          </w:p>
          <w:p w14:paraId="31AB521C" w14:textId="77777777" w:rsidR="00771BD3" w:rsidRPr="00344B2C" w:rsidRDefault="00771BD3" w:rsidP="00F43C56">
            <w:pPr>
              <w:jc w:val="both"/>
              <w:rPr>
                <w:rFonts w:ascii="Verdana" w:hAnsi="Verdana" w:cs="Arial"/>
                <w:sz w:val="16"/>
                <w:szCs w:val="16"/>
              </w:rPr>
            </w:pPr>
            <w:r w:rsidRPr="00344B2C">
              <w:rPr>
                <w:rFonts w:ascii="Verdana" w:hAnsi="Verdana" w:cs="Arial"/>
                <w:sz w:val="16"/>
                <w:szCs w:val="16"/>
              </w:rPr>
              <w:t>101-148656</w:t>
            </w:r>
          </w:p>
          <w:p w14:paraId="1479C2FB" w14:textId="77777777" w:rsidR="00771BD3" w:rsidRPr="006634FB" w:rsidRDefault="00771BD3" w:rsidP="00F43C56">
            <w:pPr>
              <w:jc w:val="both"/>
              <w:rPr>
                <w:rFonts w:ascii="Verdana" w:hAnsi="Verdana" w:cs="Arial"/>
                <w:sz w:val="16"/>
                <w:szCs w:val="16"/>
              </w:rPr>
            </w:pPr>
            <w:r w:rsidRPr="00344B2C">
              <w:rPr>
                <w:rFonts w:ascii="Verdana" w:hAnsi="Verdana" w:cs="Arial"/>
                <w:sz w:val="16"/>
                <w:szCs w:val="16"/>
              </w:rPr>
              <w:t>3-101-000046</w:t>
            </w:r>
          </w:p>
        </w:tc>
      </w:tr>
    </w:tbl>
    <w:p w14:paraId="2DDDBC01" w14:textId="77777777" w:rsidR="00771BD3" w:rsidRPr="00205C60" w:rsidRDefault="00771BD3" w:rsidP="00771BD3">
      <w:pPr>
        <w:jc w:val="both"/>
        <w:rPr>
          <w:rFonts w:ascii="Verdana" w:hAnsi="Verdana" w:cs="Arial"/>
          <w:color w:val="FF0000"/>
          <w:sz w:val="22"/>
          <w:szCs w:val="22"/>
          <w:lang w:val="es-CR"/>
        </w:rPr>
      </w:pPr>
    </w:p>
    <w:p w14:paraId="2E822E28" w14:textId="77777777" w:rsidR="00771BD3" w:rsidRPr="00205C60" w:rsidRDefault="00771BD3" w:rsidP="00771BD3">
      <w:pPr>
        <w:jc w:val="both"/>
        <w:rPr>
          <w:rFonts w:ascii="Verdana" w:hAnsi="Verdana" w:cs="Arial"/>
          <w:sz w:val="22"/>
          <w:szCs w:val="22"/>
          <w:lang w:val="es-CR"/>
        </w:rPr>
      </w:pPr>
    </w:p>
    <w:p w14:paraId="0569CB11" w14:textId="77777777" w:rsidR="005816DF" w:rsidRPr="00C9375B" w:rsidRDefault="005816DF" w:rsidP="005816DF">
      <w:pPr>
        <w:jc w:val="both"/>
        <w:rPr>
          <w:rFonts w:ascii="Verdana" w:hAnsi="Verdana" w:cs="Arial"/>
          <w:sz w:val="22"/>
          <w:szCs w:val="22"/>
        </w:rPr>
      </w:pPr>
    </w:p>
    <w:p w14:paraId="469FF642" w14:textId="77777777" w:rsidR="005816DF" w:rsidRPr="00205C60" w:rsidRDefault="005816DF" w:rsidP="005816DF">
      <w:pPr>
        <w:jc w:val="both"/>
        <w:rPr>
          <w:rFonts w:ascii="Verdana" w:hAnsi="Verdana" w:cs="Arial"/>
          <w:sz w:val="22"/>
          <w:szCs w:val="22"/>
        </w:rPr>
      </w:pPr>
      <w:r w:rsidRPr="00205C60">
        <w:rPr>
          <w:rFonts w:ascii="Verdana" w:hAnsi="Verdana" w:cs="Arial"/>
          <w:sz w:val="22"/>
          <w:szCs w:val="22"/>
        </w:rPr>
        <w:t>Cabe mencionar, que no existe ninguna relación de parentesco hasta segundo grado, ya sea por afinidad o consanguinidad, entre los miembros del Consejo de Administración, gerencias y personal de nivel ejecutivo.</w:t>
      </w:r>
    </w:p>
    <w:p w14:paraId="01B72CD4" w14:textId="77777777" w:rsidR="005816DF" w:rsidRPr="00205C60" w:rsidRDefault="005816DF" w:rsidP="005816DF">
      <w:pPr>
        <w:rPr>
          <w:rFonts w:ascii="Verdana" w:hAnsi="Verdana" w:cs="Arial"/>
          <w:sz w:val="22"/>
          <w:szCs w:val="22"/>
        </w:rPr>
      </w:pPr>
    </w:p>
    <w:p w14:paraId="6B3F753D" w14:textId="77777777" w:rsidR="005816DF" w:rsidRPr="00205C60" w:rsidRDefault="005816DF" w:rsidP="005816DF">
      <w:pPr>
        <w:jc w:val="both"/>
        <w:rPr>
          <w:rFonts w:ascii="Verdana" w:hAnsi="Verdana" w:cs="Arial"/>
          <w:sz w:val="22"/>
          <w:szCs w:val="22"/>
        </w:rPr>
      </w:pPr>
      <w:r w:rsidRPr="00205C60">
        <w:rPr>
          <w:rFonts w:ascii="Verdana" w:hAnsi="Verdana" w:cs="Arial"/>
          <w:sz w:val="22"/>
          <w:szCs w:val="22"/>
        </w:rPr>
        <w:t>De acuerdo con las explicaciones anteriores, no existe cláusula alguna, que permita a los directivos y personal gerencial, votar en una propuesta en la que tengan interés o posean alguna facultad para votar por una compensación para sí mismos o para cualquier miembro del Consejo de Administración.  Además, es necesario señalar, que no existe ningún contrato de prestación de servicios entre los directivos y la Compañía.</w:t>
      </w:r>
    </w:p>
    <w:p w14:paraId="0265BD4D" w14:textId="470D9477" w:rsidR="001607E8" w:rsidRPr="00205C60" w:rsidRDefault="001607E8" w:rsidP="0054438D">
      <w:pPr>
        <w:jc w:val="both"/>
        <w:rPr>
          <w:rFonts w:ascii="Verdana" w:hAnsi="Verdana" w:cs="Arial"/>
          <w:sz w:val="22"/>
          <w:szCs w:val="22"/>
        </w:rPr>
      </w:pPr>
    </w:p>
    <w:p w14:paraId="6F056864" w14:textId="3D82ADAE" w:rsidR="005816DF" w:rsidRPr="00205C60" w:rsidRDefault="005816DF" w:rsidP="0054438D">
      <w:pPr>
        <w:jc w:val="both"/>
        <w:rPr>
          <w:rFonts w:ascii="Verdana" w:hAnsi="Verdana" w:cs="Arial"/>
          <w:sz w:val="22"/>
          <w:szCs w:val="22"/>
        </w:rPr>
      </w:pPr>
    </w:p>
    <w:p w14:paraId="3CA7F274" w14:textId="77777777" w:rsidR="002937B4" w:rsidRPr="00205C60" w:rsidRDefault="002937B4" w:rsidP="00307E2B">
      <w:pPr>
        <w:numPr>
          <w:ilvl w:val="2"/>
          <w:numId w:val="2"/>
        </w:numPr>
        <w:jc w:val="both"/>
        <w:rPr>
          <w:rFonts w:ascii="Verdana" w:hAnsi="Verdana" w:cs="Arial"/>
          <w:b/>
          <w:sz w:val="22"/>
          <w:szCs w:val="22"/>
        </w:rPr>
      </w:pPr>
      <w:r w:rsidRPr="00205C60">
        <w:rPr>
          <w:rFonts w:ascii="Verdana" w:hAnsi="Verdana" w:cs="Arial"/>
          <w:b/>
          <w:sz w:val="22"/>
          <w:szCs w:val="22"/>
        </w:rPr>
        <w:lastRenderedPageBreak/>
        <w:t>Prácticas de selección de los miembros del Consejo de Administración</w:t>
      </w:r>
    </w:p>
    <w:p w14:paraId="3CA7F275" w14:textId="77777777" w:rsidR="003A4D6F" w:rsidRPr="00205C60" w:rsidRDefault="003A4D6F" w:rsidP="002937B4">
      <w:pPr>
        <w:jc w:val="both"/>
        <w:rPr>
          <w:rFonts w:ascii="Verdana" w:hAnsi="Verdana" w:cs="Arial"/>
          <w:b/>
          <w:sz w:val="22"/>
          <w:szCs w:val="22"/>
        </w:rPr>
      </w:pPr>
    </w:p>
    <w:p w14:paraId="3CA7F276" w14:textId="77777777" w:rsidR="002937B4" w:rsidRPr="00205C60" w:rsidRDefault="002937B4" w:rsidP="002937B4">
      <w:pPr>
        <w:jc w:val="both"/>
        <w:rPr>
          <w:rFonts w:ascii="Verdana" w:hAnsi="Verdana" w:cs="Arial"/>
          <w:sz w:val="22"/>
          <w:szCs w:val="22"/>
        </w:rPr>
      </w:pPr>
      <w:r w:rsidRPr="00205C60">
        <w:rPr>
          <w:rFonts w:ascii="Verdana" w:hAnsi="Verdana" w:cs="Arial"/>
          <w:sz w:val="22"/>
          <w:szCs w:val="22"/>
        </w:rPr>
        <w:t>La Asamblea General de Accionistas es la encargada de elegir a los miembros del Consejo de Administración y dicho Consejo es el que determina el cargo que finalmente ocupa cada persona.</w:t>
      </w:r>
    </w:p>
    <w:p w14:paraId="3CA7F277" w14:textId="77777777" w:rsidR="00E03994" w:rsidRPr="00205C60" w:rsidRDefault="00E03994" w:rsidP="002937B4">
      <w:pPr>
        <w:jc w:val="both"/>
        <w:rPr>
          <w:rFonts w:ascii="Verdana" w:hAnsi="Verdana" w:cs="Arial"/>
          <w:sz w:val="22"/>
          <w:szCs w:val="22"/>
        </w:rPr>
      </w:pPr>
    </w:p>
    <w:p w14:paraId="3CA7F278" w14:textId="1432DABF" w:rsidR="00B44125" w:rsidRPr="00205C60" w:rsidRDefault="00B44125" w:rsidP="003C2297">
      <w:pPr>
        <w:jc w:val="both"/>
        <w:rPr>
          <w:rFonts w:ascii="Verdana" w:hAnsi="Verdana" w:cs="Arial"/>
          <w:sz w:val="22"/>
          <w:szCs w:val="22"/>
        </w:rPr>
      </w:pPr>
      <w:r w:rsidRPr="00205C60">
        <w:rPr>
          <w:rFonts w:ascii="Verdana" w:hAnsi="Verdana" w:cs="Arial"/>
          <w:sz w:val="22"/>
          <w:szCs w:val="22"/>
        </w:rPr>
        <w:t>Adicionalmente se incluye información del equipo gerencial</w:t>
      </w:r>
      <w:r w:rsidR="00F81396" w:rsidRPr="00205C60">
        <w:rPr>
          <w:rFonts w:ascii="Verdana" w:hAnsi="Verdana" w:cs="Arial"/>
          <w:sz w:val="22"/>
          <w:szCs w:val="22"/>
        </w:rPr>
        <w:t xml:space="preserve"> y </w:t>
      </w:r>
      <w:r w:rsidRPr="00205C60">
        <w:rPr>
          <w:rFonts w:ascii="Verdana" w:hAnsi="Verdana" w:cs="Arial"/>
          <w:sz w:val="22"/>
          <w:szCs w:val="22"/>
        </w:rPr>
        <w:t>directores de la Compañía:</w:t>
      </w:r>
    </w:p>
    <w:p w14:paraId="7DFE9831" w14:textId="2B218298" w:rsidR="005816DF" w:rsidRPr="00205C60" w:rsidRDefault="005816DF" w:rsidP="003C2297">
      <w:pPr>
        <w:jc w:val="both"/>
        <w:rPr>
          <w:rFonts w:ascii="Verdana" w:hAnsi="Verdana" w:cs="Arial"/>
          <w:sz w:val="22"/>
          <w:szCs w:val="22"/>
        </w:rPr>
      </w:pPr>
    </w:p>
    <w:p w14:paraId="3F9BBF2F" w14:textId="77777777" w:rsidR="005816DF" w:rsidRPr="00205C60" w:rsidRDefault="005816DF" w:rsidP="003C2297">
      <w:pPr>
        <w:jc w:val="both"/>
        <w:rPr>
          <w:rFonts w:ascii="Verdana" w:hAnsi="Verdana" w:cs="Arial"/>
          <w:sz w:val="22"/>
          <w:szCs w:val="22"/>
        </w:rPr>
      </w:pPr>
    </w:p>
    <w:p w14:paraId="3CA7F279" w14:textId="104D2B5C" w:rsidR="00496CDC" w:rsidRPr="00205C60" w:rsidRDefault="00496CDC">
      <w:pPr>
        <w:jc w:val="both"/>
        <w:rPr>
          <w:rFonts w:ascii="Verdana" w:hAnsi="Verdana" w:cs="Arial"/>
          <w:b/>
          <w:sz w:val="22"/>
          <w:szCs w:val="22"/>
        </w:rPr>
      </w:pPr>
    </w:p>
    <w:p w14:paraId="3CA7F27A" w14:textId="2964F661" w:rsidR="00B44125" w:rsidRPr="00205C60" w:rsidRDefault="0014007F" w:rsidP="00307E2B">
      <w:pPr>
        <w:pStyle w:val="Ttulo2"/>
        <w:numPr>
          <w:ilvl w:val="1"/>
          <w:numId w:val="2"/>
        </w:numPr>
        <w:tabs>
          <w:tab w:val="clear" w:pos="720"/>
          <w:tab w:val="left" w:pos="708"/>
        </w:tabs>
        <w:rPr>
          <w:rFonts w:ascii="Verdana" w:hAnsi="Verdana" w:cs="Arial"/>
          <w:sz w:val="22"/>
          <w:szCs w:val="22"/>
        </w:rPr>
      </w:pPr>
      <w:bookmarkStart w:id="169" w:name="_Toc104529489"/>
      <w:r w:rsidRPr="00205C60">
        <w:rPr>
          <w:rFonts w:ascii="Verdana" w:hAnsi="Verdana" w:cs="Arial"/>
          <w:sz w:val="22"/>
          <w:szCs w:val="22"/>
        </w:rPr>
        <w:t>Personal Gerencial</w:t>
      </w:r>
      <w:bookmarkEnd w:id="169"/>
    </w:p>
    <w:p w14:paraId="214CB89D" w14:textId="77777777" w:rsidR="006C23EB" w:rsidRPr="00205C60" w:rsidRDefault="006C23EB" w:rsidP="006C23EB"/>
    <w:p w14:paraId="3CA7F27D" w14:textId="70EFC92F" w:rsidR="00F22F57" w:rsidRPr="00205C60" w:rsidRDefault="00355D73" w:rsidP="00F22F57">
      <w:pPr>
        <w:jc w:val="both"/>
        <w:rPr>
          <w:rFonts w:ascii="Verdana" w:hAnsi="Verdana" w:cs="Arial"/>
          <w:b/>
          <w:bCs/>
          <w:sz w:val="22"/>
          <w:szCs w:val="22"/>
        </w:rPr>
      </w:pPr>
      <w:r w:rsidRPr="00205C60">
        <w:rPr>
          <w:rFonts w:ascii="Verdana" w:hAnsi="Verdana" w:cs="Arial"/>
          <w:b/>
          <w:bCs/>
          <w:sz w:val="22"/>
          <w:szCs w:val="22"/>
        </w:rPr>
        <w:t>Ing</w:t>
      </w:r>
      <w:r w:rsidR="00F22F57" w:rsidRPr="00205C60">
        <w:rPr>
          <w:rFonts w:ascii="Verdana" w:hAnsi="Verdana" w:cs="Arial"/>
          <w:b/>
          <w:bCs/>
          <w:sz w:val="22"/>
          <w:szCs w:val="22"/>
        </w:rPr>
        <w:t>.</w:t>
      </w:r>
      <w:r w:rsidRPr="00205C60">
        <w:rPr>
          <w:rFonts w:ascii="Verdana" w:hAnsi="Verdana" w:cs="Arial"/>
          <w:b/>
          <w:bCs/>
          <w:sz w:val="22"/>
          <w:szCs w:val="22"/>
        </w:rPr>
        <w:t xml:space="preserve"> José Mario Jara Castro</w:t>
      </w:r>
    </w:p>
    <w:p w14:paraId="3CA7F27E" w14:textId="77777777" w:rsidR="00F22F57" w:rsidRPr="00205C60" w:rsidRDefault="00F22F57" w:rsidP="00882F32">
      <w:pPr>
        <w:pStyle w:val="Prrafodelista"/>
        <w:numPr>
          <w:ilvl w:val="0"/>
          <w:numId w:val="20"/>
        </w:numPr>
        <w:jc w:val="both"/>
        <w:rPr>
          <w:rFonts w:ascii="Verdana" w:hAnsi="Verdana" w:cs="Arial"/>
          <w:sz w:val="22"/>
          <w:szCs w:val="22"/>
        </w:rPr>
      </w:pPr>
      <w:r w:rsidRPr="00205C60">
        <w:rPr>
          <w:rFonts w:ascii="Verdana" w:hAnsi="Verdana" w:cs="Arial"/>
          <w:sz w:val="22"/>
          <w:szCs w:val="22"/>
        </w:rPr>
        <w:t>Gerente General</w:t>
      </w:r>
    </w:p>
    <w:p w14:paraId="3CA7F27F" w14:textId="7C985846" w:rsidR="00F22F57" w:rsidRPr="00205C60" w:rsidRDefault="00F22F57" w:rsidP="00830F7C">
      <w:pPr>
        <w:jc w:val="both"/>
        <w:rPr>
          <w:rFonts w:ascii="Verdana" w:hAnsi="Verdana" w:cs="Arial"/>
          <w:sz w:val="22"/>
          <w:szCs w:val="22"/>
        </w:rPr>
      </w:pPr>
      <w:r w:rsidRPr="00205C60">
        <w:rPr>
          <w:rFonts w:ascii="Verdana" w:hAnsi="Verdana" w:cs="Arial"/>
          <w:sz w:val="22"/>
          <w:szCs w:val="22"/>
        </w:rPr>
        <w:t xml:space="preserve">Nombramiento en propiedad a partir del </w:t>
      </w:r>
      <w:r w:rsidR="00F71E85" w:rsidRPr="00205C60">
        <w:rPr>
          <w:rFonts w:ascii="Verdana" w:hAnsi="Verdana" w:cs="Arial"/>
          <w:sz w:val="22"/>
          <w:szCs w:val="22"/>
        </w:rPr>
        <w:t>01</w:t>
      </w:r>
      <w:r w:rsidRPr="00205C60">
        <w:rPr>
          <w:rFonts w:ascii="Verdana" w:hAnsi="Verdana" w:cs="Arial"/>
          <w:sz w:val="22"/>
          <w:szCs w:val="22"/>
        </w:rPr>
        <w:t>/0</w:t>
      </w:r>
      <w:r w:rsidR="00F71E85" w:rsidRPr="00205C60">
        <w:rPr>
          <w:rFonts w:ascii="Verdana" w:hAnsi="Verdana" w:cs="Arial"/>
          <w:sz w:val="22"/>
          <w:szCs w:val="22"/>
        </w:rPr>
        <w:t>1</w:t>
      </w:r>
      <w:r w:rsidRPr="00205C60">
        <w:rPr>
          <w:rFonts w:ascii="Verdana" w:hAnsi="Verdana" w:cs="Arial"/>
          <w:sz w:val="22"/>
          <w:szCs w:val="22"/>
        </w:rPr>
        <w:t>/20</w:t>
      </w:r>
      <w:r w:rsidR="00F71E85" w:rsidRPr="00205C60">
        <w:rPr>
          <w:rFonts w:ascii="Verdana" w:hAnsi="Verdana" w:cs="Arial"/>
          <w:sz w:val="22"/>
          <w:szCs w:val="22"/>
        </w:rPr>
        <w:t>23</w:t>
      </w:r>
      <w:r w:rsidR="00AD5B87" w:rsidRPr="00205C60">
        <w:rPr>
          <w:rFonts w:ascii="Verdana" w:hAnsi="Verdana" w:cs="Arial"/>
          <w:sz w:val="22"/>
          <w:szCs w:val="22"/>
        </w:rPr>
        <w:t xml:space="preserve"> según sesión 2613 del Consejo de Administración de la CNFL.</w:t>
      </w:r>
    </w:p>
    <w:p w14:paraId="3CA7F280" w14:textId="77777777" w:rsidR="00F22F57" w:rsidRPr="00205C60" w:rsidRDefault="00F22F57" w:rsidP="00882F32">
      <w:pPr>
        <w:pStyle w:val="Prrafodelista"/>
        <w:numPr>
          <w:ilvl w:val="0"/>
          <w:numId w:val="20"/>
        </w:numPr>
        <w:jc w:val="both"/>
        <w:rPr>
          <w:rFonts w:ascii="Verdana" w:hAnsi="Verdana" w:cs="Arial"/>
          <w:sz w:val="22"/>
          <w:szCs w:val="22"/>
        </w:rPr>
      </w:pPr>
      <w:r w:rsidRPr="00205C60">
        <w:rPr>
          <w:rFonts w:ascii="Verdana" w:hAnsi="Verdana" w:cs="Arial"/>
          <w:sz w:val="22"/>
          <w:szCs w:val="22"/>
        </w:rPr>
        <w:t>Poder que ostenta: Apoderado Generalísimo</w:t>
      </w:r>
    </w:p>
    <w:p w14:paraId="3CA7F281" w14:textId="34F19E16" w:rsidR="00F22F57" w:rsidRPr="00205C60" w:rsidRDefault="00F22F57" w:rsidP="00882F32">
      <w:pPr>
        <w:pStyle w:val="Prrafodelista"/>
        <w:numPr>
          <w:ilvl w:val="0"/>
          <w:numId w:val="20"/>
        </w:numPr>
        <w:jc w:val="both"/>
        <w:rPr>
          <w:rFonts w:ascii="Verdana" w:hAnsi="Verdana" w:cs="Arial"/>
          <w:sz w:val="22"/>
          <w:szCs w:val="22"/>
        </w:rPr>
      </w:pPr>
      <w:r w:rsidRPr="00205C60">
        <w:rPr>
          <w:rFonts w:ascii="Verdana" w:hAnsi="Verdana" w:cs="Arial"/>
          <w:sz w:val="22"/>
          <w:szCs w:val="22"/>
        </w:rPr>
        <w:t xml:space="preserve">Nacionalidad: </w:t>
      </w:r>
      <w:r w:rsidR="0099788A" w:rsidRPr="00205C60">
        <w:rPr>
          <w:rFonts w:ascii="Verdana" w:hAnsi="Verdana" w:cs="Arial"/>
          <w:sz w:val="22"/>
          <w:szCs w:val="22"/>
        </w:rPr>
        <w:t>costarricense</w:t>
      </w:r>
    </w:p>
    <w:p w14:paraId="3CA7F282" w14:textId="028D7117" w:rsidR="00F22F57" w:rsidRPr="00205C60" w:rsidRDefault="00F22F57" w:rsidP="00882F32">
      <w:pPr>
        <w:pStyle w:val="Prrafodelista"/>
        <w:numPr>
          <w:ilvl w:val="0"/>
          <w:numId w:val="20"/>
        </w:numPr>
        <w:jc w:val="both"/>
        <w:rPr>
          <w:rFonts w:ascii="Verdana" w:hAnsi="Verdana" w:cs="Arial"/>
          <w:sz w:val="22"/>
          <w:szCs w:val="22"/>
        </w:rPr>
      </w:pPr>
      <w:r w:rsidRPr="00205C60">
        <w:rPr>
          <w:rFonts w:ascii="Verdana" w:hAnsi="Verdana" w:cs="Arial"/>
          <w:sz w:val="22"/>
          <w:szCs w:val="22"/>
        </w:rPr>
        <w:t xml:space="preserve">Fecha de nacimiento: </w:t>
      </w:r>
      <w:r w:rsidR="00AD5B87" w:rsidRPr="00205C60">
        <w:rPr>
          <w:rFonts w:ascii="Verdana" w:hAnsi="Verdana" w:cs="Arial"/>
          <w:sz w:val="22"/>
          <w:szCs w:val="22"/>
        </w:rPr>
        <w:t>07</w:t>
      </w:r>
      <w:r w:rsidRPr="00205C60">
        <w:rPr>
          <w:rFonts w:ascii="Verdana" w:hAnsi="Verdana" w:cs="Arial"/>
          <w:sz w:val="22"/>
          <w:szCs w:val="22"/>
        </w:rPr>
        <w:t>/</w:t>
      </w:r>
      <w:r w:rsidR="00E46141" w:rsidRPr="00205C60">
        <w:rPr>
          <w:rFonts w:ascii="Verdana" w:hAnsi="Verdana" w:cs="Arial"/>
          <w:sz w:val="22"/>
          <w:szCs w:val="22"/>
        </w:rPr>
        <w:t>02</w:t>
      </w:r>
      <w:r w:rsidRPr="00205C60">
        <w:rPr>
          <w:rFonts w:ascii="Verdana" w:hAnsi="Verdana" w:cs="Arial"/>
          <w:sz w:val="22"/>
          <w:szCs w:val="22"/>
        </w:rPr>
        <w:t>/19</w:t>
      </w:r>
      <w:r w:rsidR="00E46141" w:rsidRPr="00205C60">
        <w:rPr>
          <w:rFonts w:ascii="Verdana" w:hAnsi="Verdana" w:cs="Arial"/>
          <w:sz w:val="22"/>
          <w:szCs w:val="22"/>
        </w:rPr>
        <w:t>7</w:t>
      </w:r>
      <w:r w:rsidRPr="00205C60">
        <w:rPr>
          <w:rFonts w:ascii="Verdana" w:hAnsi="Verdana" w:cs="Arial"/>
          <w:sz w:val="22"/>
          <w:szCs w:val="22"/>
        </w:rPr>
        <w:t>8</w:t>
      </w:r>
    </w:p>
    <w:p w14:paraId="3CA7F284" w14:textId="761F3C59" w:rsidR="00F22F57" w:rsidRPr="00205C60" w:rsidRDefault="00F22F57" w:rsidP="00830F7C">
      <w:pPr>
        <w:pStyle w:val="Prrafodelista"/>
        <w:numPr>
          <w:ilvl w:val="0"/>
          <w:numId w:val="20"/>
        </w:numPr>
        <w:jc w:val="both"/>
        <w:rPr>
          <w:rFonts w:ascii="Verdana" w:hAnsi="Verdana" w:cs="Arial"/>
          <w:sz w:val="22"/>
          <w:szCs w:val="22"/>
        </w:rPr>
      </w:pPr>
      <w:r w:rsidRPr="00205C60">
        <w:rPr>
          <w:rFonts w:ascii="Verdana" w:hAnsi="Verdana" w:cs="Arial"/>
          <w:sz w:val="22"/>
          <w:szCs w:val="22"/>
        </w:rPr>
        <w:t>Trayectoria en</w:t>
      </w:r>
      <w:r w:rsidR="00E46141" w:rsidRPr="00205C60">
        <w:rPr>
          <w:rFonts w:ascii="Verdana" w:hAnsi="Verdana" w:cs="Arial"/>
          <w:sz w:val="22"/>
          <w:szCs w:val="22"/>
        </w:rPr>
        <w:t xml:space="preserve"> el sector energético</w:t>
      </w:r>
      <w:r w:rsidRPr="00205C60">
        <w:rPr>
          <w:rFonts w:ascii="Verdana" w:hAnsi="Verdana" w:cs="Arial"/>
          <w:sz w:val="22"/>
          <w:szCs w:val="22"/>
        </w:rPr>
        <w:t xml:space="preserve">: </w:t>
      </w:r>
      <w:r w:rsidR="00E46141" w:rsidRPr="00205C60">
        <w:rPr>
          <w:rFonts w:ascii="Verdana" w:hAnsi="Verdana" w:cs="Arial"/>
          <w:sz w:val="22"/>
          <w:szCs w:val="22"/>
        </w:rPr>
        <w:t>22</w:t>
      </w:r>
      <w:r w:rsidRPr="00205C60">
        <w:rPr>
          <w:rFonts w:ascii="Verdana" w:hAnsi="Verdana" w:cs="Arial"/>
          <w:sz w:val="22"/>
          <w:szCs w:val="22"/>
        </w:rPr>
        <w:t xml:space="preserve"> años</w:t>
      </w:r>
    </w:p>
    <w:p w14:paraId="3CA7F285" w14:textId="5097302B" w:rsidR="00F22F57" w:rsidRPr="00205C60" w:rsidRDefault="00F22F57" w:rsidP="00882F32">
      <w:pPr>
        <w:pStyle w:val="Prrafodelista"/>
        <w:numPr>
          <w:ilvl w:val="0"/>
          <w:numId w:val="20"/>
        </w:numPr>
        <w:jc w:val="both"/>
        <w:rPr>
          <w:rFonts w:ascii="Verdana" w:hAnsi="Verdana" w:cs="Arial"/>
          <w:sz w:val="22"/>
          <w:szCs w:val="22"/>
        </w:rPr>
      </w:pPr>
      <w:r w:rsidRPr="00205C60">
        <w:rPr>
          <w:rFonts w:ascii="Verdana" w:hAnsi="Verdana" w:cs="Arial"/>
          <w:sz w:val="22"/>
          <w:szCs w:val="22"/>
        </w:rPr>
        <w:t>Funciones que desempeña: Es responsable de la planificación, dirección, organización, coordinación y evaluación de la gestión institucional de la C</w:t>
      </w:r>
      <w:r w:rsidR="00A67CEC" w:rsidRPr="00205C60">
        <w:rPr>
          <w:rFonts w:ascii="Verdana" w:hAnsi="Verdana" w:cs="Arial"/>
          <w:sz w:val="22"/>
          <w:szCs w:val="22"/>
        </w:rPr>
        <w:t>NFL</w:t>
      </w:r>
      <w:r w:rsidRPr="00205C60">
        <w:rPr>
          <w:rFonts w:ascii="Verdana" w:hAnsi="Verdana" w:cs="Arial"/>
          <w:sz w:val="22"/>
          <w:szCs w:val="22"/>
        </w:rPr>
        <w:t>, en concordancia con los acuerdos, directrices y políticas emanadas del Consejo de Administración.</w:t>
      </w:r>
    </w:p>
    <w:p w14:paraId="3CA7F286" w14:textId="77777777" w:rsidR="00F22F57" w:rsidRPr="00205C60" w:rsidRDefault="00F22F57" w:rsidP="00F22F57">
      <w:pPr>
        <w:jc w:val="both"/>
        <w:rPr>
          <w:rFonts w:ascii="Verdana" w:hAnsi="Verdana" w:cs="Arial"/>
          <w:b/>
          <w:bCs/>
          <w:sz w:val="22"/>
          <w:szCs w:val="22"/>
          <w:lang w:val="pt-BR"/>
        </w:rPr>
      </w:pPr>
    </w:p>
    <w:p w14:paraId="3CA7F287" w14:textId="77777777" w:rsidR="00F22F57" w:rsidRPr="00205C60" w:rsidRDefault="00F22F57" w:rsidP="00F22F57">
      <w:pPr>
        <w:jc w:val="both"/>
        <w:rPr>
          <w:rFonts w:ascii="Verdana" w:hAnsi="Verdana" w:cs="Arial"/>
          <w:b/>
          <w:bCs/>
          <w:sz w:val="22"/>
          <w:szCs w:val="22"/>
          <w:lang w:val="pt-BR"/>
        </w:rPr>
      </w:pPr>
      <w:r w:rsidRPr="00205C60">
        <w:rPr>
          <w:rFonts w:ascii="Verdana" w:hAnsi="Verdana" w:cs="Arial"/>
          <w:b/>
          <w:bCs/>
          <w:sz w:val="22"/>
          <w:szCs w:val="22"/>
          <w:lang w:val="es-CR"/>
        </w:rPr>
        <w:t>Licda</w:t>
      </w:r>
      <w:r w:rsidR="00A1312F" w:rsidRPr="00205C60">
        <w:rPr>
          <w:rFonts w:ascii="Verdana" w:hAnsi="Verdana" w:cs="Arial"/>
          <w:b/>
          <w:bCs/>
          <w:sz w:val="22"/>
          <w:szCs w:val="22"/>
          <w:lang w:val="pt-BR"/>
        </w:rPr>
        <w:t>. Cora Marina Salazar Valenzuela, MBA</w:t>
      </w:r>
    </w:p>
    <w:p w14:paraId="3CA7F288" w14:textId="77777777" w:rsidR="00F22F57" w:rsidRPr="00205C60" w:rsidRDefault="00F22F57" w:rsidP="00882F32">
      <w:pPr>
        <w:pStyle w:val="Prrafodelista"/>
        <w:numPr>
          <w:ilvl w:val="0"/>
          <w:numId w:val="20"/>
        </w:numPr>
        <w:jc w:val="both"/>
        <w:rPr>
          <w:rFonts w:ascii="Verdana" w:hAnsi="Verdana" w:cs="Arial"/>
          <w:sz w:val="22"/>
          <w:szCs w:val="22"/>
        </w:rPr>
      </w:pPr>
      <w:r w:rsidRPr="00205C60">
        <w:rPr>
          <w:rFonts w:ascii="Verdana" w:hAnsi="Verdana" w:cs="Arial"/>
          <w:sz w:val="22"/>
          <w:szCs w:val="22"/>
        </w:rPr>
        <w:t>Auditoría Interna</w:t>
      </w:r>
    </w:p>
    <w:p w14:paraId="3CA7F289" w14:textId="77777777" w:rsidR="00F22F57" w:rsidRPr="00205C60" w:rsidRDefault="00F22F57" w:rsidP="00882F32">
      <w:pPr>
        <w:pStyle w:val="Prrafodelista"/>
        <w:numPr>
          <w:ilvl w:val="0"/>
          <w:numId w:val="20"/>
        </w:numPr>
        <w:jc w:val="both"/>
        <w:rPr>
          <w:rFonts w:ascii="Verdana" w:hAnsi="Verdana" w:cs="Arial"/>
          <w:sz w:val="22"/>
          <w:szCs w:val="22"/>
        </w:rPr>
      </w:pPr>
      <w:r w:rsidRPr="00205C60">
        <w:rPr>
          <w:rFonts w:ascii="Verdana" w:hAnsi="Verdana" w:cs="Arial"/>
          <w:sz w:val="22"/>
          <w:szCs w:val="22"/>
        </w:rPr>
        <w:t>Nombramiento en propiedad</w:t>
      </w:r>
      <w:r w:rsidR="00A1312F" w:rsidRPr="00205C60">
        <w:rPr>
          <w:rFonts w:ascii="Verdana" w:hAnsi="Verdana" w:cs="Arial"/>
          <w:sz w:val="22"/>
          <w:szCs w:val="22"/>
        </w:rPr>
        <w:t xml:space="preserve"> a partir del 18 de marzo del 2019.</w:t>
      </w:r>
    </w:p>
    <w:p w14:paraId="3CA7F28A" w14:textId="280BFCC6" w:rsidR="00F22F57" w:rsidRPr="00205C60" w:rsidRDefault="00F22F57" w:rsidP="00882F32">
      <w:pPr>
        <w:pStyle w:val="Prrafodelista"/>
        <w:numPr>
          <w:ilvl w:val="0"/>
          <w:numId w:val="20"/>
        </w:numPr>
        <w:jc w:val="both"/>
        <w:rPr>
          <w:rFonts w:ascii="Verdana" w:hAnsi="Verdana" w:cs="Arial"/>
          <w:sz w:val="22"/>
          <w:szCs w:val="22"/>
        </w:rPr>
      </w:pPr>
      <w:r w:rsidRPr="00205C60">
        <w:rPr>
          <w:rFonts w:ascii="Verdana" w:hAnsi="Verdana" w:cs="Arial"/>
          <w:sz w:val="22"/>
          <w:szCs w:val="22"/>
        </w:rPr>
        <w:t xml:space="preserve">Nacionalidad: </w:t>
      </w:r>
      <w:r w:rsidR="0099788A" w:rsidRPr="00205C60">
        <w:rPr>
          <w:rFonts w:ascii="Verdana" w:hAnsi="Verdana" w:cs="Arial"/>
          <w:sz w:val="22"/>
          <w:szCs w:val="22"/>
        </w:rPr>
        <w:t>costarricense</w:t>
      </w:r>
    </w:p>
    <w:p w14:paraId="3CA7F28B" w14:textId="77777777" w:rsidR="00F22F57" w:rsidRPr="00205C60" w:rsidRDefault="00F22F57" w:rsidP="00882F32">
      <w:pPr>
        <w:pStyle w:val="Prrafodelista"/>
        <w:numPr>
          <w:ilvl w:val="0"/>
          <w:numId w:val="20"/>
        </w:numPr>
        <w:jc w:val="both"/>
        <w:rPr>
          <w:rFonts w:ascii="Verdana" w:hAnsi="Verdana" w:cs="Arial"/>
          <w:sz w:val="22"/>
          <w:szCs w:val="22"/>
        </w:rPr>
      </w:pPr>
      <w:r w:rsidRPr="00205C60">
        <w:rPr>
          <w:rFonts w:ascii="Verdana" w:hAnsi="Verdana" w:cs="Arial"/>
          <w:sz w:val="22"/>
          <w:szCs w:val="22"/>
        </w:rPr>
        <w:t xml:space="preserve">Fecha de nacimiento: </w:t>
      </w:r>
      <w:r w:rsidR="00A1312F" w:rsidRPr="00205C60">
        <w:rPr>
          <w:rFonts w:ascii="Verdana" w:hAnsi="Verdana" w:cs="Arial"/>
          <w:sz w:val="22"/>
          <w:szCs w:val="22"/>
        </w:rPr>
        <w:t>0</w:t>
      </w:r>
      <w:r w:rsidRPr="00205C60">
        <w:rPr>
          <w:rFonts w:ascii="Verdana" w:hAnsi="Verdana" w:cs="Arial"/>
          <w:sz w:val="22"/>
          <w:szCs w:val="22"/>
        </w:rPr>
        <w:t>4/0</w:t>
      </w:r>
      <w:r w:rsidR="00A1312F" w:rsidRPr="00205C60">
        <w:rPr>
          <w:rFonts w:ascii="Verdana" w:hAnsi="Verdana" w:cs="Arial"/>
          <w:sz w:val="22"/>
          <w:szCs w:val="22"/>
        </w:rPr>
        <w:t>8</w:t>
      </w:r>
      <w:r w:rsidRPr="00205C60">
        <w:rPr>
          <w:rFonts w:ascii="Verdana" w:hAnsi="Verdana" w:cs="Arial"/>
          <w:sz w:val="22"/>
          <w:szCs w:val="22"/>
        </w:rPr>
        <w:t>/19</w:t>
      </w:r>
      <w:r w:rsidR="00A1312F" w:rsidRPr="00205C60">
        <w:rPr>
          <w:rFonts w:ascii="Verdana" w:hAnsi="Verdana" w:cs="Arial"/>
          <w:sz w:val="22"/>
          <w:szCs w:val="22"/>
        </w:rPr>
        <w:t>68</w:t>
      </w:r>
    </w:p>
    <w:p w14:paraId="3CA7F28C" w14:textId="38AA10A1" w:rsidR="00F22F57" w:rsidRPr="00205C60" w:rsidRDefault="00F22F57" w:rsidP="00882F32">
      <w:pPr>
        <w:pStyle w:val="Prrafodelista"/>
        <w:numPr>
          <w:ilvl w:val="0"/>
          <w:numId w:val="20"/>
        </w:numPr>
        <w:jc w:val="both"/>
        <w:rPr>
          <w:rFonts w:ascii="Verdana" w:hAnsi="Verdana" w:cs="Arial"/>
          <w:sz w:val="22"/>
          <w:szCs w:val="22"/>
        </w:rPr>
      </w:pPr>
      <w:r w:rsidRPr="00205C60">
        <w:rPr>
          <w:rFonts w:ascii="Verdana" w:hAnsi="Verdana" w:cs="Arial"/>
          <w:sz w:val="22"/>
          <w:szCs w:val="22"/>
        </w:rPr>
        <w:t>Trayectoria e</w:t>
      </w:r>
      <w:r w:rsidR="00D22D21" w:rsidRPr="00205C60">
        <w:rPr>
          <w:rFonts w:ascii="Verdana" w:hAnsi="Verdana" w:cs="Arial"/>
          <w:sz w:val="22"/>
          <w:szCs w:val="22"/>
        </w:rPr>
        <w:t xml:space="preserve">n la Empresa: </w:t>
      </w:r>
      <w:r w:rsidR="008E553F" w:rsidRPr="00205C60">
        <w:rPr>
          <w:rFonts w:ascii="Verdana" w:hAnsi="Verdana" w:cs="Arial"/>
          <w:sz w:val="22"/>
          <w:szCs w:val="22"/>
        </w:rPr>
        <w:t>3</w:t>
      </w:r>
      <w:r w:rsidR="0058777A" w:rsidRPr="00205C60">
        <w:rPr>
          <w:rFonts w:ascii="Verdana" w:hAnsi="Verdana" w:cs="Arial"/>
          <w:sz w:val="22"/>
          <w:szCs w:val="22"/>
        </w:rPr>
        <w:t>2</w:t>
      </w:r>
      <w:r w:rsidR="00171BBB" w:rsidRPr="00205C60">
        <w:rPr>
          <w:rFonts w:ascii="Verdana" w:hAnsi="Verdana" w:cs="Arial"/>
          <w:sz w:val="22"/>
          <w:szCs w:val="22"/>
        </w:rPr>
        <w:t xml:space="preserve"> </w:t>
      </w:r>
      <w:r w:rsidR="00D22D21" w:rsidRPr="00205C60">
        <w:rPr>
          <w:rFonts w:ascii="Verdana" w:hAnsi="Verdana" w:cs="Arial"/>
          <w:sz w:val="22"/>
          <w:szCs w:val="22"/>
        </w:rPr>
        <w:t>año</w:t>
      </w:r>
      <w:r w:rsidR="00171BBB" w:rsidRPr="00205C60">
        <w:rPr>
          <w:rFonts w:ascii="Verdana" w:hAnsi="Verdana" w:cs="Arial"/>
          <w:sz w:val="22"/>
          <w:szCs w:val="22"/>
        </w:rPr>
        <w:t>s</w:t>
      </w:r>
    </w:p>
    <w:p w14:paraId="3CA7F28D" w14:textId="538A1A06" w:rsidR="00F22F57" w:rsidRPr="00205C60" w:rsidRDefault="00F22F57" w:rsidP="00882F32">
      <w:pPr>
        <w:pStyle w:val="Prrafodelista"/>
        <w:numPr>
          <w:ilvl w:val="0"/>
          <w:numId w:val="20"/>
        </w:numPr>
        <w:jc w:val="both"/>
        <w:rPr>
          <w:rFonts w:ascii="Verdana" w:hAnsi="Verdana" w:cs="Arial"/>
          <w:sz w:val="22"/>
          <w:szCs w:val="22"/>
        </w:rPr>
      </w:pPr>
      <w:r w:rsidRPr="00205C60">
        <w:rPr>
          <w:rFonts w:ascii="Verdana" w:hAnsi="Verdana" w:cs="Arial"/>
          <w:sz w:val="22"/>
          <w:szCs w:val="22"/>
        </w:rPr>
        <w:t xml:space="preserve">Experiencia laboral en el área </w:t>
      </w:r>
      <w:r w:rsidR="00106A25" w:rsidRPr="00205C60">
        <w:rPr>
          <w:rFonts w:ascii="Verdana" w:hAnsi="Verdana" w:cs="Arial"/>
          <w:sz w:val="22"/>
          <w:szCs w:val="22"/>
        </w:rPr>
        <w:t xml:space="preserve">de auditoría: </w:t>
      </w:r>
      <w:r w:rsidR="00A1312F" w:rsidRPr="00205C60">
        <w:rPr>
          <w:rFonts w:ascii="Verdana" w:hAnsi="Verdana" w:cs="Arial"/>
          <w:sz w:val="22"/>
          <w:szCs w:val="22"/>
        </w:rPr>
        <w:t>1</w:t>
      </w:r>
      <w:r w:rsidR="0065302D" w:rsidRPr="00205C60">
        <w:rPr>
          <w:rFonts w:ascii="Verdana" w:hAnsi="Verdana" w:cs="Arial"/>
          <w:sz w:val="22"/>
          <w:szCs w:val="22"/>
        </w:rPr>
        <w:t>9</w:t>
      </w:r>
      <w:r w:rsidR="00F54FC6" w:rsidRPr="00205C60">
        <w:rPr>
          <w:rFonts w:ascii="Verdana" w:hAnsi="Verdana" w:cs="Arial"/>
          <w:sz w:val="22"/>
          <w:szCs w:val="22"/>
        </w:rPr>
        <w:t xml:space="preserve"> </w:t>
      </w:r>
      <w:r w:rsidR="00106A25" w:rsidRPr="00205C60">
        <w:rPr>
          <w:rFonts w:ascii="Verdana" w:hAnsi="Verdana" w:cs="Arial"/>
          <w:sz w:val="22"/>
          <w:szCs w:val="22"/>
        </w:rPr>
        <w:t>año</w:t>
      </w:r>
      <w:r w:rsidR="0025325C" w:rsidRPr="00205C60">
        <w:rPr>
          <w:rFonts w:ascii="Verdana" w:hAnsi="Verdana" w:cs="Arial"/>
          <w:sz w:val="22"/>
          <w:szCs w:val="22"/>
        </w:rPr>
        <w:t>s</w:t>
      </w:r>
    </w:p>
    <w:p w14:paraId="3CA7F28E" w14:textId="77777777" w:rsidR="00F22F57" w:rsidRPr="00205C60" w:rsidRDefault="00F22F57" w:rsidP="00882F32">
      <w:pPr>
        <w:pStyle w:val="Prrafodelista"/>
        <w:numPr>
          <w:ilvl w:val="0"/>
          <w:numId w:val="20"/>
        </w:numPr>
        <w:jc w:val="both"/>
        <w:rPr>
          <w:rFonts w:ascii="Verdana" w:hAnsi="Verdana" w:cs="Arial"/>
          <w:sz w:val="22"/>
          <w:szCs w:val="22"/>
        </w:rPr>
      </w:pPr>
      <w:r w:rsidRPr="00205C60">
        <w:rPr>
          <w:rFonts w:ascii="Verdana" w:hAnsi="Verdana" w:cs="Arial"/>
          <w:sz w:val="22"/>
          <w:szCs w:val="22"/>
        </w:rPr>
        <w:t>El cargo cumple con los requisitos y funciones planteados en los artículos 21, 22, 29, 30, 32 y 33 de la Ley General de Control Interno.</w:t>
      </w:r>
    </w:p>
    <w:p w14:paraId="3CA7F290" w14:textId="1E754B42" w:rsidR="003E6180" w:rsidRPr="00205C60" w:rsidRDefault="003E6180" w:rsidP="00F22F57">
      <w:pPr>
        <w:jc w:val="both"/>
        <w:rPr>
          <w:rFonts w:ascii="Verdana" w:hAnsi="Verdana" w:cs="Arial"/>
          <w:b/>
          <w:bCs/>
          <w:color w:val="000000"/>
          <w:sz w:val="22"/>
          <w:szCs w:val="22"/>
        </w:rPr>
      </w:pPr>
    </w:p>
    <w:p w14:paraId="3CA7F291" w14:textId="77777777" w:rsidR="00F22F57" w:rsidRPr="00205C60" w:rsidRDefault="007627C2" w:rsidP="00F22F57">
      <w:pPr>
        <w:jc w:val="both"/>
        <w:rPr>
          <w:rFonts w:ascii="Verdana" w:hAnsi="Verdana" w:cs="Arial"/>
          <w:b/>
          <w:bCs/>
          <w:sz w:val="22"/>
          <w:szCs w:val="22"/>
        </w:rPr>
      </w:pPr>
      <w:r w:rsidRPr="00205C60">
        <w:rPr>
          <w:rFonts w:ascii="Verdana" w:hAnsi="Verdana" w:cs="Arial"/>
          <w:b/>
          <w:bCs/>
          <w:sz w:val="22"/>
          <w:szCs w:val="22"/>
        </w:rPr>
        <w:t>Lic. Guillermo Sánchez Williams</w:t>
      </w:r>
    </w:p>
    <w:p w14:paraId="3CA7F292" w14:textId="77777777" w:rsidR="00F22F57" w:rsidRPr="00205C60" w:rsidRDefault="007F3E2B" w:rsidP="00882F32">
      <w:pPr>
        <w:pStyle w:val="Prrafodelista"/>
        <w:numPr>
          <w:ilvl w:val="0"/>
          <w:numId w:val="20"/>
        </w:numPr>
        <w:jc w:val="both"/>
        <w:rPr>
          <w:rFonts w:ascii="Verdana" w:hAnsi="Verdana" w:cs="Arial"/>
          <w:sz w:val="22"/>
          <w:szCs w:val="22"/>
        </w:rPr>
      </w:pPr>
      <w:r w:rsidRPr="00205C60">
        <w:rPr>
          <w:rFonts w:ascii="Verdana" w:hAnsi="Verdana" w:cs="Arial"/>
          <w:sz w:val="22"/>
          <w:szCs w:val="22"/>
        </w:rPr>
        <w:t>Director Jurídico Empresarial</w:t>
      </w:r>
    </w:p>
    <w:p w14:paraId="3CA7F293" w14:textId="77777777" w:rsidR="007F3E2B" w:rsidRPr="00205C60" w:rsidRDefault="00F22F57" w:rsidP="00882F32">
      <w:pPr>
        <w:numPr>
          <w:ilvl w:val="0"/>
          <w:numId w:val="33"/>
        </w:numPr>
        <w:rPr>
          <w:rFonts w:ascii="Verdana" w:eastAsia="Calibri" w:hAnsi="Verdana"/>
          <w:sz w:val="22"/>
          <w:szCs w:val="22"/>
        </w:rPr>
      </w:pPr>
      <w:r w:rsidRPr="00205C60">
        <w:rPr>
          <w:rFonts w:ascii="Verdana" w:hAnsi="Verdana" w:cs="Arial"/>
          <w:sz w:val="22"/>
          <w:szCs w:val="22"/>
        </w:rPr>
        <w:t xml:space="preserve">Nombramiento </w:t>
      </w:r>
      <w:r w:rsidR="007F3E2B" w:rsidRPr="00205C60">
        <w:rPr>
          <w:rFonts w:ascii="Verdana" w:hAnsi="Verdana" w:cs="Arial"/>
          <w:sz w:val="22"/>
          <w:szCs w:val="22"/>
        </w:rPr>
        <w:t>c</w:t>
      </w:r>
      <w:r w:rsidR="007F3E2B" w:rsidRPr="00205C60">
        <w:rPr>
          <w:rFonts w:ascii="Verdana" w:eastAsia="Calibri" w:hAnsi="Verdana" w:cs="Arial"/>
          <w:sz w:val="22"/>
          <w:szCs w:val="22"/>
        </w:rPr>
        <w:t xml:space="preserve">on ascenso </w:t>
      </w:r>
      <w:r w:rsidR="00814D18" w:rsidRPr="00205C60">
        <w:rPr>
          <w:rFonts w:ascii="Verdana" w:eastAsia="Calibri" w:hAnsi="Verdana" w:cs="Arial"/>
          <w:sz w:val="22"/>
          <w:szCs w:val="22"/>
        </w:rPr>
        <w:t xml:space="preserve">fijo </w:t>
      </w:r>
      <w:r w:rsidR="007F3E2B" w:rsidRPr="00205C60">
        <w:rPr>
          <w:rFonts w:ascii="Verdana" w:eastAsia="Calibri" w:hAnsi="Verdana" w:cs="Arial"/>
          <w:sz w:val="22"/>
          <w:szCs w:val="22"/>
        </w:rPr>
        <w:t>desde el 1</w:t>
      </w:r>
      <w:r w:rsidR="00814D18" w:rsidRPr="00205C60">
        <w:rPr>
          <w:rFonts w:ascii="Verdana" w:eastAsia="Calibri" w:hAnsi="Verdana" w:cs="Arial"/>
          <w:sz w:val="22"/>
          <w:szCs w:val="22"/>
        </w:rPr>
        <w:t>º d</w:t>
      </w:r>
      <w:r w:rsidR="007F3E2B" w:rsidRPr="00205C60">
        <w:rPr>
          <w:rFonts w:ascii="Verdana" w:eastAsia="Calibri" w:hAnsi="Verdana" w:cs="Arial"/>
          <w:sz w:val="22"/>
          <w:szCs w:val="22"/>
        </w:rPr>
        <w:t xml:space="preserve">e </w:t>
      </w:r>
      <w:r w:rsidR="00814D18" w:rsidRPr="00205C60">
        <w:rPr>
          <w:rFonts w:ascii="Verdana" w:eastAsia="Calibri" w:hAnsi="Verdana" w:cs="Arial"/>
          <w:sz w:val="22"/>
          <w:szCs w:val="22"/>
        </w:rPr>
        <w:t>junio</w:t>
      </w:r>
      <w:r w:rsidR="007F3E2B" w:rsidRPr="00205C60">
        <w:rPr>
          <w:rFonts w:ascii="Verdana" w:eastAsia="Calibri" w:hAnsi="Verdana" w:cs="Arial"/>
          <w:sz w:val="22"/>
          <w:szCs w:val="22"/>
        </w:rPr>
        <w:t xml:space="preserve"> del 201</w:t>
      </w:r>
      <w:r w:rsidR="00814D18" w:rsidRPr="00205C60">
        <w:rPr>
          <w:rFonts w:ascii="Verdana" w:eastAsia="Calibri" w:hAnsi="Verdana" w:cs="Arial"/>
          <w:sz w:val="22"/>
          <w:szCs w:val="22"/>
        </w:rPr>
        <w:t>7</w:t>
      </w:r>
    </w:p>
    <w:p w14:paraId="3CA7F294" w14:textId="77777777" w:rsidR="00F22F57" w:rsidRPr="00205C60" w:rsidRDefault="00F22F57" w:rsidP="00882F32">
      <w:pPr>
        <w:pStyle w:val="Prrafodelista"/>
        <w:numPr>
          <w:ilvl w:val="0"/>
          <w:numId w:val="20"/>
        </w:numPr>
        <w:jc w:val="both"/>
        <w:rPr>
          <w:rFonts w:ascii="Verdana" w:hAnsi="Verdana" w:cs="Arial"/>
          <w:sz w:val="22"/>
          <w:szCs w:val="22"/>
        </w:rPr>
      </w:pPr>
      <w:r w:rsidRPr="00205C60">
        <w:rPr>
          <w:rFonts w:ascii="Verdana" w:hAnsi="Verdana" w:cs="Arial"/>
          <w:sz w:val="22"/>
          <w:szCs w:val="22"/>
        </w:rPr>
        <w:t>Poder que ostenta: Apoderado General Judicial</w:t>
      </w:r>
    </w:p>
    <w:p w14:paraId="3CA7F295" w14:textId="27B88F2E" w:rsidR="00F22F57" w:rsidRPr="00205C60" w:rsidRDefault="00F22F57" w:rsidP="00882F32">
      <w:pPr>
        <w:pStyle w:val="Prrafodelista"/>
        <w:numPr>
          <w:ilvl w:val="0"/>
          <w:numId w:val="20"/>
        </w:numPr>
        <w:jc w:val="both"/>
        <w:rPr>
          <w:rFonts w:ascii="Verdana" w:hAnsi="Verdana" w:cs="Arial"/>
          <w:sz w:val="22"/>
          <w:szCs w:val="22"/>
        </w:rPr>
      </w:pPr>
      <w:r w:rsidRPr="00205C60">
        <w:rPr>
          <w:rFonts w:ascii="Verdana" w:hAnsi="Verdana" w:cs="Arial"/>
          <w:sz w:val="22"/>
          <w:szCs w:val="22"/>
        </w:rPr>
        <w:t xml:space="preserve">Nacionalidad: </w:t>
      </w:r>
      <w:r w:rsidR="00E22E20" w:rsidRPr="00205C60">
        <w:rPr>
          <w:rFonts w:ascii="Verdana" w:hAnsi="Verdana" w:cs="Arial"/>
          <w:sz w:val="22"/>
          <w:szCs w:val="22"/>
        </w:rPr>
        <w:t>costarricense</w:t>
      </w:r>
    </w:p>
    <w:p w14:paraId="3CA7F296" w14:textId="77777777" w:rsidR="00F22F57" w:rsidRPr="00205C60" w:rsidRDefault="00F22F57" w:rsidP="00882F32">
      <w:pPr>
        <w:pStyle w:val="Prrafodelista"/>
        <w:numPr>
          <w:ilvl w:val="0"/>
          <w:numId w:val="20"/>
        </w:numPr>
        <w:jc w:val="both"/>
        <w:rPr>
          <w:rFonts w:ascii="Verdana" w:hAnsi="Verdana" w:cs="Arial"/>
          <w:sz w:val="22"/>
          <w:szCs w:val="22"/>
        </w:rPr>
      </w:pPr>
      <w:r w:rsidRPr="00205C60">
        <w:rPr>
          <w:rFonts w:ascii="Verdana" w:hAnsi="Verdana" w:cs="Arial"/>
          <w:sz w:val="22"/>
          <w:szCs w:val="22"/>
        </w:rPr>
        <w:t>Fecha de nacimiento: </w:t>
      </w:r>
      <w:r w:rsidR="007F3E2B" w:rsidRPr="00205C60">
        <w:rPr>
          <w:rFonts w:ascii="Verdana" w:hAnsi="Verdana" w:cs="Arial"/>
          <w:sz w:val="22"/>
          <w:szCs w:val="22"/>
        </w:rPr>
        <w:t>02/04/1974</w:t>
      </w:r>
    </w:p>
    <w:p w14:paraId="3CA7F297" w14:textId="6C43BA74" w:rsidR="00F22F57" w:rsidRPr="00205C60" w:rsidRDefault="00F22F57" w:rsidP="00882F32">
      <w:pPr>
        <w:pStyle w:val="Prrafodelista"/>
        <w:numPr>
          <w:ilvl w:val="0"/>
          <w:numId w:val="20"/>
        </w:numPr>
        <w:jc w:val="both"/>
        <w:rPr>
          <w:rFonts w:ascii="Verdana" w:hAnsi="Verdana" w:cs="Arial"/>
          <w:sz w:val="22"/>
          <w:szCs w:val="22"/>
        </w:rPr>
      </w:pPr>
      <w:r w:rsidRPr="00205C60">
        <w:rPr>
          <w:rFonts w:ascii="Verdana" w:hAnsi="Verdana" w:cs="Arial"/>
          <w:sz w:val="22"/>
          <w:szCs w:val="22"/>
        </w:rPr>
        <w:t>Trayectoria en el Grupo ICE: 2</w:t>
      </w:r>
      <w:r w:rsidR="0065302D" w:rsidRPr="00205C60">
        <w:rPr>
          <w:rFonts w:ascii="Verdana" w:hAnsi="Verdana" w:cs="Arial"/>
          <w:sz w:val="22"/>
          <w:szCs w:val="22"/>
        </w:rPr>
        <w:t>7</w:t>
      </w:r>
      <w:r w:rsidRPr="00205C60">
        <w:rPr>
          <w:rFonts w:ascii="Verdana" w:hAnsi="Verdana" w:cs="Arial"/>
          <w:sz w:val="22"/>
          <w:szCs w:val="22"/>
        </w:rPr>
        <w:t xml:space="preserve"> años</w:t>
      </w:r>
    </w:p>
    <w:p w14:paraId="3CA7F298" w14:textId="3A325F23" w:rsidR="00F22F57" w:rsidRPr="00205C60" w:rsidRDefault="00F22F57" w:rsidP="00882F32">
      <w:pPr>
        <w:pStyle w:val="Prrafodelista"/>
        <w:numPr>
          <w:ilvl w:val="0"/>
          <w:numId w:val="20"/>
        </w:numPr>
        <w:jc w:val="both"/>
        <w:rPr>
          <w:rFonts w:ascii="Verdana" w:hAnsi="Verdana" w:cs="Arial"/>
          <w:sz w:val="22"/>
          <w:szCs w:val="22"/>
        </w:rPr>
      </w:pPr>
      <w:r w:rsidRPr="00205C60">
        <w:rPr>
          <w:rFonts w:ascii="Verdana" w:hAnsi="Verdana" w:cs="Arial"/>
          <w:sz w:val="22"/>
          <w:szCs w:val="22"/>
        </w:rPr>
        <w:t>Experiencia laboral en el área</w:t>
      </w:r>
      <w:r w:rsidR="00D22D21" w:rsidRPr="00205C60">
        <w:rPr>
          <w:rFonts w:ascii="Verdana" w:hAnsi="Verdana" w:cs="Arial"/>
          <w:sz w:val="22"/>
          <w:szCs w:val="22"/>
        </w:rPr>
        <w:t xml:space="preserve"> legal</w:t>
      </w:r>
      <w:r w:rsidR="0025325C" w:rsidRPr="00205C60">
        <w:rPr>
          <w:rFonts w:ascii="Verdana" w:hAnsi="Verdana" w:cs="Arial"/>
          <w:sz w:val="22"/>
          <w:szCs w:val="22"/>
        </w:rPr>
        <w:t xml:space="preserve"> de la CNFL</w:t>
      </w:r>
      <w:r w:rsidR="00D22D21" w:rsidRPr="00205C60">
        <w:rPr>
          <w:rFonts w:ascii="Verdana" w:hAnsi="Verdana" w:cs="Arial"/>
          <w:sz w:val="22"/>
          <w:szCs w:val="22"/>
        </w:rPr>
        <w:t>: 2</w:t>
      </w:r>
      <w:r w:rsidR="0065302D" w:rsidRPr="00205C60">
        <w:rPr>
          <w:rFonts w:ascii="Verdana" w:hAnsi="Verdana" w:cs="Arial"/>
          <w:sz w:val="22"/>
          <w:szCs w:val="22"/>
        </w:rPr>
        <w:t>7</w:t>
      </w:r>
      <w:r w:rsidR="00D22D21" w:rsidRPr="00205C60">
        <w:rPr>
          <w:rFonts w:ascii="Verdana" w:hAnsi="Verdana" w:cs="Arial"/>
          <w:sz w:val="22"/>
          <w:szCs w:val="22"/>
        </w:rPr>
        <w:t xml:space="preserve"> años</w:t>
      </w:r>
    </w:p>
    <w:p w14:paraId="3CA7F299" w14:textId="77777777" w:rsidR="00F22F57" w:rsidRPr="00205C60" w:rsidRDefault="00F22F57" w:rsidP="00882F32">
      <w:pPr>
        <w:pStyle w:val="Prrafodelista"/>
        <w:numPr>
          <w:ilvl w:val="0"/>
          <w:numId w:val="20"/>
        </w:numPr>
        <w:jc w:val="both"/>
        <w:rPr>
          <w:rFonts w:ascii="Verdana" w:hAnsi="Verdana" w:cs="Arial"/>
          <w:sz w:val="22"/>
          <w:szCs w:val="22"/>
        </w:rPr>
      </w:pPr>
      <w:r w:rsidRPr="00205C60">
        <w:rPr>
          <w:rFonts w:ascii="Verdana" w:hAnsi="Verdana" w:cs="Arial"/>
          <w:sz w:val="22"/>
          <w:szCs w:val="22"/>
        </w:rPr>
        <w:t>Funciones que desempeña: Planeamiento, organización, programación, dirección, coordinación, control, formulación y supervisión de actividades profesionales, técnicas, científicas y administrativas del más alto grado de dificultad del sistema estratégico de la Asesoría Jurídica Empresarial.</w:t>
      </w:r>
    </w:p>
    <w:p w14:paraId="3CA7F29A" w14:textId="4871F5D0" w:rsidR="0003506E" w:rsidRPr="00205C60" w:rsidRDefault="0003506E" w:rsidP="00CE0622">
      <w:pPr>
        <w:pStyle w:val="Prrafodelista"/>
        <w:ind w:left="360"/>
        <w:jc w:val="both"/>
        <w:rPr>
          <w:rFonts w:ascii="Verdana" w:hAnsi="Verdana" w:cs="Arial"/>
          <w:color w:val="000080"/>
          <w:sz w:val="22"/>
          <w:szCs w:val="22"/>
        </w:rPr>
      </w:pPr>
    </w:p>
    <w:p w14:paraId="7C54C34D" w14:textId="77777777" w:rsidR="007C63AE" w:rsidRPr="00205C60" w:rsidRDefault="007C63AE" w:rsidP="00CE0622">
      <w:pPr>
        <w:pStyle w:val="Prrafodelista"/>
        <w:ind w:left="360"/>
        <w:jc w:val="both"/>
        <w:rPr>
          <w:rFonts w:ascii="Verdana" w:hAnsi="Verdana" w:cs="Arial"/>
          <w:color w:val="000080"/>
          <w:sz w:val="22"/>
          <w:szCs w:val="22"/>
        </w:rPr>
      </w:pPr>
    </w:p>
    <w:p w14:paraId="3CA7F29B" w14:textId="77777777" w:rsidR="00F22F57" w:rsidRPr="00205C60" w:rsidRDefault="00F22F57" w:rsidP="00F22F57">
      <w:pPr>
        <w:jc w:val="both"/>
        <w:rPr>
          <w:rFonts w:ascii="Verdana" w:hAnsi="Verdana" w:cs="Arial"/>
          <w:b/>
          <w:bCs/>
          <w:sz w:val="22"/>
          <w:szCs w:val="22"/>
        </w:rPr>
      </w:pPr>
      <w:r w:rsidRPr="00205C60">
        <w:rPr>
          <w:rFonts w:ascii="Verdana" w:hAnsi="Verdana" w:cs="Arial"/>
          <w:b/>
          <w:bCs/>
          <w:sz w:val="22"/>
          <w:szCs w:val="22"/>
        </w:rPr>
        <w:t>Directores internos</w:t>
      </w:r>
    </w:p>
    <w:p w14:paraId="3CA7F29C" w14:textId="77777777" w:rsidR="00F22F57" w:rsidRPr="00205C60" w:rsidRDefault="00F22F57" w:rsidP="00F22F57">
      <w:pPr>
        <w:jc w:val="both"/>
        <w:rPr>
          <w:rFonts w:ascii="Verdana" w:hAnsi="Verdana" w:cs="Arial"/>
          <w:sz w:val="22"/>
          <w:szCs w:val="22"/>
        </w:rPr>
      </w:pPr>
    </w:p>
    <w:p w14:paraId="3CA7F29D" w14:textId="77777777" w:rsidR="00F22F57" w:rsidRPr="00205C60" w:rsidRDefault="00F22F57" w:rsidP="00F22F57">
      <w:pPr>
        <w:jc w:val="both"/>
        <w:rPr>
          <w:rFonts w:ascii="Verdana" w:hAnsi="Verdana" w:cs="Arial"/>
          <w:b/>
          <w:bCs/>
          <w:sz w:val="22"/>
          <w:szCs w:val="22"/>
        </w:rPr>
      </w:pPr>
      <w:r w:rsidRPr="00205C60">
        <w:rPr>
          <w:rFonts w:ascii="Verdana" w:hAnsi="Verdana" w:cs="Arial"/>
          <w:b/>
          <w:bCs/>
          <w:sz w:val="22"/>
          <w:szCs w:val="22"/>
        </w:rPr>
        <w:t>Ing. Luis Andrés Jácome</w:t>
      </w:r>
    </w:p>
    <w:p w14:paraId="3CA7F29E" w14:textId="77777777" w:rsidR="00F22F57" w:rsidRPr="00205C60" w:rsidRDefault="00F22F57" w:rsidP="00882F32">
      <w:pPr>
        <w:pStyle w:val="Prrafodelista"/>
        <w:numPr>
          <w:ilvl w:val="0"/>
          <w:numId w:val="20"/>
        </w:numPr>
        <w:jc w:val="both"/>
        <w:rPr>
          <w:rFonts w:ascii="Verdana" w:hAnsi="Verdana" w:cs="Arial"/>
          <w:sz w:val="22"/>
          <w:szCs w:val="22"/>
        </w:rPr>
      </w:pPr>
      <w:r w:rsidRPr="00205C60">
        <w:rPr>
          <w:rFonts w:ascii="Verdana" w:hAnsi="Verdana" w:cs="Arial"/>
          <w:sz w:val="22"/>
          <w:szCs w:val="22"/>
        </w:rPr>
        <w:t>Dirección Distribución de la Energía</w:t>
      </w:r>
    </w:p>
    <w:p w14:paraId="3CA7F29F" w14:textId="77777777" w:rsidR="00F22F57" w:rsidRPr="00205C60" w:rsidRDefault="00F22F57" w:rsidP="00882F32">
      <w:pPr>
        <w:pStyle w:val="Prrafodelista"/>
        <w:numPr>
          <w:ilvl w:val="0"/>
          <w:numId w:val="20"/>
        </w:numPr>
        <w:jc w:val="both"/>
        <w:rPr>
          <w:rFonts w:ascii="Verdana" w:hAnsi="Verdana" w:cs="Arial"/>
          <w:sz w:val="22"/>
          <w:szCs w:val="22"/>
        </w:rPr>
      </w:pPr>
      <w:r w:rsidRPr="00205C60">
        <w:rPr>
          <w:rFonts w:ascii="Verdana" w:hAnsi="Verdana" w:cs="Arial"/>
          <w:sz w:val="22"/>
          <w:szCs w:val="22"/>
        </w:rPr>
        <w:t xml:space="preserve">Nombramiento </w:t>
      </w:r>
      <w:r w:rsidR="007F2334" w:rsidRPr="00205C60">
        <w:rPr>
          <w:rFonts w:ascii="Verdana" w:hAnsi="Verdana" w:cs="Arial"/>
          <w:sz w:val="22"/>
          <w:szCs w:val="22"/>
        </w:rPr>
        <w:t>en propiedad a partir del 10 de octubre del 2016.</w:t>
      </w:r>
    </w:p>
    <w:p w14:paraId="3CA7F2A0" w14:textId="56565118" w:rsidR="00F22F57" w:rsidRPr="00205C60" w:rsidRDefault="00F22F57" w:rsidP="00882F32">
      <w:pPr>
        <w:pStyle w:val="Prrafodelista"/>
        <w:numPr>
          <w:ilvl w:val="0"/>
          <w:numId w:val="20"/>
        </w:numPr>
        <w:jc w:val="both"/>
        <w:rPr>
          <w:rFonts w:ascii="Verdana" w:hAnsi="Verdana" w:cs="Arial"/>
          <w:sz w:val="22"/>
          <w:szCs w:val="22"/>
        </w:rPr>
      </w:pPr>
      <w:r w:rsidRPr="00205C60">
        <w:rPr>
          <w:rFonts w:ascii="Verdana" w:hAnsi="Verdana" w:cs="Arial"/>
          <w:sz w:val="22"/>
          <w:szCs w:val="22"/>
        </w:rPr>
        <w:t xml:space="preserve">Nacionalidad: </w:t>
      </w:r>
      <w:r w:rsidR="007C63AE" w:rsidRPr="00205C60">
        <w:rPr>
          <w:rFonts w:ascii="Verdana" w:hAnsi="Verdana" w:cs="Arial"/>
          <w:sz w:val="22"/>
          <w:szCs w:val="22"/>
        </w:rPr>
        <w:t>costarricense</w:t>
      </w:r>
    </w:p>
    <w:p w14:paraId="3CA7F2A1" w14:textId="77777777" w:rsidR="00F22F57" w:rsidRPr="00205C60" w:rsidRDefault="00F22F57" w:rsidP="00882F32">
      <w:pPr>
        <w:pStyle w:val="Prrafodelista"/>
        <w:numPr>
          <w:ilvl w:val="0"/>
          <w:numId w:val="20"/>
        </w:numPr>
        <w:jc w:val="both"/>
        <w:rPr>
          <w:rFonts w:ascii="Verdana" w:hAnsi="Verdana" w:cs="Arial"/>
          <w:sz w:val="22"/>
          <w:szCs w:val="22"/>
        </w:rPr>
      </w:pPr>
      <w:r w:rsidRPr="00205C60">
        <w:rPr>
          <w:rFonts w:ascii="Verdana" w:hAnsi="Verdana" w:cs="Arial"/>
          <w:sz w:val="22"/>
          <w:szCs w:val="22"/>
        </w:rPr>
        <w:t>Fecha de nacimiento: 31/07/1964</w:t>
      </w:r>
    </w:p>
    <w:p w14:paraId="3CA7F2A2" w14:textId="6FC5D243" w:rsidR="00F22F57" w:rsidRPr="00205C60" w:rsidRDefault="00F22F57" w:rsidP="00882F32">
      <w:pPr>
        <w:pStyle w:val="Prrafodelista"/>
        <w:numPr>
          <w:ilvl w:val="0"/>
          <w:numId w:val="20"/>
        </w:numPr>
        <w:jc w:val="both"/>
        <w:rPr>
          <w:rFonts w:ascii="Verdana" w:hAnsi="Verdana" w:cs="Arial"/>
          <w:sz w:val="22"/>
          <w:szCs w:val="22"/>
        </w:rPr>
      </w:pPr>
      <w:r w:rsidRPr="00205C60">
        <w:rPr>
          <w:rFonts w:ascii="Verdana" w:hAnsi="Verdana" w:cs="Arial"/>
          <w:sz w:val="22"/>
          <w:szCs w:val="22"/>
        </w:rPr>
        <w:t xml:space="preserve">Trayectoria en la Empresa: </w:t>
      </w:r>
      <w:r w:rsidR="007F2334" w:rsidRPr="00205C60">
        <w:rPr>
          <w:rFonts w:ascii="Verdana" w:hAnsi="Verdana" w:cs="Arial"/>
          <w:sz w:val="22"/>
          <w:szCs w:val="22"/>
        </w:rPr>
        <w:t>3</w:t>
      </w:r>
      <w:r w:rsidR="00221CFE" w:rsidRPr="00205C60">
        <w:rPr>
          <w:rFonts w:ascii="Verdana" w:hAnsi="Verdana" w:cs="Arial"/>
          <w:sz w:val="22"/>
          <w:szCs w:val="22"/>
        </w:rPr>
        <w:t>7</w:t>
      </w:r>
      <w:r w:rsidRPr="00205C60">
        <w:rPr>
          <w:rFonts w:ascii="Verdana" w:hAnsi="Verdana" w:cs="Arial"/>
          <w:sz w:val="22"/>
          <w:szCs w:val="22"/>
        </w:rPr>
        <w:t xml:space="preserve"> años</w:t>
      </w:r>
    </w:p>
    <w:p w14:paraId="3CA7F2A3" w14:textId="5A63A9B9" w:rsidR="00F22F57" w:rsidRPr="00205C60" w:rsidRDefault="00F22F57" w:rsidP="00882F32">
      <w:pPr>
        <w:pStyle w:val="Prrafodelista"/>
        <w:numPr>
          <w:ilvl w:val="0"/>
          <w:numId w:val="20"/>
        </w:numPr>
        <w:jc w:val="both"/>
        <w:rPr>
          <w:rFonts w:ascii="Verdana" w:hAnsi="Verdana" w:cs="Arial"/>
          <w:sz w:val="22"/>
          <w:szCs w:val="22"/>
        </w:rPr>
      </w:pPr>
      <w:r w:rsidRPr="00205C60">
        <w:rPr>
          <w:rFonts w:ascii="Verdana" w:hAnsi="Verdana" w:cs="Arial"/>
          <w:sz w:val="22"/>
          <w:szCs w:val="22"/>
        </w:rPr>
        <w:t xml:space="preserve">Experiencia laboral en el área de distribución: </w:t>
      </w:r>
      <w:r w:rsidR="007F2334" w:rsidRPr="00205C60">
        <w:rPr>
          <w:rFonts w:ascii="Verdana" w:hAnsi="Verdana" w:cs="Arial"/>
          <w:sz w:val="22"/>
          <w:szCs w:val="22"/>
        </w:rPr>
        <w:t>3</w:t>
      </w:r>
      <w:r w:rsidR="00221CFE" w:rsidRPr="00205C60">
        <w:rPr>
          <w:rFonts w:ascii="Verdana" w:hAnsi="Verdana" w:cs="Arial"/>
          <w:sz w:val="22"/>
          <w:szCs w:val="22"/>
        </w:rPr>
        <w:t>7</w:t>
      </w:r>
      <w:r w:rsidRPr="00205C60">
        <w:rPr>
          <w:rFonts w:ascii="Verdana" w:hAnsi="Verdana" w:cs="Arial"/>
          <w:sz w:val="22"/>
          <w:szCs w:val="22"/>
        </w:rPr>
        <w:t xml:space="preserve"> </w:t>
      </w:r>
      <w:r w:rsidR="007F2334" w:rsidRPr="00205C60">
        <w:rPr>
          <w:rFonts w:ascii="Verdana" w:hAnsi="Verdana" w:cs="Arial"/>
          <w:sz w:val="22"/>
          <w:szCs w:val="22"/>
        </w:rPr>
        <w:t>años</w:t>
      </w:r>
    </w:p>
    <w:p w14:paraId="3CA7F2A4" w14:textId="77777777" w:rsidR="00F22F57" w:rsidRPr="00205C60" w:rsidRDefault="00F22F57" w:rsidP="00882F32">
      <w:pPr>
        <w:pStyle w:val="Prrafodelista"/>
        <w:numPr>
          <w:ilvl w:val="0"/>
          <w:numId w:val="20"/>
        </w:numPr>
        <w:jc w:val="both"/>
        <w:rPr>
          <w:rFonts w:ascii="Verdana" w:hAnsi="Verdana" w:cs="Arial"/>
          <w:sz w:val="22"/>
          <w:szCs w:val="22"/>
        </w:rPr>
      </w:pPr>
      <w:r w:rsidRPr="00205C60">
        <w:rPr>
          <w:rFonts w:ascii="Verdana" w:hAnsi="Verdana" w:cs="Arial"/>
          <w:sz w:val="22"/>
          <w:szCs w:val="22"/>
        </w:rPr>
        <w:t>Funciones que desempeña: Dirección, planeamiento, programación, coordinación, control, formulación y supervisión de las actividades profesionales, técnicas, científicas y administrativas del más alto grado de dificultad, del sistema estratégico de la Dirección de Distribución de la Energía.</w:t>
      </w:r>
    </w:p>
    <w:p w14:paraId="3CA7F2A6" w14:textId="77777777" w:rsidR="00F22F57" w:rsidRPr="00205C60" w:rsidRDefault="00F22F57" w:rsidP="00F22F57">
      <w:pPr>
        <w:jc w:val="both"/>
        <w:rPr>
          <w:rFonts w:ascii="Verdana" w:hAnsi="Verdana" w:cs="Arial"/>
          <w:b/>
          <w:bCs/>
          <w:color w:val="000000"/>
          <w:sz w:val="22"/>
          <w:szCs w:val="22"/>
        </w:rPr>
      </w:pPr>
    </w:p>
    <w:p w14:paraId="3CA7F2A7" w14:textId="77777777" w:rsidR="00F22F57" w:rsidRPr="00205C60" w:rsidRDefault="007F2334" w:rsidP="00F22F57">
      <w:pPr>
        <w:jc w:val="both"/>
        <w:rPr>
          <w:rFonts w:ascii="Verdana" w:hAnsi="Verdana" w:cs="Arial"/>
          <w:b/>
          <w:bCs/>
          <w:sz w:val="22"/>
          <w:szCs w:val="22"/>
        </w:rPr>
      </w:pPr>
      <w:r w:rsidRPr="00205C60">
        <w:rPr>
          <w:rFonts w:ascii="Verdana" w:hAnsi="Verdana" w:cs="Arial"/>
          <w:b/>
          <w:bCs/>
          <w:sz w:val="22"/>
          <w:szCs w:val="22"/>
        </w:rPr>
        <w:t>Ing. Humberto Guzmán León</w:t>
      </w:r>
    </w:p>
    <w:p w14:paraId="3CA7F2A8" w14:textId="77777777" w:rsidR="00F22F57" w:rsidRPr="00205C60" w:rsidRDefault="00F22F57" w:rsidP="00882F32">
      <w:pPr>
        <w:pStyle w:val="Prrafodelista"/>
        <w:numPr>
          <w:ilvl w:val="0"/>
          <w:numId w:val="20"/>
        </w:numPr>
        <w:jc w:val="both"/>
        <w:rPr>
          <w:rFonts w:ascii="Verdana" w:hAnsi="Verdana" w:cs="Arial"/>
          <w:sz w:val="22"/>
          <w:szCs w:val="22"/>
        </w:rPr>
      </w:pPr>
      <w:r w:rsidRPr="00205C60">
        <w:rPr>
          <w:rFonts w:ascii="Verdana" w:hAnsi="Verdana" w:cs="Arial"/>
          <w:sz w:val="22"/>
          <w:szCs w:val="22"/>
        </w:rPr>
        <w:t>Dirección Generación de la Energía</w:t>
      </w:r>
    </w:p>
    <w:p w14:paraId="3CA7F2A9" w14:textId="77777777" w:rsidR="00A47E15" w:rsidRPr="00205C60" w:rsidRDefault="00F22F57" w:rsidP="00882F32">
      <w:pPr>
        <w:pStyle w:val="Prrafodelista"/>
        <w:numPr>
          <w:ilvl w:val="0"/>
          <w:numId w:val="20"/>
        </w:numPr>
        <w:jc w:val="both"/>
        <w:rPr>
          <w:rFonts w:ascii="Verdana" w:hAnsi="Verdana" w:cs="Arial"/>
          <w:sz w:val="22"/>
          <w:szCs w:val="22"/>
        </w:rPr>
      </w:pPr>
      <w:r w:rsidRPr="00205C60">
        <w:rPr>
          <w:rFonts w:ascii="Verdana" w:hAnsi="Verdana" w:cs="Arial"/>
          <w:sz w:val="22"/>
          <w:szCs w:val="22"/>
        </w:rPr>
        <w:t xml:space="preserve">Nombramiento </w:t>
      </w:r>
      <w:r w:rsidR="007F2334" w:rsidRPr="00205C60">
        <w:rPr>
          <w:rFonts w:ascii="Verdana" w:hAnsi="Verdana" w:cs="Arial"/>
          <w:sz w:val="22"/>
          <w:szCs w:val="22"/>
        </w:rPr>
        <w:t>en propiedad a partir del 10 de octubre del 2016.</w:t>
      </w:r>
    </w:p>
    <w:p w14:paraId="3CA7F2AA" w14:textId="6D6E235E" w:rsidR="00F22F57" w:rsidRPr="00205C60" w:rsidRDefault="00F22F57" w:rsidP="00882F32">
      <w:pPr>
        <w:pStyle w:val="Prrafodelista"/>
        <w:numPr>
          <w:ilvl w:val="0"/>
          <w:numId w:val="20"/>
        </w:numPr>
        <w:jc w:val="both"/>
        <w:rPr>
          <w:rFonts w:ascii="Verdana" w:hAnsi="Verdana" w:cs="Arial"/>
          <w:sz w:val="22"/>
          <w:szCs w:val="22"/>
        </w:rPr>
      </w:pPr>
      <w:r w:rsidRPr="00205C60">
        <w:rPr>
          <w:rFonts w:ascii="Verdana" w:hAnsi="Verdana" w:cs="Arial"/>
          <w:sz w:val="22"/>
          <w:szCs w:val="22"/>
        </w:rPr>
        <w:t xml:space="preserve">Nacionalidad: </w:t>
      </w:r>
      <w:r w:rsidR="00E22E20" w:rsidRPr="00205C60">
        <w:rPr>
          <w:rFonts w:ascii="Verdana" w:hAnsi="Verdana" w:cs="Arial"/>
          <w:sz w:val="22"/>
          <w:szCs w:val="22"/>
        </w:rPr>
        <w:t>costarricense</w:t>
      </w:r>
    </w:p>
    <w:p w14:paraId="3CA7F2AB" w14:textId="77777777" w:rsidR="00F22F57" w:rsidRPr="00205C60" w:rsidRDefault="00A83765" w:rsidP="00882F32">
      <w:pPr>
        <w:pStyle w:val="Prrafodelista"/>
        <w:numPr>
          <w:ilvl w:val="0"/>
          <w:numId w:val="20"/>
        </w:numPr>
        <w:jc w:val="both"/>
        <w:rPr>
          <w:rFonts w:ascii="Verdana" w:hAnsi="Verdana" w:cs="Arial"/>
          <w:sz w:val="22"/>
          <w:szCs w:val="22"/>
        </w:rPr>
      </w:pPr>
      <w:r w:rsidRPr="00205C60">
        <w:rPr>
          <w:rFonts w:ascii="Verdana" w:hAnsi="Verdana" w:cs="Arial"/>
          <w:sz w:val="22"/>
          <w:szCs w:val="22"/>
        </w:rPr>
        <w:t xml:space="preserve">Fecha de nacimiento: </w:t>
      </w:r>
      <w:r w:rsidR="00106A25" w:rsidRPr="00205C60">
        <w:rPr>
          <w:rFonts w:ascii="Verdana" w:hAnsi="Verdana" w:cs="Arial"/>
          <w:sz w:val="22"/>
          <w:szCs w:val="22"/>
        </w:rPr>
        <w:t>10/10/1966</w:t>
      </w:r>
    </w:p>
    <w:p w14:paraId="3CA7F2AC" w14:textId="0F08A9B6" w:rsidR="00F22F57" w:rsidRPr="00205C60" w:rsidRDefault="00F22F57" w:rsidP="00882F32">
      <w:pPr>
        <w:pStyle w:val="Prrafodelista"/>
        <w:numPr>
          <w:ilvl w:val="0"/>
          <w:numId w:val="20"/>
        </w:numPr>
        <w:jc w:val="both"/>
        <w:rPr>
          <w:rFonts w:ascii="Verdana" w:hAnsi="Verdana" w:cs="Arial"/>
          <w:sz w:val="22"/>
          <w:szCs w:val="22"/>
        </w:rPr>
      </w:pPr>
      <w:r w:rsidRPr="00205C60">
        <w:rPr>
          <w:rFonts w:ascii="Verdana" w:hAnsi="Verdana" w:cs="Arial"/>
          <w:sz w:val="22"/>
          <w:szCs w:val="22"/>
        </w:rPr>
        <w:t>Trayectoria en la E</w:t>
      </w:r>
      <w:r w:rsidR="00A83765" w:rsidRPr="00205C60">
        <w:rPr>
          <w:rFonts w:ascii="Verdana" w:hAnsi="Verdana" w:cs="Arial"/>
          <w:sz w:val="22"/>
          <w:szCs w:val="22"/>
        </w:rPr>
        <w:t xml:space="preserve">mpresa: </w:t>
      </w:r>
      <w:r w:rsidR="00F04028" w:rsidRPr="00205C60">
        <w:rPr>
          <w:rFonts w:ascii="Verdana" w:hAnsi="Verdana" w:cs="Arial"/>
          <w:sz w:val="22"/>
          <w:szCs w:val="22"/>
        </w:rPr>
        <w:t>3</w:t>
      </w:r>
      <w:r w:rsidR="00391148" w:rsidRPr="00205C60">
        <w:rPr>
          <w:rFonts w:ascii="Verdana" w:hAnsi="Verdana" w:cs="Arial"/>
          <w:sz w:val="22"/>
          <w:szCs w:val="22"/>
        </w:rPr>
        <w:t>3</w:t>
      </w:r>
      <w:r w:rsidR="00106A25" w:rsidRPr="00205C60">
        <w:rPr>
          <w:rFonts w:ascii="Verdana" w:hAnsi="Verdana" w:cs="Arial"/>
          <w:sz w:val="22"/>
          <w:szCs w:val="22"/>
        </w:rPr>
        <w:t xml:space="preserve"> años</w:t>
      </w:r>
    </w:p>
    <w:p w14:paraId="3CA7F2AD" w14:textId="330B098E" w:rsidR="00F22F57" w:rsidRPr="00205C60" w:rsidRDefault="00F22F57" w:rsidP="00882F32">
      <w:pPr>
        <w:pStyle w:val="Prrafodelista"/>
        <w:numPr>
          <w:ilvl w:val="0"/>
          <w:numId w:val="20"/>
        </w:numPr>
        <w:jc w:val="both"/>
        <w:rPr>
          <w:rFonts w:ascii="Verdana" w:hAnsi="Verdana" w:cs="Arial"/>
          <w:sz w:val="22"/>
          <w:szCs w:val="22"/>
        </w:rPr>
      </w:pPr>
      <w:r w:rsidRPr="00205C60">
        <w:rPr>
          <w:rFonts w:ascii="Verdana" w:hAnsi="Verdana" w:cs="Arial"/>
          <w:sz w:val="22"/>
          <w:szCs w:val="22"/>
        </w:rPr>
        <w:t xml:space="preserve">Experiencia laboral en el área </w:t>
      </w:r>
      <w:r w:rsidR="00A83765" w:rsidRPr="00205C60">
        <w:rPr>
          <w:rFonts w:ascii="Verdana" w:hAnsi="Verdana" w:cs="Arial"/>
          <w:sz w:val="22"/>
          <w:szCs w:val="22"/>
        </w:rPr>
        <w:t xml:space="preserve">técnica:  </w:t>
      </w:r>
      <w:r w:rsidR="00E22E20" w:rsidRPr="00205C60">
        <w:rPr>
          <w:rFonts w:ascii="Verdana" w:hAnsi="Verdana" w:cs="Arial"/>
          <w:sz w:val="22"/>
          <w:szCs w:val="22"/>
        </w:rPr>
        <w:t>3</w:t>
      </w:r>
      <w:r w:rsidR="00391148" w:rsidRPr="00205C60">
        <w:rPr>
          <w:rFonts w:ascii="Verdana" w:hAnsi="Verdana" w:cs="Arial"/>
          <w:sz w:val="22"/>
          <w:szCs w:val="22"/>
        </w:rPr>
        <w:t>1</w:t>
      </w:r>
      <w:r w:rsidR="00106A25" w:rsidRPr="00205C60">
        <w:rPr>
          <w:rFonts w:ascii="Verdana" w:hAnsi="Verdana" w:cs="Arial"/>
          <w:sz w:val="22"/>
          <w:szCs w:val="22"/>
        </w:rPr>
        <w:t xml:space="preserve"> años</w:t>
      </w:r>
    </w:p>
    <w:p w14:paraId="3CA7F2AE" w14:textId="77777777" w:rsidR="00F22F57" w:rsidRPr="00205C60" w:rsidRDefault="00F22F57" w:rsidP="00882F32">
      <w:pPr>
        <w:pStyle w:val="Prrafodelista"/>
        <w:numPr>
          <w:ilvl w:val="0"/>
          <w:numId w:val="20"/>
        </w:numPr>
        <w:jc w:val="both"/>
        <w:rPr>
          <w:rFonts w:ascii="Verdana" w:hAnsi="Verdana" w:cs="Arial"/>
          <w:sz w:val="22"/>
          <w:szCs w:val="22"/>
        </w:rPr>
      </w:pPr>
      <w:r w:rsidRPr="00205C60">
        <w:rPr>
          <w:rFonts w:ascii="Verdana" w:hAnsi="Verdana" w:cs="Arial"/>
          <w:sz w:val="22"/>
          <w:szCs w:val="22"/>
        </w:rPr>
        <w:t>Funciones que desempeña: Dirección, planeamiento, organización, programación, coordinación, control, formulación y supervisión de las actividades profesionales, técnicas, científicas y administrativas del más alto grado de dificultad, del sistema estratégico de la Dirección de Generación de la Energía.</w:t>
      </w:r>
    </w:p>
    <w:p w14:paraId="3CA7F2AF" w14:textId="77777777" w:rsidR="00F22F57" w:rsidRPr="00205C60" w:rsidRDefault="00F22F57" w:rsidP="00F22F57">
      <w:pPr>
        <w:jc w:val="both"/>
        <w:rPr>
          <w:rFonts w:ascii="Verdana" w:hAnsi="Verdana" w:cs="Arial"/>
          <w:b/>
          <w:bCs/>
          <w:color w:val="000000"/>
          <w:sz w:val="22"/>
          <w:szCs w:val="22"/>
          <w:lang w:val="pt-BR"/>
        </w:rPr>
      </w:pPr>
    </w:p>
    <w:p w14:paraId="3CA7F2B0" w14:textId="77777777" w:rsidR="00B21EE6" w:rsidRPr="00205C60" w:rsidRDefault="00B21EE6" w:rsidP="00B21EE6">
      <w:pPr>
        <w:rPr>
          <w:rFonts w:ascii="Verdana" w:hAnsi="Verdana"/>
          <w:sz w:val="22"/>
          <w:szCs w:val="22"/>
        </w:rPr>
      </w:pPr>
    </w:p>
    <w:p w14:paraId="3CA7F2B1" w14:textId="77777777" w:rsidR="00B21EE6" w:rsidRPr="00205C60" w:rsidRDefault="00F8134A" w:rsidP="00B21EE6">
      <w:pPr>
        <w:jc w:val="both"/>
        <w:rPr>
          <w:rFonts w:ascii="Verdana" w:hAnsi="Verdana" w:cs="Arial"/>
          <w:b/>
          <w:bCs/>
          <w:sz w:val="22"/>
          <w:szCs w:val="22"/>
          <w:lang w:val="pt-BR"/>
        </w:rPr>
      </w:pPr>
      <w:r w:rsidRPr="00205C60">
        <w:rPr>
          <w:rFonts w:ascii="Verdana" w:hAnsi="Verdana" w:cs="Arial"/>
          <w:b/>
          <w:bCs/>
          <w:sz w:val="22"/>
          <w:szCs w:val="22"/>
          <w:lang w:val="pt-BR"/>
        </w:rPr>
        <w:t>Lic. Juan Manuel Casasola Vargas</w:t>
      </w:r>
    </w:p>
    <w:p w14:paraId="3CA7F2B2" w14:textId="77777777" w:rsidR="00B21EE6" w:rsidRPr="00205C60" w:rsidRDefault="00B21EE6" w:rsidP="00882F32">
      <w:pPr>
        <w:pStyle w:val="Prrafodelista"/>
        <w:numPr>
          <w:ilvl w:val="0"/>
          <w:numId w:val="24"/>
        </w:numPr>
        <w:jc w:val="both"/>
        <w:rPr>
          <w:rFonts w:ascii="Verdana" w:hAnsi="Verdana" w:cs="Arial"/>
          <w:sz w:val="22"/>
          <w:szCs w:val="22"/>
        </w:rPr>
      </w:pPr>
      <w:r w:rsidRPr="00205C60">
        <w:rPr>
          <w:rFonts w:ascii="Verdana" w:hAnsi="Verdana" w:cs="Arial"/>
          <w:sz w:val="22"/>
          <w:szCs w:val="22"/>
        </w:rPr>
        <w:t>Dirección Administración y Finanzas</w:t>
      </w:r>
    </w:p>
    <w:p w14:paraId="3CA7F2B3" w14:textId="616F45CD" w:rsidR="00B21EE6" w:rsidRPr="00205C60" w:rsidRDefault="00D70854" w:rsidP="00882F32">
      <w:pPr>
        <w:pStyle w:val="Prrafodelista"/>
        <w:numPr>
          <w:ilvl w:val="0"/>
          <w:numId w:val="24"/>
        </w:numPr>
        <w:jc w:val="both"/>
        <w:rPr>
          <w:rFonts w:ascii="Verdana" w:hAnsi="Verdana" w:cs="Arial"/>
          <w:sz w:val="22"/>
          <w:szCs w:val="22"/>
        </w:rPr>
      </w:pPr>
      <w:r w:rsidRPr="00205C60">
        <w:rPr>
          <w:rFonts w:ascii="Verdana" w:hAnsi="Verdana" w:cs="Arial"/>
          <w:sz w:val="22"/>
          <w:szCs w:val="22"/>
        </w:rPr>
        <w:t xml:space="preserve">Nombramiento en propiedad a partir del </w:t>
      </w:r>
      <w:r w:rsidR="00647FD6" w:rsidRPr="00205C60">
        <w:rPr>
          <w:rFonts w:ascii="Verdana" w:hAnsi="Verdana" w:cs="Arial"/>
          <w:sz w:val="22"/>
          <w:szCs w:val="22"/>
        </w:rPr>
        <w:t>1</w:t>
      </w:r>
      <w:r w:rsidRPr="00205C60">
        <w:rPr>
          <w:rFonts w:ascii="Verdana" w:hAnsi="Verdana" w:cs="Arial"/>
          <w:sz w:val="22"/>
          <w:szCs w:val="22"/>
        </w:rPr>
        <w:t xml:space="preserve">9 de </w:t>
      </w:r>
      <w:r w:rsidR="00647FD6" w:rsidRPr="00205C60">
        <w:rPr>
          <w:rFonts w:ascii="Verdana" w:hAnsi="Verdana" w:cs="Arial"/>
          <w:sz w:val="22"/>
          <w:szCs w:val="22"/>
        </w:rPr>
        <w:t>abril</w:t>
      </w:r>
      <w:r w:rsidRPr="00205C60">
        <w:rPr>
          <w:rFonts w:ascii="Verdana" w:hAnsi="Verdana" w:cs="Arial"/>
          <w:sz w:val="22"/>
          <w:szCs w:val="22"/>
        </w:rPr>
        <w:t xml:space="preserve"> del 20</w:t>
      </w:r>
      <w:r w:rsidR="00647FD6" w:rsidRPr="00205C60">
        <w:rPr>
          <w:rFonts w:ascii="Verdana" w:hAnsi="Verdana" w:cs="Arial"/>
          <w:sz w:val="22"/>
          <w:szCs w:val="22"/>
        </w:rPr>
        <w:t>2</w:t>
      </w:r>
      <w:r w:rsidRPr="00205C60">
        <w:rPr>
          <w:rFonts w:ascii="Verdana" w:hAnsi="Verdana" w:cs="Arial"/>
          <w:sz w:val="22"/>
          <w:szCs w:val="22"/>
        </w:rPr>
        <w:t>1</w:t>
      </w:r>
    </w:p>
    <w:p w14:paraId="04D5BD17" w14:textId="1EF6EE75" w:rsidR="00BA31D1" w:rsidRPr="00205C60" w:rsidRDefault="00683880" w:rsidP="00882F32">
      <w:pPr>
        <w:pStyle w:val="Prrafodelista"/>
        <w:numPr>
          <w:ilvl w:val="0"/>
          <w:numId w:val="24"/>
        </w:numPr>
        <w:jc w:val="both"/>
        <w:rPr>
          <w:rFonts w:ascii="Verdana" w:hAnsi="Verdana" w:cs="Arial"/>
          <w:sz w:val="22"/>
          <w:szCs w:val="22"/>
        </w:rPr>
      </w:pPr>
      <w:r w:rsidRPr="00205C60">
        <w:rPr>
          <w:rFonts w:ascii="Verdana" w:hAnsi="Verdana" w:cs="Arial"/>
          <w:sz w:val="22"/>
          <w:szCs w:val="22"/>
        </w:rPr>
        <w:t>(</w:t>
      </w:r>
      <w:r w:rsidR="00EC3BD4" w:rsidRPr="00205C60">
        <w:rPr>
          <w:rFonts w:ascii="Verdana" w:hAnsi="Verdana" w:cs="Arial"/>
          <w:sz w:val="22"/>
          <w:szCs w:val="22"/>
        </w:rPr>
        <w:t>El Sr Casasola e</w:t>
      </w:r>
      <w:r w:rsidR="00A312ED" w:rsidRPr="00205C60">
        <w:rPr>
          <w:rFonts w:ascii="Verdana" w:hAnsi="Verdana" w:cs="Arial"/>
          <w:sz w:val="22"/>
          <w:szCs w:val="22"/>
        </w:rPr>
        <w:t xml:space="preserve">ntró a </w:t>
      </w:r>
      <w:r w:rsidR="00EC3BD4" w:rsidRPr="00205C60">
        <w:rPr>
          <w:rFonts w:ascii="Verdana" w:hAnsi="Verdana" w:cs="Arial"/>
          <w:sz w:val="22"/>
          <w:szCs w:val="22"/>
        </w:rPr>
        <w:t xml:space="preserve">la </w:t>
      </w:r>
      <w:r w:rsidR="00A312ED" w:rsidRPr="00205C60">
        <w:rPr>
          <w:rFonts w:ascii="Verdana" w:hAnsi="Verdana" w:cs="Arial"/>
          <w:sz w:val="22"/>
          <w:szCs w:val="22"/>
        </w:rPr>
        <w:t xml:space="preserve">CNFL desde </w:t>
      </w:r>
      <w:r w:rsidR="004B1ACA" w:rsidRPr="00205C60">
        <w:rPr>
          <w:rFonts w:ascii="Verdana" w:hAnsi="Verdana" w:cs="Arial"/>
          <w:sz w:val="22"/>
          <w:szCs w:val="22"/>
        </w:rPr>
        <w:t xml:space="preserve">el </w:t>
      </w:r>
      <w:r w:rsidR="00A8480A" w:rsidRPr="00205C60">
        <w:rPr>
          <w:rFonts w:ascii="Verdana" w:hAnsi="Verdana" w:cs="Arial"/>
          <w:sz w:val="22"/>
          <w:szCs w:val="22"/>
        </w:rPr>
        <w:t>18 abril</w:t>
      </w:r>
      <w:r w:rsidR="004B1ACA" w:rsidRPr="00205C60">
        <w:rPr>
          <w:rFonts w:ascii="Verdana" w:hAnsi="Verdana" w:cs="Arial"/>
          <w:sz w:val="22"/>
          <w:szCs w:val="22"/>
        </w:rPr>
        <w:t xml:space="preserve"> de</w:t>
      </w:r>
      <w:r w:rsidR="00A8480A" w:rsidRPr="00205C60">
        <w:rPr>
          <w:rFonts w:ascii="Verdana" w:hAnsi="Verdana" w:cs="Arial"/>
          <w:sz w:val="22"/>
          <w:szCs w:val="22"/>
        </w:rPr>
        <w:t xml:space="preserve"> 1986 </w:t>
      </w:r>
      <w:r w:rsidR="00A312ED" w:rsidRPr="00205C60">
        <w:rPr>
          <w:rFonts w:ascii="Verdana" w:hAnsi="Verdana" w:cs="Arial"/>
          <w:sz w:val="22"/>
          <w:szCs w:val="22"/>
        </w:rPr>
        <w:t>hasta el 13 enero 2020</w:t>
      </w:r>
      <w:r w:rsidR="004B1ACA" w:rsidRPr="00205C60">
        <w:rPr>
          <w:rFonts w:ascii="Verdana" w:hAnsi="Verdana" w:cs="Arial"/>
          <w:sz w:val="22"/>
          <w:szCs w:val="22"/>
        </w:rPr>
        <w:t>,</w:t>
      </w:r>
      <w:r w:rsidR="00A312ED" w:rsidRPr="00205C60">
        <w:rPr>
          <w:rFonts w:ascii="Verdana" w:hAnsi="Verdana" w:cs="Arial"/>
          <w:sz w:val="22"/>
          <w:szCs w:val="22"/>
        </w:rPr>
        <w:t xml:space="preserve"> e ingresó </w:t>
      </w:r>
      <w:r w:rsidR="00202AD8" w:rsidRPr="00205C60">
        <w:rPr>
          <w:rFonts w:ascii="Verdana" w:hAnsi="Verdana" w:cs="Arial"/>
          <w:sz w:val="22"/>
          <w:szCs w:val="22"/>
        </w:rPr>
        <w:t>nuevamente el 19 abril 2021</w:t>
      </w:r>
      <w:r w:rsidR="001D392C" w:rsidRPr="00205C60">
        <w:rPr>
          <w:rFonts w:ascii="Verdana" w:hAnsi="Verdana" w:cs="Arial"/>
          <w:sz w:val="22"/>
          <w:szCs w:val="22"/>
        </w:rPr>
        <w:t>)</w:t>
      </w:r>
      <w:r w:rsidR="00202AD8" w:rsidRPr="00205C60">
        <w:rPr>
          <w:rFonts w:ascii="Verdana" w:hAnsi="Verdana" w:cs="Arial"/>
          <w:sz w:val="22"/>
          <w:szCs w:val="22"/>
        </w:rPr>
        <w:t>.</w:t>
      </w:r>
    </w:p>
    <w:p w14:paraId="3CA7F2B4" w14:textId="5BA075BA" w:rsidR="00B21EE6" w:rsidRPr="00205C60" w:rsidRDefault="00B21EE6" w:rsidP="00882F32">
      <w:pPr>
        <w:pStyle w:val="Prrafodelista"/>
        <w:numPr>
          <w:ilvl w:val="0"/>
          <w:numId w:val="24"/>
        </w:numPr>
        <w:jc w:val="both"/>
        <w:rPr>
          <w:rFonts w:ascii="Verdana" w:hAnsi="Verdana" w:cs="Arial"/>
          <w:sz w:val="22"/>
          <w:szCs w:val="22"/>
        </w:rPr>
      </w:pPr>
      <w:r w:rsidRPr="00205C60">
        <w:rPr>
          <w:rFonts w:ascii="Verdana" w:hAnsi="Verdana" w:cs="Arial"/>
          <w:sz w:val="22"/>
          <w:szCs w:val="22"/>
        </w:rPr>
        <w:t xml:space="preserve">Nacionalidad: </w:t>
      </w:r>
      <w:r w:rsidR="00E22E20" w:rsidRPr="00205C60">
        <w:rPr>
          <w:rFonts w:ascii="Verdana" w:hAnsi="Verdana" w:cs="Arial"/>
          <w:sz w:val="22"/>
          <w:szCs w:val="22"/>
        </w:rPr>
        <w:t>costarricense</w:t>
      </w:r>
    </w:p>
    <w:p w14:paraId="3CA7F2B5" w14:textId="77777777" w:rsidR="00B21EE6" w:rsidRPr="00205C60" w:rsidRDefault="00B21EE6" w:rsidP="00882F32">
      <w:pPr>
        <w:pStyle w:val="Prrafodelista"/>
        <w:numPr>
          <w:ilvl w:val="0"/>
          <w:numId w:val="24"/>
        </w:numPr>
        <w:jc w:val="both"/>
        <w:rPr>
          <w:rFonts w:ascii="Verdana" w:hAnsi="Verdana" w:cs="Arial"/>
          <w:sz w:val="22"/>
          <w:szCs w:val="22"/>
        </w:rPr>
      </w:pPr>
      <w:r w:rsidRPr="00205C60">
        <w:rPr>
          <w:rFonts w:ascii="Verdana" w:hAnsi="Verdana" w:cs="Arial"/>
          <w:sz w:val="22"/>
          <w:szCs w:val="22"/>
        </w:rPr>
        <w:t>Fecha de nacimiento: 1</w:t>
      </w:r>
      <w:r w:rsidR="00647FD6" w:rsidRPr="00205C60">
        <w:rPr>
          <w:rFonts w:ascii="Verdana" w:hAnsi="Verdana" w:cs="Arial"/>
          <w:sz w:val="22"/>
          <w:szCs w:val="22"/>
        </w:rPr>
        <w:t>0</w:t>
      </w:r>
      <w:r w:rsidRPr="00205C60">
        <w:rPr>
          <w:rFonts w:ascii="Verdana" w:hAnsi="Verdana" w:cs="Arial"/>
          <w:sz w:val="22"/>
          <w:szCs w:val="22"/>
        </w:rPr>
        <w:t>/</w:t>
      </w:r>
      <w:r w:rsidR="00647FD6" w:rsidRPr="00205C60">
        <w:rPr>
          <w:rFonts w:ascii="Verdana" w:hAnsi="Verdana" w:cs="Arial"/>
          <w:sz w:val="22"/>
          <w:szCs w:val="22"/>
        </w:rPr>
        <w:t>07/1964</w:t>
      </w:r>
    </w:p>
    <w:p w14:paraId="3CA7F2B6" w14:textId="6546A35D" w:rsidR="00B21EE6" w:rsidRPr="00205C60" w:rsidRDefault="00B21EE6" w:rsidP="00882F32">
      <w:pPr>
        <w:pStyle w:val="Prrafodelista"/>
        <w:numPr>
          <w:ilvl w:val="0"/>
          <w:numId w:val="24"/>
        </w:numPr>
        <w:jc w:val="both"/>
        <w:rPr>
          <w:rFonts w:ascii="Verdana" w:hAnsi="Verdana" w:cs="Arial"/>
          <w:sz w:val="22"/>
          <w:szCs w:val="22"/>
        </w:rPr>
      </w:pPr>
      <w:r w:rsidRPr="00205C60">
        <w:rPr>
          <w:rFonts w:ascii="Verdana" w:hAnsi="Verdana" w:cs="Arial"/>
          <w:sz w:val="22"/>
          <w:szCs w:val="22"/>
        </w:rPr>
        <w:t xml:space="preserve">Trayectoria en la Empresa: </w:t>
      </w:r>
      <w:r w:rsidR="00647FD6" w:rsidRPr="00205C60">
        <w:rPr>
          <w:rFonts w:ascii="Verdana" w:hAnsi="Verdana" w:cs="Arial"/>
          <w:sz w:val="22"/>
          <w:szCs w:val="22"/>
        </w:rPr>
        <w:t>3</w:t>
      </w:r>
      <w:r w:rsidR="006A022E" w:rsidRPr="00205C60">
        <w:rPr>
          <w:rFonts w:ascii="Verdana" w:hAnsi="Verdana" w:cs="Arial"/>
          <w:sz w:val="22"/>
          <w:szCs w:val="22"/>
        </w:rPr>
        <w:t>5</w:t>
      </w:r>
      <w:r w:rsidRPr="00205C60">
        <w:rPr>
          <w:rFonts w:ascii="Verdana" w:hAnsi="Verdana" w:cs="Arial"/>
          <w:sz w:val="22"/>
          <w:szCs w:val="22"/>
        </w:rPr>
        <w:t xml:space="preserve"> años</w:t>
      </w:r>
    </w:p>
    <w:p w14:paraId="3CA7F2B7" w14:textId="3AD26EA0" w:rsidR="00B21EE6" w:rsidRPr="00205C60" w:rsidRDefault="00B21EE6" w:rsidP="00882F32">
      <w:pPr>
        <w:pStyle w:val="Prrafodelista"/>
        <w:numPr>
          <w:ilvl w:val="0"/>
          <w:numId w:val="24"/>
        </w:numPr>
        <w:jc w:val="both"/>
        <w:rPr>
          <w:rFonts w:ascii="Verdana" w:hAnsi="Verdana" w:cs="Arial"/>
          <w:sz w:val="22"/>
          <w:szCs w:val="22"/>
        </w:rPr>
      </w:pPr>
      <w:r w:rsidRPr="00205C60">
        <w:rPr>
          <w:rFonts w:ascii="Verdana" w:hAnsi="Verdana" w:cs="Arial"/>
          <w:sz w:val="22"/>
          <w:szCs w:val="22"/>
        </w:rPr>
        <w:t>Experiencia laboral en el área administrativa: 3</w:t>
      </w:r>
      <w:r w:rsidR="006A022E" w:rsidRPr="00205C60">
        <w:rPr>
          <w:rFonts w:ascii="Verdana" w:hAnsi="Verdana" w:cs="Arial"/>
          <w:sz w:val="22"/>
          <w:szCs w:val="22"/>
        </w:rPr>
        <w:t>5</w:t>
      </w:r>
      <w:r w:rsidRPr="00205C60">
        <w:rPr>
          <w:rFonts w:ascii="Verdana" w:hAnsi="Verdana" w:cs="Arial"/>
          <w:sz w:val="22"/>
          <w:szCs w:val="22"/>
        </w:rPr>
        <w:t xml:space="preserve"> años</w:t>
      </w:r>
    </w:p>
    <w:p w14:paraId="3CA7F2B8" w14:textId="77777777" w:rsidR="00B21EE6" w:rsidRPr="00205C60" w:rsidRDefault="00B21EE6" w:rsidP="00882F32">
      <w:pPr>
        <w:pStyle w:val="Prrafodelista"/>
        <w:numPr>
          <w:ilvl w:val="0"/>
          <w:numId w:val="24"/>
        </w:numPr>
        <w:jc w:val="both"/>
        <w:rPr>
          <w:rFonts w:ascii="Verdana" w:hAnsi="Verdana" w:cs="Arial"/>
          <w:color w:val="000000"/>
          <w:sz w:val="22"/>
          <w:szCs w:val="22"/>
        </w:rPr>
      </w:pPr>
      <w:r w:rsidRPr="00205C60">
        <w:rPr>
          <w:rFonts w:ascii="Verdana" w:hAnsi="Verdana" w:cs="Arial"/>
          <w:sz w:val="22"/>
          <w:szCs w:val="22"/>
        </w:rPr>
        <w:t xml:space="preserve">Funciones que desempeña: Planeamiento, organización, programación, dirección, coordinación, control, formulación y supervisión de las actividades </w:t>
      </w:r>
      <w:r w:rsidRPr="00205C60">
        <w:rPr>
          <w:rFonts w:ascii="Verdana" w:hAnsi="Verdana" w:cs="Arial"/>
          <w:color w:val="000000" w:themeColor="text1"/>
          <w:sz w:val="22"/>
          <w:szCs w:val="22"/>
        </w:rPr>
        <w:t xml:space="preserve">administrativas, financieras </w:t>
      </w:r>
      <w:r w:rsidRPr="00205C60">
        <w:rPr>
          <w:rFonts w:ascii="Verdana" w:hAnsi="Verdana" w:cs="Arial"/>
          <w:color w:val="000000"/>
          <w:sz w:val="22"/>
          <w:szCs w:val="22"/>
        </w:rPr>
        <w:t>y contables del más alto grado de dificultad, del sistema estratégico de la Dirección Administración y Finanzas.</w:t>
      </w:r>
    </w:p>
    <w:p w14:paraId="3CA7F2B9" w14:textId="353FD0E3" w:rsidR="00CE0622" w:rsidRPr="00205C60" w:rsidRDefault="00CE0622" w:rsidP="00F22F57">
      <w:pPr>
        <w:jc w:val="both"/>
        <w:rPr>
          <w:rFonts w:ascii="Verdana" w:hAnsi="Verdana" w:cs="Arial"/>
          <w:b/>
          <w:bCs/>
          <w:sz w:val="22"/>
          <w:szCs w:val="22"/>
        </w:rPr>
      </w:pPr>
    </w:p>
    <w:p w14:paraId="42F484ED" w14:textId="77777777" w:rsidR="0065765B" w:rsidRPr="00205C60" w:rsidRDefault="0065765B" w:rsidP="00F22F57">
      <w:pPr>
        <w:jc w:val="both"/>
        <w:rPr>
          <w:rFonts w:ascii="Verdana" w:hAnsi="Verdana" w:cs="Arial"/>
          <w:b/>
          <w:bCs/>
          <w:sz w:val="22"/>
          <w:szCs w:val="22"/>
        </w:rPr>
      </w:pPr>
    </w:p>
    <w:p w14:paraId="3CA7F2BB" w14:textId="5F9BA986" w:rsidR="00F22F57" w:rsidRPr="00205C60" w:rsidRDefault="00F22F57" w:rsidP="00F22F57">
      <w:pPr>
        <w:jc w:val="both"/>
        <w:rPr>
          <w:rFonts w:ascii="Verdana" w:hAnsi="Verdana" w:cs="Arial"/>
          <w:b/>
          <w:bCs/>
          <w:sz w:val="22"/>
          <w:szCs w:val="22"/>
        </w:rPr>
      </w:pPr>
      <w:r w:rsidRPr="00205C60">
        <w:rPr>
          <w:rFonts w:ascii="Verdana" w:hAnsi="Verdana" w:cs="Arial"/>
          <w:b/>
          <w:bCs/>
          <w:sz w:val="22"/>
          <w:szCs w:val="22"/>
        </w:rPr>
        <w:t xml:space="preserve">Lic. </w:t>
      </w:r>
      <w:r w:rsidR="002C67B2" w:rsidRPr="00205C60">
        <w:rPr>
          <w:rFonts w:ascii="Verdana" w:hAnsi="Verdana" w:cs="Arial"/>
          <w:b/>
          <w:bCs/>
          <w:sz w:val="22"/>
          <w:szCs w:val="22"/>
        </w:rPr>
        <w:t>Vanes</w:t>
      </w:r>
      <w:r w:rsidR="00100DCC" w:rsidRPr="00205C60">
        <w:rPr>
          <w:rFonts w:ascii="Verdana" w:hAnsi="Verdana" w:cs="Arial"/>
          <w:b/>
          <w:bCs/>
          <w:sz w:val="22"/>
          <w:szCs w:val="22"/>
        </w:rPr>
        <w:t>s</w:t>
      </w:r>
      <w:r w:rsidR="002C67B2" w:rsidRPr="00205C60">
        <w:rPr>
          <w:rFonts w:ascii="Verdana" w:hAnsi="Verdana" w:cs="Arial"/>
          <w:b/>
          <w:bCs/>
          <w:sz w:val="22"/>
          <w:szCs w:val="22"/>
        </w:rPr>
        <w:t xml:space="preserve">a Castro López </w:t>
      </w:r>
    </w:p>
    <w:p w14:paraId="3CA7F2BC" w14:textId="77777777" w:rsidR="00F22F57" w:rsidRPr="00205C60" w:rsidRDefault="00F22F57" w:rsidP="00882F32">
      <w:pPr>
        <w:pStyle w:val="Prrafodelista"/>
        <w:numPr>
          <w:ilvl w:val="0"/>
          <w:numId w:val="20"/>
        </w:numPr>
        <w:jc w:val="both"/>
        <w:rPr>
          <w:rFonts w:ascii="Verdana" w:hAnsi="Verdana" w:cs="Arial"/>
          <w:sz w:val="22"/>
          <w:szCs w:val="22"/>
        </w:rPr>
      </w:pPr>
      <w:r w:rsidRPr="00205C60">
        <w:rPr>
          <w:rFonts w:ascii="Verdana" w:hAnsi="Verdana" w:cs="Arial"/>
          <w:sz w:val="22"/>
          <w:szCs w:val="22"/>
        </w:rPr>
        <w:t>Dirección Comercialización</w:t>
      </w:r>
    </w:p>
    <w:p w14:paraId="3CA7F2BD" w14:textId="4C663AC0" w:rsidR="00F22F57" w:rsidRPr="00205C60" w:rsidRDefault="006B3160" w:rsidP="00882F32">
      <w:pPr>
        <w:pStyle w:val="Prrafodelista"/>
        <w:numPr>
          <w:ilvl w:val="0"/>
          <w:numId w:val="20"/>
        </w:numPr>
        <w:jc w:val="both"/>
        <w:rPr>
          <w:rFonts w:ascii="Verdana" w:hAnsi="Verdana" w:cs="Arial"/>
          <w:sz w:val="22"/>
          <w:szCs w:val="22"/>
        </w:rPr>
      </w:pPr>
      <w:r w:rsidRPr="00205C60">
        <w:rPr>
          <w:rFonts w:ascii="Verdana" w:hAnsi="Verdana" w:cs="Arial"/>
          <w:sz w:val="22"/>
          <w:szCs w:val="22"/>
        </w:rPr>
        <w:t xml:space="preserve">Nombramiento fijo a partir del 1º de </w:t>
      </w:r>
      <w:r w:rsidR="00FD3C3D" w:rsidRPr="00205C60">
        <w:rPr>
          <w:rFonts w:ascii="Verdana" w:hAnsi="Verdana" w:cs="Arial"/>
          <w:sz w:val="22"/>
          <w:szCs w:val="22"/>
        </w:rPr>
        <w:t>febrero</w:t>
      </w:r>
      <w:r w:rsidRPr="00205C60">
        <w:rPr>
          <w:rFonts w:ascii="Verdana" w:hAnsi="Verdana" w:cs="Arial"/>
          <w:sz w:val="22"/>
          <w:szCs w:val="22"/>
        </w:rPr>
        <w:t xml:space="preserve"> del 20</w:t>
      </w:r>
      <w:r w:rsidR="00FD3C3D" w:rsidRPr="00205C60">
        <w:rPr>
          <w:rFonts w:ascii="Verdana" w:hAnsi="Verdana" w:cs="Arial"/>
          <w:sz w:val="22"/>
          <w:szCs w:val="22"/>
        </w:rPr>
        <w:t>23</w:t>
      </w:r>
      <w:r w:rsidRPr="00205C60">
        <w:rPr>
          <w:rFonts w:ascii="Verdana" w:hAnsi="Verdana" w:cs="Arial"/>
          <w:sz w:val="22"/>
          <w:szCs w:val="22"/>
        </w:rPr>
        <w:t>.</w:t>
      </w:r>
    </w:p>
    <w:p w14:paraId="3CA7F2BE" w14:textId="37169BAE" w:rsidR="00F22F57" w:rsidRPr="00205C60" w:rsidRDefault="00F22F57" w:rsidP="00882F32">
      <w:pPr>
        <w:pStyle w:val="Prrafodelista"/>
        <w:numPr>
          <w:ilvl w:val="0"/>
          <w:numId w:val="20"/>
        </w:numPr>
        <w:jc w:val="both"/>
        <w:rPr>
          <w:rFonts w:ascii="Verdana" w:hAnsi="Verdana" w:cs="Arial"/>
          <w:sz w:val="22"/>
          <w:szCs w:val="22"/>
        </w:rPr>
      </w:pPr>
      <w:r w:rsidRPr="00205C60">
        <w:rPr>
          <w:rFonts w:ascii="Verdana" w:hAnsi="Verdana" w:cs="Arial"/>
          <w:sz w:val="22"/>
          <w:szCs w:val="22"/>
        </w:rPr>
        <w:t xml:space="preserve">Nacionalidad: </w:t>
      </w:r>
      <w:r w:rsidR="00E22E20" w:rsidRPr="00205C60">
        <w:rPr>
          <w:rFonts w:ascii="Verdana" w:hAnsi="Verdana" w:cs="Arial"/>
          <w:sz w:val="22"/>
          <w:szCs w:val="22"/>
        </w:rPr>
        <w:t>costarricense</w:t>
      </w:r>
    </w:p>
    <w:p w14:paraId="3CA7F2BF" w14:textId="6D71C3BC" w:rsidR="00F22F57" w:rsidRPr="00205C60" w:rsidRDefault="00F22F57" w:rsidP="00882F32">
      <w:pPr>
        <w:pStyle w:val="Prrafodelista"/>
        <w:numPr>
          <w:ilvl w:val="0"/>
          <w:numId w:val="20"/>
        </w:numPr>
        <w:jc w:val="both"/>
        <w:rPr>
          <w:rFonts w:ascii="Verdana" w:hAnsi="Verdana" w:cs="Arial"/>
          <w:sz w:val="22"/>
          <w:szCs w:val="22"/>
        </w:rPr>
      </w:pPr>
      <w:r w:rsidRPr="00205C60">
        <w:rPr>
          <w:rFonts w:ascii="Verdana" w:hAnsi="Verdana" w:cs="Arial"/>
          <w:sz w:val="22"/>
          <w:szCs w:val="22"/>
        </w:rPr>
        <w:lastRenderedPageBreak/>
        <w:t xml:space="preserve">Fecha de nacimiento: </w:t>
      </w:r>
      <w:r w:rsidR="00870AC1" w:rsidRPr="00205C60">
        <w:rPr>
          <w:rFonts w:ascii="Verdana" w:hAnsi="Verdana" w:cs="Arial"/>
          <w:sz w:val="22"/>
          <w:szCs w:val="22"/>
        </w:rPr>
        <w:t>30</w:t>
      </w:r>
      <w:r w:rsidRPr="00205C60">
        <w:rPr>
          <w:rFonts w:ascii="Verdana" w:hAnsi="Verdana" w:cs="Arial"/>
          <w:sz w:val="22"/>
          <w:szCs w:val="22"/>
        </w:rPr>
        <w:t>/</w:t>
      </w:r>
      <w:r w:rsidR="00870AC1" w:rsidRPr="00205C60">
        <w:rPr>
          <w:rFonts w:ascii="Verdana" w:hAnsi="Verdana" w:cs="Arial"/>
          <w:sz w:val="22"/>
          <w:szCs w:val="22"/>
        </w:rPr>
        <w:t>05</w:t>
      </w:r>
      <w:r w:rsidRPr="00205C60">
        <w:rPr>
          <w:rFonts w:ascii="Verdana" w:hAnsi="Verdana" w:cs="Arial"/>
          <w:sz w:val="22"/>
          <w:szCs w:val="22"/>
        </w:rPr>
        <w:t>/</w:t>
      </w:r>
      <w:r w:rsidR="00870AC1" w:rsidRPr="00205C60">
        <w:rPr>
          <w:rFonts w:ascii="Verdana" w:hAnsi="Verdana" w:cs="Arial"/>
          <w:sz w:val="22"/>
          <w:szCs w:val="22"/>
        </w:rPr>
        <w:t>1968</w:t>
      </w:r>
    </w:p>
    <w:p w14:paraId="3CA7F2C0" w14:textId="0BC0C3FB" w:rsidR="00F22F57" w:rsidRPr="00205C60" w:rsidRDefault="00F22F57" w:rsidP="00882F32">
      <w:pPr>
        <w:pStyle w:val="Prrafodelista"/>
        <w:numPr>
          <w:ilvl w:val="0"/>
          <w:numId w:val="20"/>
        </w:numPr>
        <w:jc w:val="both"/>
        <w:rPr>
          <w:rFonts w:ascii="Verdana" w:hAnsi="Verdana" w:cs="Arial"/>
          <w:sz w:val="22"/>
          <w:szCs w:val="22"/>
        </w:rPr>
      </w:pPr>
      <w:r w:rsidRPr="00205C60">
        <w:rPr>
          <w:rFonts w:ascii="Verdana" w:hAnsi="Verdana" w:cs="Arial"/>
          <w:sz w:val="22"/>
          <w:szCs w:val="22"/>
        </w:rPr>
        <w:t xml:space="preserve">Trayectoria en la Empresa: </w:t>
      </w:r>
      <w:r w:rsidR="000945EA" w:rsidRPr="00205C60">
        <w:rPr>
          <w:rFonts w:ascii="Verdana" w:hAnsi="Verdana" w:cs="Arial"/>
          <w:sz w:val="22"/>
          <w:szCs w:val="22"/>
        </w:rPr>
        <w:t>1</w:t>
      </w:r>
      <w:r w:rsidR="00E22E20" w:rsidRPr="00205C60">
        <w:rPr>
          <w:rFonts w:ascii="Verdana" w:hAnsi="Verdana" w:cs="Arial"/>
          <w:sz w:val="22"/>
          <w:szCs w:val="22"/>
        </w:rPr>
        <w:t>5</w:t>
      </w:r>
      <w:r w:rsidRPr="00205C60">
        <w:rPr>
          <w:rFonts w:ascii="Verdana" w:hAnsi="Verdana" w:cs="Arial"/>
          <w:sz w:val="22"/>
          <w:szCs w:val="22"/>
        </w:rPr>
        <w:t xml:space="preserve"> años</w:t>
      </w:r>
    </w:p>
    <w:p w14:paraId="3CA7F2C2" w14:textId="721A8E60" w:rsidR="00F22F57" w:rsidRPr="00205C60" w:rsidRDefault="00F22F57" w:rsidP="00882F32">
      <w:pPr>
        <w:pStyle w:val="Prrafodelista"/>
        <w:numPr>
          <w:ilvl w:val="0"/>
          <w:numId w:val="20"/>
        </w:numPr>
        <w:jc w:val="both"/>
        <w:rPr>
          <w:rFonts w:ascii="Verdana" w:hAnsi="Verdana" w:cs="Arial"/>
          <w:sz w:val="22"/>
          <w:szCs w:val="22"/>
        </w:rPr>
      </w:pPr>
      <w:r w:rsidRPr="00205C60">
        <w:rPr>
          <w:rFonts w:ascii="Verdana" w:hAnsi="Verdana" w:cs="Arial"/>
          <w:sz w:val="22"/>
          <w:szCs w:val="22"/>
        </w:rPr>
        <w:t>Funciones que desempeña: Dirección, planeamiento, organización, programación, coordinación, control, formulación y supervisión de las actividades profesionales, técnicas, científicas y administrativas del más alto grado de dificultad, del sistema estratégico de la Dirección Comercialización.</w:t>
      </w:r>
    </w:p>
    <w:p w14:paraId="7FD4EE0F" w14:textId="631A1BDC" w:rsidR="00EC3BD4" w:rsidRPr="00205C60" w:rsidRDefault="00EC3BD4" w:rsidP="00EC3BD4">
      <w:pPr>
        <w:jc w:val="both"/>
        <w:rPr>
          <w:rFonts w:ascii="Verdana" w:hAnsi="Verdana" w:cs="Arial"/>
          <w:sz w:val="22"/>
          <w:szCs w:val="22"/>
        </w:rPr>
      </w:pPr>
    </w:p>
    <w:p w14:paraId="3CA7F2C4" w14:textId="77777777" w:rsidR="00F22F57" w:rsidRPr="00205C60" w:rsidRDefault="00F22F57" w:rsidP="00F22F57">
      <w:pPr>
        <w:jc w:val="both"/>
        <w:rPr>
          <w:rFonts w:ascii="Verdana" w:hAnsi="Verdana" w:cs="Arial"/>
          <w:b/>
          <w:bCs/>
          <w:sz w:val="22"/>
          <w:szCs w:val="22"/>
        </w:rPr>
      </w:pPr>
    </w:p>
    <w:p w14:paraId="3CA7F2C5" w14:textId="4DCB345A" w:rsidR="00F22F57" w:rsidRPr="00205C60" w:rsidRDefault="00153FB5" w:rsidP="00F22F57">
      <w:pPr>
        <w:jc w:val="both"/>
        <w:rPr>
          <w:rFonts w:ascii="Verdana" w:hAnsi="Verdana" w:cs="Arial"/>
          <w:b/>
          <w:bCs/>
          <w:sz w:val="22"/>
          <w:szCs w:val="22"/>
        </w:rPr>
      </w:pPr>
      <w:r w:rsidRPr="00205C60">
        <w:rPr>
          <w:rFonts w:ascii="Verdana" w:hAnsi="Verdana" w:cs="Arial"/>
          <w:b/>
          <w:bCs/>
          <w:sz w:val="22"/>
          <w:szCs w:val="22"/>
        </w:rPr>
        <w:t xml:space="preserve">Ing. </w:t>
      </w:r>
      <w:r w:rsidR="00862BA3" w:rsidRPr="00205C60">
        <w:rPr>
          <w:rFonts w:ascii="Verdana" w:hAnsi="Verdana" w:cs="Arial"/>
          <w:b/>
          <w:bCs/>
          <w:sz w:val="22"/>
          <w:szCs w:val="22"/>
        </w:rPr>
        <w:t>Elena Amuy</w:t>
      </w:r>
      <w:r w:rsidR="008D6516" w:rsidRPr="00205C60">
        <w:rPr>
          <w:rFonts w:ascii="Verdana" w:hAnsi="Verdana" w:cs="Arial"/>
          <w:b/>
          <w:bCs/>
          <w:sz w:val="22"/>
          <w:szCs w:val="22"/>
        </w:rPr>
        <w:t xml:space="preserve"> Jiménez</w:t>
      </w:r>
    </w:p>
    <w:p w14:paraId="3CA7F2C6" w14:textId="23070915" w:rsidR="00F22F57" w:rsidRPr="00205C60" w:rsidRDefault="00F22F57" w:rsidP="00882F32">
      <w:pPr>
        <w:pStyle w:val="Prrafodelista"/>
        <w:numPr>
          <w:ilvl w:val="0"/>
          <w:numId w:val="20"/>
        </w:numPr>
        <w:jc w:val="both"/>
        <w:rPr>
          <w:rFonts w:ascii="Verdana" w:hAnsi="Verdana" w:cs="Arial"/>
          <w:sz w:val="22"/>
          <w:szCs w:val="22"/>
        </w:rPr>
      </w:pPr>
      <w:r w:rsidRPr="00205C60">
        <w:rPr>
          <w:rFonts w:ascii="Verdana" w:hAnsi="Verdana" w:cs="Arial"/>
          <w:sz w:val="22"/>
          <w:szCs w:val="22"/>
        </w:rPr>
        <w:t xml:space="preserve">Dirección Estrategia </w:t>
      </w:r>
      <w:r w:rsidR="001C1721" w:rsidRPr="00205C60">
        <w:rPr>
          <w:rFonts w:ascii="Verdana" w:hAnsi="Verdana" w:cs="Arial"/>
          <w:sz w:val="22"/>
          <w:szCs w:val="22"/>
        </w:rPr>
        <w:t>Empresarial</w:t>
      </w:r>
    </w:p>
    <w:p w14:paraId="3CA7F2C7" w14:textId="5998C020" w:rsidR="00A47E15" w:rsidRPr="00205C60" w:rsidRDefault="00F22F57" w:rsidP="00882F32">
      <w:pPr>
        <w:pStyle w:val="Prrafodelista"/>
        <w:numPr>
          <w:ilvl w:val="0"/>
          <w:numId w:val="20"/>
        </w:numPr>
        <w:jc w:val="both"/>
        <w:rPr>
          <w:rFonts w:ascii="Verdana" w:hAnsi="Verdana" w:cs="Arial"/>
          <w:sz w:val="22"/>
          <w:szCs w:val="22"/>
        </w:rPr>
      </w:pPr>
      <w:r w:rsidRPr="00205C60">
        <w:rPr>
          <w:rFonts w:ascii="Verdana" w:hAnsi="Verdana" w:cs="Arial"/>
          <w:sz w:val="22"/>
          <w:szCs w:val="22"/>
        </w:rPr>
        <w:t xml:space="preserve">Nombramiento </w:t>
      </w:r>
      <w:r w:rsidR="007F2334" w:rsidRPr="00205C60">
        <w:rPr>
          <w:rFonts w:ascii="Verdana" w:hAnsi="Verdana" w:cs="Arial"/>
          <w:sz w:val="22"/>
          <w:szCs w:val="22"/>
        </w:rPr>
        <w:t xml:space="preserve">en propiedad a partir del </w:t>
      </w:r>
      <w:r w:rsidR="007D13A6" w:rsidRPr="00205C60">
        <w:rPr>
          <w:rFonts w:ascii="Verdana" w:hAnsi="Verdana" w:cs="Arial"/>
          <w:sz w:val="22"/>
          <w:szCs w:val="22"/>
        </w:rPr>
        <w:t>01</w:t>
      </w:r>
      <w:r w:rsidR="007F2334" w:rsidRPr="00205C60">
        <w:rPr>
          <w:rFonts w:ascii="Verdana" w:hAnsi="Verdana" w:cs="Arial"/>
          <w:sz w:val="22"/>
          <w:szCs w:val="22"/>
        </w:rPr>
        <w:t xml:space="preserve"> de </w:t>
      </w:r>
      <w:r w:rsidR="007D13A6" w:rsidRPr="00205C60">
        <w:rPr>
          <w:rFonts w:ascii="Verdana" w:hAnsi="Verdana" w:cs="Arial"/>
          <w:sz w:val="22"/>
          <w:szCs w:val="22"/>
        </w:rPr>
        <w:t xml:space="preserve">abril </w:t>
      </w:r>
      <w:r w:rsidR="007F2334" w:rsidRPr="00205C60">
        <w:rPr>
          <w:rFonts w:ascii="Verdana" w:hAnsi="Verdana" w:cs="Arial"/>
          <w:sz w:val="22"/>
          <w:szCs w:val="22"/>
        </w:rPr>
        <w:t>del 20</w:t>
      </w:r>
      <w:r w:rsidR="007D13A6" w:rsidRPr="00205C60">
        <w:rPr>
          <w:rFonts w:ascii="Verdana" w:hAnsi="Verdana" w:cs="Arial"/>
          <w:sz w:val="22"/>
          <w:szCs w:val="22"/>
        </w:rPr>
        <w:t>23</w:t>
      </w:r>
      <w:r w:rsidR="007F2334" w:rsidRPr="00205C60">
        <w:rPr>
          <w:rFonts w:ascii="Verdana" w:hAnsi="Verdana" w:cs="Arial"/>
          <w:sz w:val="22"/>
          <w:szCs w:val="22"/>
        </w:rPr>
        <w:t>.</w:t>
      </w:r>
    </w:p>
    <w:p w14:paraId="3CA7F2C8" w14:textId="59E82F7E" w:rsidR="00F22F57" w:rsidRPr="00205C60" w:rsidRDefault="00F22F57" w:rsidP="00882F32">
      <w:pPr>
        <w:pStyle w:val="Prrafodelista"/>
        <w:numPr>
          <w:ilvl w:val="0"/>
          <w:numId w:val="20"/>
        </w:numPr>
        <w:jc w:val="both"/>
        <w:rPr>
          <w:rFonts w:ascii="Verdana" w:hAnsi="Verdana" w:cs="Arial"/>
          <w:sz w:val="22"/>
          <w:szCs w:val="22"/>
        </w:rPr>
      </w:pPr>
      <w:r w:rsidRPr="00205C60">
        <w:rPr>
          <w:rFonts w:ascii="Verdana" w:hAnsi="Verdana" w:cs="Arial"/>
          <w:sz w:val="22"/>
          <w:szCs w:val="22"/>
        </w:rPr>
        <w:t xml:space="preserve">Nacionalidad: </w:t>
      </w:r>
      <w:r w:rsidR="00E22E20" w:rsidRPr="00205C60">
        <w:rPr>
          <w:rFonts w:ascii="Verdana" w:hAnsi="Verdana" w:cs="Arial"/>
          <w:sz w:val="22"/>
          <w:szCs w:val="22"/>
        </w:rPr>
        <w:t>costarricense</w:t>
      </w:r>
    </w:p>
    <w:p w14:paraId="3CA7F2C9" w14:textId="17760F8E" w:rsidR="00F22F57" w:rsidRPr="00205C60" w:rsidRDefault="00F22F57" w:rsidP="00882F32">
      <w:pPr>
        <w:pStyle w:val="Prrafodelista"/>
        <w:numPr>
          <w:ilvl w:val="0"/>
          <w:numId w:val="20"/>
        </w:numPr>
        <w:jc w:val="both"/>
        <w:rPr>
          <w:rFonts w:ascii="Verdana" w:hAnsi="Verdana" w:cs="Arial"/>
          <w:sz w:val="22"/>
          <w:szCs w:val="22"/>
        </w:rPr>
      </w:pPr>
      <w:r w:rsidRPr="00205C60">
        <w:rPr>
          <w:rFonts w:ascii="Verdana" w:hAnsi="Verdana" w:cs="Arial"/>
          <w:sz w:val="22"/>
          <w:szCs w:val="22"/>
        </w:rPr>
        <w:t xml:space="preserve">Fecha de nacimiento: </w:t>
      </w:r>
      <w:r w:rsidR="00D7499A" w:rsidRPr="00205C60">
        <w:rPr>
          <w:rFonts w:ascii="Verdana" w:hAnsi="Verdana" w:cs="Arial"/>
          <w:sz w:val="22"/>
          <w:szCs w:val="22"/>
        </w:rPr>
        <w:t>17</w:t>
      </w:r>
      <w:r w:rsidRPr="00205C60">
        <w:rPr>
          <w:rFonts w:ascii="Verdana" w:hAnsi="Verdana" w:cs="Arial"/>
          <w:sz w:val="22"/>
          <w:szCs w:val="22"/>
        </w:rPr>
        <w:t>/</w:t>
      </w:r>
      <w:r w:rsidR="00D7499A" w:rsidRPr="00205C60">
        <w:rPr>
          <w:rFonts w:ascii="Verdana" w:hAnsi="Verdana" w:cs="Arial"/>
          <w:sz w:val="22"/>
          <w:szCs w:val="22"/>
        </w:rPr>
        <w:t>06</w:t>
      </w:r>
      <w:r w:rsidRPr="00205C60">
        <w:rPr>
          <w:rFonts w:ascii="Verdana" w:hAnsi="Verdana" w:cs="Arial"/>
          <w:sz w:val="22"/>
          <w:szCs w:val="22"/>
        </w:rPr>
        <w:t>/</w:t>
      </w:r>
      <w:r w:rsidR="00D7499A" w:rsidRPr="00205C60">
        <w:rPr>
          <w:rFonts w:ascii="Verdana" w:hAnsi="Verdana" w:cs="Arial"/>
          <w:sz w:val="22"/>
          <w:szCs w:val="22"/>
        </w:rPr>
        <w:t>1976</w:t>
      </w:r>
    </w:p>
    <w:p w14:paraId="3CA7F2CA" w14:textId="75A8BAC4" w:rsidR="00F22F57" w:rsidRPr="00205C60" w:rsidRDefault="00F22F57" w:rsidP="00882F32">
      <w:pPr>
        <w:pStyle w:val="Prrafodelista"/>
        <w:numPr>
          <w:ilvl w:val="0"/>
          <w:numId w:val="20"/>
        </w:numPr>
        <w:jc w:val="both"/>
        <w:rPr>
          <w:rFonts w:ascii="Verdana" w:hAnsi="Verdana" w:cs="Arial"/>
          <w:sz w:val="22"/>
          <w:szCs w:val="22"/>
        </w:rPr>
      </w:pPr>
      <w:r w:rsidRPr="00205C60">
        <w:rPr>
          <w:rFonts w:ascii="Verdana" w:hAnsi="Verdana" w:cs="Arial"/>
          <w:sz w:val="22"/>
          <w:szCs w:val="22"/>
        </w:rPr>
        <w:t xml:space="preserve">Trayectoria en la Empresa: </w:t>
      </w:r>
      <w:r w:rsidR="00395D07" w:rsidRPr="00205C60">
        <w:rPr>
          <w:rFonts w:ascii="Verdana" w:hAnsi="Verdana" w:cs="Arial"/>
          <w:sz w:val="22"/>
          <w:szCs w:val="22"/>
        </w:rPr>
        <w:t>2</w:t>
      </w:r>
      <w:r w:rsidR="009D743E" w:rsidRPr="00205C60">
        <w:rPr>
          <w:rFonts w:ascii="Verdana" w:hAnsi="Verdana" w:cs="Arial"/>
          <w:sz w:val="22"/>
          <w:szCs w:val="22"/>
        </w:rPr>
        <w:t>5</w:t>
      </w:r>
      <w:r w:rsidRPr="00205C60">
        <w:rPr>
          <w:rFonts w:ascii="Verdana" w:hAnsi="Verdana" w:cs="Arial"/>
          <w:sz w:val="22"/>
          <w:szCs w:val="22"/>
        </w:rPr>
        <w:t xml:space="preserve"> años</w:t>
      </w:r>
    </w:p>
    <w:p w14:paraId="3CA7F2CB" w14:textId="68733099" w:rsidR="009D2582" w:rsidRPr="00205C60" w:rsidRDefault="00F22F57" w:rsidP="00882F32">
      <w:pPr>
        <w:pStyle w:val="Prrafodelista"/>
        <w:numPr>
          <w:ilvl w:val="0"/>
          <w:numId w:val="20"/>
        </w:numPr>
        <w:jc w:val="both"/>
        <w:rPr>
          <w:rFonts w:ascii="Verdana" w:hAnsi="Verdana" w:cs="Arial"/>
          <w:sz w:val="22"/>
          <w:szCs w:val="22"/>
        </w:rPr>
      </w:pPr>
      <w:r w:rsidRPr="00205C60">
        <w:rPr>
          <w:rFonts w:ascii="Verdana" w:hAnsi="Verdana" w:cs="Arial"/>
          <w:sz w:val="22"/>
          <w:szCs w:val="22"/>
        </w:rPr>
        <w:t xml:space="preserve">Experiencia laboral en el </w:t>
      </w:r>
      <w:r w:rsidR="000D0286" w:rsidRPr="00205C60">
        <w:rPr>
          <w:rFonts w:ascii="Verdana" w:hAnsi="Verdana" w:cs="Arial"/>
          <w:sz w:val="22"/>
          <w:szCs w:val="22"/>
        </w:rPr>
        <w:t>área técnica</w:t>
      </w:r>
      <w:r w:rsidRPr="00205C60">
        <w:rPr>
          <w:rFonts w:ascii="Verdana" w:hAnsi="Verdana" w:cs="Arial"/>
          <w:sz w:val="22"/>
          <w:szCs w:val="22"/>
        </w:rPr>
        <w:t xml:space="preserve">: </w:t>
      </w:r>
      <w:r w:rsidR="00AE3DEA" w:rsidRPr="00205C60">
        <w:rPr>
          <w:rFonts w:ascii="Verdana" w:hAnsi="Verdana" w:cs="Arial"/>
          <w:sz w:val="22"/>
          <w:szCs w:val="22"/>
        </w:rPr>
        <w:t>2</w:t>
      </w:r>
      <w:r w:rsidR="009D743E" w:rsidRPr="00205C60">
        <w:rPr>
          <w:rFonts w:ascii="Verdana" w:hAnsi="Verdana" w:cs="Arial"/>
          <w:sz w:val="22"/>
          <w:szCs w:val="22"/>
        </w:rPr>
        <w:t>5</w:t>
      </w:r>
      <w:r w:rsidR="009D2582" w:rsidRPr="00205C60">
        <w:rPr>
          <w:rFonts w:ascii="Verdana" w:hAnsi="Verdana" w:cs="Arial"/>
          <w:sz w:val="22"/>
          <w:szCs w:val="22"/>
        </w:rPr>
        <w:t xml:space="preserve"> años</w:t>
      </w:r>
    </w:p>
    <w:p w14:paraId="3CA7F2CC" w14:textId="3A5616BE" w:rsidR="00F22F57" w:rsidRPr="00205C60" w:rsidRDefault="00F22F57" w:rsidP="00882F32">
      <w:pPr>
        <w:pStyle w:val="Prrafodelista"/>
        <w:numPr>
          <w:ilvl w:val="0"/>
          <w:numId w:val="20"/>
        </w:numPr>
        <w:jc w:val="both"/>
        <w:rPr>
          <w:rFonts w:ascii="Verdana" w:hAnsi="Verdana" w:cs="Arial"/>
          <w:sz w:val="22"/>
          <w:szCs w:val="22"/>
        </w:rPr>
      </w:pPr>
      <w:r w:rsidRPr="00205C60">
        <w:rPr>
          <w:rFonts w:ascii="Verdana" w:hAnsi="Verdana" w:cs="Arial"/>
          <w:sz w:val="22"/>
          <w:szCs w:val="22"/>
        </w:rPr>
        <w:t>Funciones que desempeña: Dirección, planeamiento, organización, programación, coordinación, control, formulación y supervisión de las actividades profesionales, técnicas, científicas y administrativas del más alto grado de dificultad, del sistema estratégico de la Dirección Estrategia y Desarrollo de Negocios.</w:t>
      </w:r>
    </w:p>
    <w:p w14:paraId="13B344BA" w14:textId="05B8E4CF" w:rsidR="00254F02" w:rsidRPr="00205C60" w:rsidRDefault="00254F02" w:rsidP="00254F02">
      <w:pPr>
        <w:jc w:val="both"/>
        <w:rPr>
          <w:rFonts w:ascii="Verdana" w:hAnsi="Verdana" w:cs="Arial"/>
          <w:sz w:val="22"/>
          <w:szCs w:val="22"/>
        </w:rPr>
      </w:pPr>
    </w:p>
    <w:p w14:paraId="678EA18E" w14:textId="21D36774" w:rsidR="00ED586A" w:rsidRPr="005069A9" w:rsidRDefault="00ED586A" w:rsidP="005069A9">
      <w:pPr>
        <w:jc w:val="both"/>
        <w:rPr>
          <w:rFonts w:ascii="Verdana" w:hAnsi="Verdana" w:cs="Arial"/>
          <w:b/>
          <w:bCs/>
          <w:sz w:val="22"/>
          <w:szCs w:val="22"/>
        </w:rPr>
      </w:pPr>
      <w:r w:rsidRPr="005069A9">
        <w:rPr>
          <w:rFonts w:ascii="Verdana" w:hAnsi="Verdana" w:cs="Arial"/>
          <w:b/>
          <w:bCs/>
          <w:sz w:val="22"/>
          <w:szCs w:val="22"/>
        </w:rPr>
        <w:t xml:space="preserve">Ing. </w:t>
      </w:r>
      <w:r w:rsidR="0019783D" w:rsidRPr="005069A9">
        <w:rPr>
          <w:rFonts w:ascii="Verdana" w:hAnsi="Verdana" w:cs="Arial"/>
          <w:b/>
          <w:bCs/>
          <w:sz w:val="22"/>
          <w:szCs w:val="22"/>
        </w:rPr>
        <w:t>Esteban</w:t>
      </w:r>
      <w:r w:rsidR="00FB3D70" w:rsidRPr="005069A9">
        <w:rPr>
          <w:rFonts w:ascii="Verdana" w:hAnsi="Verdana" w:cs="Arial"/>
          <w:b/>
          <w:bCs/>
          <w:sz w:val="22"/>
          <w:szCs w:val="22"/>
        </w:rPr>
        <w:t xml:space="preserve"> Jiménez Vargas</w:t>
      </w:r>
    </w:p>
    <w:p w14:paraId="47757164" w14:textId="77777777" w:rsidR="00ED586A" w:rsidRPr="00205C60" w:rsidRDefault="00ED586A" w:rsidP="00ED586A">
      <w:pPr>
        <w:pStyle w:val="Prrafodelista"/>
        <w:numPr>
          <w:ilvl w:val="0"/>
          <w:numId w:val="20"/>
        </w:numPr>
        <w:jc w:val="both"/>
        <w:rPr>
          <w:rFonts w:ascii="Verdana" w:hAnsi="Verdana" w:cs="Arial"/>
          <w:sz w:val="22"/>
          <w:szCs w:val="22"/>
        </w:rPr>
      </w:pPr>
      <w:r w:rsidRPr="00205C60">
        <w:rPr>
          <w:rFonts w:ascii="Verdana" w:hAnsi="Verdana" w:cs="Arial"/>
          <w:sz w:val="22"/>
          <w:szCs w:val="22"/>
        </w:rPr>
        <w:t>Director, Dirección Transformación y Gestión Tecnológica</w:t>
      </w:r>
    </w:p>
    <w:p w14:paraId="7F8BECD4" w14:textId="25B2D1C6" w:rsidR="00ED586A" w:rsidRPr="00205C60" w:rsidRDefault="00ED586A" w:rsidP="00ED586A">
      <w:pPr>
        <w:pStyle w:val="Prrafodelista"/>
        <w:numPr>
          <w:ilvl w:val="0"/>
          <w:numId w:val="20"/>
        </w:numPr>
        <w:jc w:val="both"/>
        <w:rPr>
          <w:rFonts w:ascii="Verdana" w:hAnsi="Verdana" w:cs="Arial"/>
          <w:sz w:val="22"/>
          <w:szCs w:val="22"/>
        </w:rPr>
      </w:pPr>
      <w:r w:rsidRPr="00205C60">
        <w:rPr>
          <w:rFonts w:ascii="Verdana" w:hAnsi="Verdana" w:cs="Arial"/>
          <w:sz w:val="22"/>
          <w:szCs w:val="22"/>
        </w:rPr>
        <w:t xml:space="preserve">Nombramiento a partir del </w:t>
      </w:r>
      <w:r w:rsidR="001330B1" w:rsidRPr="00205C60">
        <w:rPr>
          <w:rFonts w:ascii="Verdana" w:hAnsi="Verdana" w:cs="Arial"/>
          <w:sz w:val="22"/>
          <w:szCs w:val="22"/>
        </w:rPr>
        <w:t>15</w:t>
      </w:r>
      <w:r w:rsidRPr="00205C60">
        <w:rPr>
          <w:rFonts w:ascii="Verdana" w:hAnsi="Verdana" w:cs="Arial"/>
          <w:sz w:val="22"/>
          <w:szCs w:val="22"/>
        </w:rPr>
        <w:t xml:space="preserve"> de </w:t>
      </w:r>
      <w:r w:rsidR="001330B1" w:rsidRPr="00205C60">
        <w:rPr>
          <w:rFonts w:ascii="Verdana" w:hAnsi="Verdana" w:cs="Arial"/>
          <w:sz w:val="22"/>
          <w:szCs w:val="22"/>
        </w:rPr>
        <w:t>marzo</w:t>
      </w:r>
      <w:r w:rsidRPr="00205C60">
        <w:rPr>
          <w:rFonts w:ascii="Verdana" w:hAnsi="Verdana" w:cs="Arial"/>
          <w:sz w:val="22"/>
          <w:szCs w:val="22"/>
        </w:rPr>
        <w:t xml:space="preserve"> de 202</w:t>
      </w:r>
      <w:r w:rsidR="001330B1" w:rsidRPr="00205C60">
        <w:rPr>
          <w:rFonts w:ascii="Verdana" w:hAnsi="Verdana" w:cs="Arial"/>
          <w:sz w:val="22"/>
          <w:szCs w:val="22"/>
        </w:rPr>
        <w:t>3</w:t>
      </w:r>
      <w:r w:rsidRPr="00205C60">
        <w:rPr>
          <w:rFonts w:ascii="Verdana" w:hAnsi="Verdana" w:cs="Arial"/>
          <w:sz w:val="22"/>
          <w:szCs w:val="22"/>
        </w:rPr>
        <w:t>.</w:t>
      </w:r>
    </w:p>
    <w:p w14:paraId="3609899C" w14:textId="77777777" w:rsidR="00ED586A" w:rsidRPr="00205C60" w:rsidRDefault="00ED586A" w:rsidP="00ED586A">
      <w:pPr>
        <w:pStyle w:val="Prrafodelista"/>
        <w:numPr>
          <w:ilvl w:val="0"/>
          <w:numId w:val="20"/>
        </w:numPr>
        <w:jc w:val="both"/>
        <w:rPr>
          <w:rFonts w:ascii="Verdana" w:hAnsi="Verdana" w:cs="Arial"/>
          <w:sz w:val="22"/>
          <w:szCs w:val="22"/>
        </w:rPr>
      </w:pPr>
      <w:r w:rsidRPr="00205C60">
        <w:rPr>
          <w:rFonts w:ascii="Verdana" w:hAnsi="Verdana" w:cs="Arial"/>
          <w:sz w:val="22"/>
          <w:szCs w:val="22"/>
        </w:rPr>
        <w:t>Nacionalidad: costarricense.</w:t>
      </w:r>
    </w:p>
    <w:p w14:paraId="26F1049C" w14:textId="702C95EE" w:rsidR="00ED586A" w:rsidRPr="00205C60" w:rsidRDefault="00ED586A" w:rsidP="00ED586A">
      <w:pPr>
        <w:pStyle w:val="Prrafodelista"/>
        <w:numPr>
          <w:ilvl w:val="0"/>
          <w:numId w:val="20"/>
        </w:numPr>
        <w:jc w:val="both"/>
        <w:rPr>
          <w:rFonts w:ascii="Verdana" w:hAnsi="Verdana" w:cs="Arial"/>
          <w:sz w:val="22"/>
          <w:szCs w:val="22"/>
        </w:rPr>
      </w:pPr>
      <w:r w:rsidRPr="00205C60">
        <w:rPr>
          <w:rFonts w:ascii="Verdana" w:hAnsi="Verdana" w:cs="Arial"/>
          <w:sz w:val="22"/>
          <w:szCs w:val="22"/>
        </w:rPr>
        <w:t>Fecha de nacimiento: 2</w:t>
      </w:r>
      <w:r w:rsidR="001330B1" w:rsidRPr="00205C60">
        <w:rPr>
          <w:rFonts w:ascii="Verdana" w:hAnsi="Verdana" w:cs="Arial"/>
          <w:sz w:val="22"/>
          <w:szCs w:val="22"/>
        </w:rPr>
        <w:t>0</w:t>
      </w:r>
      <w:r w:rsidRPr="00205C60">
        <w:rPr>
          <w:rFonts w:ascii="Verdana" w:hAnsi="Verdana" w:cs="Arial"/>
          <w:sz w:val="22"/>
          <w:szCs w:val="22"/>
        </w:rPr>
        <w:t>/0</w:t>
      </w:r>
      <w:r w:rsidR="001330B1" w:rsidRPr="00205C60">
        <w:rPr>
          <w:rFonts w:ascii="Verdana" w:hAnsi="Verdana" w:cs="Arial"/>
          <w:sz w:val="22"/>
          <w:szCs w:val="22"/>
        </w:rPr>
        <w:t>1</w:t>
      </w:r>
      <w:r w:rsidRPr="00205C60">
        <w:rPr>
          <w:rFonts w:ascii="Verdana" w:hAnsi="Verdana" w:cs="Arial"/>
          <w:sz w:val="22"/>
          <w:szCs w:val="22"/>
        </w:rPr>
        <w:t>/197</w:t>
      </w:r>
      <w:r w:rsidR="001330B1" w:rsidRPr="00205C60">
        <w:rPr>
          <w:rFonts w:ascii="Verdana" w:hAnsi="Verdana" w:cs="Arial"/>
          <w:sz w:val="22"/>
          <w:szCs w:val="22"/>
        </w:rPr>
        <w:t>8</w:t>
      </w:r>
      <w:r w:rsidRPr="00205C60">
        <w:rPr>
          <w:rFonts w:ascii="Verdana" w:hAnsi="Verdana" w:cs="Arial"/>
          <w:sz w:val="22"/>
          <w:szCs w:val="22"/>
        </w:rPr>
        <w:t>.</w:t>
      </w:r>
    </w:p>
    <w:p w14:paraId="074A8D79" w14:textId="08688F75" w:rsidR="00ED586A" w:rsidRPr="00205C60" w:rsidRDefault="00ED586A" w:rsidP="00ED586A">
      <w:pPr>
        <w:pStyle w:val="Prrafodelista"/>
        <w:numPr>
          <w:ilvl w:val="0"/>
          <w:numId w:val="20"/>
        </w:numPr>
        <w:jc w:val="both"/>
        <w:rPr>
          <w:rFonts w:ascii="Verdana" w:hAnsi="Verdana" w:cs="Arial"/>
          <w:sz w:val="22"/>
          <w:szCs w:val="22"/>
        </w:rPr>
      </w:pPr>
      <w:r w:rsidRPr="00205C60">
        <w:rPr>
          <w:rFonts w:ascii="Verdana" w:hAnsi="Verdana" w:cs="Arial"/>
          <w:sz w:val="22"/>
          <w:szCs w:val="22"/>
        </w:rPr>
        <w:t xml:space="preserve">Trayectoria en la empresa: </w:t>
      </w:r>
      <w:r w:rsidR="00821E8F" w:rsidRPr="00205C60">
        <w:rPr>
          <w:rFonts w:ascii="Verdana" w:hAnsi="Verdana" w:cs="Arial"/>
          <w:sz w:val="22"/>
          <w:szCs w:val="22"/>
        </w:rPr>
        <w:t>2 meses</w:t>
      </w:r>
      <w:r w:rsidRPr="00205C60">
        <w:rPr>
          <w:rFonts w:ascii="Verdana" w:hAnsi="Verdana" w:cs="Arial"/>
          <w:sz w:val="22"/>
          <w:szCs w:val="22"/>
        </w:rPr>
        <w:t>.</w:t>
      </w:r>
    </w:p>
    <w:p w14:paraId="7DBEDEF2" w14:textId="77777777" w:rsidR="00ED586A" w:rsidRPr="00205C60" w:rsidRDefault="00ED586A" w:rsidP="00ED586A">
      <w:pPr>
        <w:pStyle w:val="Prrafodelista"/>
        <w:numPr>
          <w:ilvl w:val="0"/>
          <w:numId w:val="20"/>
        </w:numPr>
        <w:jc w:val="both"/>
        <w:rPr>
          <w:rFonts w:ascii="Verdana" w:hAnsi="Verdana" w:cs="Arial"/>
          <w:sz w:val="22"/>
          <w:szCs w:val="22"/>
        </w:rPr>
      </w:pPr>
      <w:r w:rsidRPr="00205C60">
        <w:rPr>
          <w:rFonts w:ascii="Verdana" w:hAnsi="Verdana" w:cs="Arial"/>
          <w:sz w:val="22"/>
          <w:szCs w:val="22"/>
        </w:rPr>
        <w:t>Funciones que desempeña: Dirección, planeamiento, organización, programación, coordinación, control, formulación y supervisión de las actividades profesionales, técnicas, científicas y administrativas del más alto grado de dificultad, del sistema estratégico de la Dirección Transformación y Gestión Tecnológica.</w:t>
      </w:r>
    </w:p>
    <w:p w14:paraId="212E94FF" w14:textId="77777777" w:rsidR="00254F02" w:rsidRPr="00205C60" w:rsidRDefault="00254F02" w:rsidP="0070692B">
      <w:pPr>
        <w:pStyle w:val="Prrafodelista"/>
        <w:ind w:left="360"/>
        <w:jc w:val="both"/>
        <w:rPr>
          <w:rFonts w:ascii="Verdana" w:hAnsi="Verdana" w:cs="Arial"/>
          <w:sz w:val="22"/>
          <w:szCs w:val="22"/>
        </w:rPr>
      </w:pPr>
    </w:p>
    <w:p w14:paraId="3CA7F2CE" w14:textId="77777777" w:rsidR="00562221" w:rsidRPr="00205C60" w:rsidRDefault="00562221" w:rsidP="00562221">
      <w:pPr>
        <w:jc w:val="both"/>
        <w:rPr>
          <w:rFonts w:ascii="Verdana" w:hAnsi="Verdana" w:cs="Arial"/>
          <w:sz w:val="22"/>
          <w:szCs w:val="22"/>
        </w:rPr>
      </w:pPr>
      <w:r w:rsidRPr="00205C60">
        <w:rPr>
          <w:rFonts w:ascii="Verdana" w:hAnsi="Verdana" w:cs="Arial"/>
          <w:sz w:val="22"/>
          <w:szCs w:val="22"/>
        </w:rPr>
        <w:t>Cabe mencionar, que ningún funcionario que conforma el personal gerencial, ocupa el puesto de director en otras empresas.</w:t>
      </w:r>
    </w:p>
    <w:p w14:paraId="3CA7F2CF" w14:textId="77777777" w:rsidR="009A4AF0" w:rsidRPr="00205C60" w:rsidRDefault="009A4AF0" w:rsidP="003228D8">
      <w:pPr>
        <w:rPr>
          <w:rFonts w:ascii="Verdana" w:hAnsi="Verdana" w:cs="Arial"/>
          <w:sz w:val="22"/>
          <w:szCs w:val="22"/>
        </w:rPr>
      </w:pPr>
    </w:p>
    <w:p w14:paraId="3CA7F2D0" w14:textId="627948AB" w:rsidR="005613A9" w:rsidRPr="00205C60" w:rsidRDefault="005613A9" w:rsidP="003228D8">
      <w:pPr>
        <w:rPr>
          <w:rFonts w:ascii="Verdana" w:hAnsi="Verdana" w:cs="Arial"/>
          <w:b/>
          <w:bCs/>
          <w:color w:val="FF0000"/>
          <w:sz w:val="22"/>
          <w:szCs w:val="22"/>
        </w:rPr>
      </w:pPr>
    </w:p>
    <w:p w14:paraId="3CA7F2D1" w14:textId="77777777" w:rsidR="00B44125" w:rsidRPr="00205C60" w:rsidRDefault="00B44125" w:rsidP="00307E2B">
      <w:pPr>
        <w:pStyle w:val="Ttulo2"/>
        <w:numPr>
          <w:ilvl w:val="1"/>
          <w:numId w:val="2"/>
        </w:numPr>
        <w:tabs>
          <w:tab w:val="clear" w:pos="720"/>
          <w:tab w:val="left" w:pos="708"/>
        </w:tabs>
        <w:rPr>
          <w:rFonts w:ascii="Verdana" w:hAnsi="Verdana" w:cs="Arial"/>
          <w:sz w:val="22"/>
          <w:szCs w:val="22"/>
        </w:rPr>
      </w:pPr>
      <w:bookmarkStart w:id="170" w:name="_Toc104529490"/>
      <w:r w:rsidRPr="00205C60">
        <w:rPr>
          <w:rFonts w:ascii="Verdana" w:hAnsi="Verdana" w:cs="Arial"/>
          <w:sz w:val="22"/>
          <w:szCs w:val="22"/>
        </w:rPr>
        <w:t>De la Asamblea de Accionistas</w:t>
      </w:r>
      <w:bookmarkEnd w:id="170"/>
    </w:p>
    <w:p w14:paraId="3CA7F2D2" w14:textId="77777777" w:rsidR="0003506E" w:rsidRPr="00205C60" w:rsidRDefault="0003506E" w:rsidP="0003506E">
      <w:pPr>
        <w:rPr>
          <w:rFonts w:ascii="Verdana" w:hAnsi="Verdana"/>
          <w:sz w:val="22"/>
          <w:szCs w:val="22"/>
        </w:rPr>
      </w:pPr>
    </w:p>
    <w:p w14:paraId="3CA7F2D3" w14:textId="77777777" w:rsidR="00B44125" w:rsidRPr="00205C60" w:rsidRDefault="00B44125" w:rsidP="00307E2B">
      <w:pPr>
        <w:numPr>
          <w:ilvl w:val="0"/>
          <w:numId w:val="4"/>
        </w:numPr>
        <w:tabs>
          <w:tab w:val="clear" w:pos="1293"/>
          <w:tab w:val="num" w:pos="720"/>
        </w:tabs>
        <w:ind w:left="720" w:hanging="360"/>
        <w:jc w:val="both"/>
        <w:rPr>
          <w:rFonts w:ascii="Verdana" w:hAnsi="Verdana" w:cs="Arial"/>
          <w:sz w:val="22"/>
          <w:szCs w:val="22"/>
        </w:rPr>
      </w:pPr>
      <w:r w:rsidRPr="00205C60">
        <w:rPr>
          <w:rFonts w:ascii="Verdana" w:hAnsi="Verdana" w:cs="Arial"/>
          <w:sz w:val="22"/>
          <w:szCs w:val="22"/>
        </w:rPr>
        <w:t xml:space="preserve">La Asamblea General de Accionistas será constituida por las personas que sean dueñas de acciones y comprueben esa calidad de acuerdo con el Registro de Accionistas.  La Asamblea General de Accionistas celebrará sesiones ordinarias, extraordinarias y especiales cuando para el efecto sea convocada. </w:t>
      </w:r>
    </w:p>
    <w:p w14:paraId="3CA7F2D4" w14:textId="77777777" w:rsidR="005D54F9" w:rsidRPr="00205C60" w:rsidRDefault="005D54F9" w:rsidP="005D54F9">
      <w:pPr>
        <w:ind w:left="720"/>
        <w:jc w:val="both"/>
        <w:rPr>
          <w:rFonts w:ascii="Verdana" w:hAnsi="Verdana" w:cs="Arial"/>
          <w:sz w:val="22"/>
          <w:szCs w:val="22"/>
        </w:rPr>
      </w:pPr>
    </w:p>
    <w:p w14:paraId="3CA7F2D5" w14:textId="3E0B731B" w:rsidR="00B44125" w:rsidRPr="00205C60" w:rsidRDefault="00B44125" w:rsidP="00476478">
      <w:pPr>
        <w:jc w:val="both"/>
        <w:rPr>
          <w:rFonts w:ascii="Verdana" w:hAnsi="Verdana" w:cs="Arial"/>
          <w:sz w:val="22"/>
          <w:szCs w:val="22"/>
        </w:rPr>
      </w:pPr>
      <w:r w:rsidRPr="00205C60">
        <w:rPr>
          <w:rFonts w:ascii="Verdana" w:hAnsi="Verdana" w:cs="Arial"/>
          <w:sz w:val="22"/>
          <w:szCs w:val="22"/>
        </w:rPr>
        <w:t xml:space="preserve">La Asamblea deberá ser convocada por el Consejo de Administración o por el Gerente de la Compañía, con una semana de anticipación, mediante aviso que se publicará una vez en dos de los diarios de mayor circulación del país.  En el plazo no se computará el día de la </w:t>
      </w:r>
      <w:r w:rsidR="00E22E20" w:rsidRPr="00205C60">
        <w:rPr>
          <w:rFonts w:ascii="Verdana" w:hAnsi="Verdana" w:cs="Arial"/>
          <w:sz w:val="22"/>
          <w:szCs w:val="22"/>
        </w:rPr>
        <w:t>publicación ni</w:t>
      </w:r>
      <w:r w:rsidRPr="00205C60">
        <w:rPr>
          <w:rFonts w:ascii="Verdana" w:hAnsi="Verdana" w:cs="Arial"/>
          <w:sz w:val="22"/>
          <w:szCs w:val="22"/>
        </w:rPr>
        <w:t xml:space="preserve"> el de la celebración de la Asamblea.  Las </w:t>
      </w:r>
      <w:r w:rsidRPr="00205C60">
        <w:rPr>
          <w:rFonts w:ascii="Verdana" w:hAnsi="Verdana" w:cs="Arial"/>
          <w:sz w:val="22"/>
          <w:szCs w:val="22"/>
        </w:rPr>
        <w:lastRenderedPageBreak/>
        <w:t xml:space="preserve">resoluciones de la Asamblea General de Accionistas se tomarán por la mayoría que indique la Ley.  Se observarán las formalidades para la validez de sus deliberaciones que exija la Ley.  </w:t>
      </w:r>
    </w:p>
    <w:p w14:paraId="3CA7F2D6" w14:textId="77777777" w:rsidR="000F6138" w:rsidRPr="00205C60" w:rsidRDefault="000F6138" w:rsidP="00476478">
      <w:pPr>
        <w:jc w:val="both"/>
        <w:rPr>
          <w:rFonts w:ascii="Verdana" w:hAnsi="Verdana" w:cs="Arial"/>
          <w:sz w:val="22"/>
          <w:szCs w:val="22"/>
        </w:rPr>
      </w:pPr>
    </w:p>
    <w:p w14:paraId="3CA7F2D7" w14:textId="3750B232" w:rsidR="0054438D" w:rsidRPr="00205C60" w:rsidRDefault="0054438D" w:rsidP="00882F32">
      <w:pPr>
        <w:numPr>
          <w:ilvl w:val="0"/>
          <w:numId w:val="17"/>
        </w:numPr>
        <w:ind w:left="720" w:hanging="360"/>
        <w:jc w:val="both"/>
        <w:rPr>
          <w:rFonts w:ascii="Verdana" w:hAnsi="Verdana" w:cs="Arial"/>
          <w:sz w:val="22"/>
          <w:szCs w:val="22"/>
        </w:rPr>
      </w:pPr>
      <w:r w:rsidRPr="00205C60">
        <w:rPr>
          <w:rFonts w:ascii="Verdana" w:hAnsi="Verdana" w:cs="Arial"/>
          <w:sz w:val="22"/>
          <w:szCs w:val="22"/>
        </w:rPr>
        <w:t>La Asamblea General de Accionistas nombrará un Comité de Vigilancia que pueden ser accionistas o no, y durarán en sus funciones por el período de dos años.  Dicho comité estará compuesto de tres personas que tendrán las facultades y los deberes que consigna el artículo ciento noventa y siete del Código de Comercio.</w:t>
      </w:r>
    </w:p>
    <w:p w14:paraId="2DD0F7F7" w14:textId="44C5835D" w:rsidR="00266B6A" w:rsidRPr="00205C60" w:rsidRDefault="00266B6A" w:rsidP="00266B6A">
      <w:pPr>
        <w:jc w:val="both"/>
        <w:rPr>
          <w:rFonts w:ascii="Verdana" w:hAnsi="Verdana" w:cs="Arial"/>
          <w:sz w:val="22"/>
          <w:szCs w:val="22"/>
        </w:rPr>
      </w:pPr>
    </w:p>
    <w:tbl>
      <w:tblPr>
        <w:tblW w:w="0" w:type="auto"/>
        <w:tblInd w:w="392" w:type="dxa"/>
        <w:tblCellMar>
          <w:left w:w="0" w:type="dxa"/>
          <w:right w:w="0" w:type="dxa"/>
        </w:tblCellMar>
        <w:tblLook w:val="04A0" w:firstRow="1" w:lastRow="0" w:firstColumn="1" w:lastColumn="0" w:noHBand="0" w:noVBand="1"/>
      </w:tblPr>
      <w:tblGrid>
        <w:gridCol w:w="2955"/>
        <w:gridCol w:w="2373"/>
        <w:gridCol w:w="3389"/>
      </w:tblGrid>
      <w:tr w:rsidR="004B0131" w:rsidRPr="00205C60" w14:paraId="6A3CD3AB" w14:textId="77777777" w:rsidTr="004B0131">
        <w:tc>
          <w:tcPr>
            <w:tcW w:w="8572"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F0CEDE" w14:textId="77777777" w:rsidR="004B0131" w:rsidRPr="00205C60" w:rsidRDefault="004B0131">
            <w:pPr>
              <w:jc w:val="center"/>
              <w:rPr>
                <w:sz w:val="22"/>
                <w:lang w:val="es-CR" w:eastAsia="en-US"/>
              </w:rPr>
            </w:pPr>
            <w:r w:rsidRPr="00205C60">
              <w:rPr>
                <w:rFonts w:ascii="Verdana" w:hAnsi="Verdana"/>
                <w:b/>
                <w:bCs/>
                <w:lang w:val="es-419"/>
              </w:rPr>
              <w:t>MIEMBROS DEL COMITÉ DE VIGILANCIA</w:t>
            </w:r>
          </w:p>
        </w:tc>
      </w:tr>
      <w:tr w:rsidR="004B0131" w:rsidRPr="00205C60" w14:paraId="1165B848" w14:textId="77777777" w:rsidTr="004B0131">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9129BA" w14:textId="77777777" w:rsidR="004B0131" w:rsidRPr="00205C60" w:rsidRDefault="004B0131">
            <w:pPr>
              <w:jc w:val="center"/>
            </w:pPr>
            <w:r w:rsidRPr="00205C60">
              <w:rPr>
                <w:rFonts w:ascii="Verdana" w:hAnsi="Verdana"/>
                <w:b/>
                <w:bCs/>
              </w:rPr>
              <w:t>NOMBRE</w:t>
            </w:r>
          </w:p>
        </w:tc>
        <w:tc>
          <w:tcPr>
            <w:tcW w:w="2193" w:type="dxa"/>
            <w:tcBorders>
              <w:top w:val="nil"/>
              <w:left w:val="nil"/>
              <w:bottom w:val="single" w:sz="8" w:space="0" w:color="auto"/>
              <w:right w:val="single" w:sz="8" w:space="0" w:color="auto"/>
            </w:tcBorders>
            <w:tcMar>
              <w:top w:w="0" w:type="dxa"/>
              <w:left w:w="108" w:type="dxa"/>
              <w:bottom w:w="0" w:type="dxa"/>
              <w:right w:w="108" w:type="dxa"/>
            </w:tcMar>
            <w:hideMark/>
          </w:tcPr>
          <w:p w14:paraId="6DFA9FE8" w14:textId="77777777" w:rsidR="004B0131" w:rsidRPr="00205C60" w:rsidRDefault="004B0131">
            <w:pPr>
              <w:jc w:val="center"/>
            </w:pPr>
            <w:r w:rsidRPr="00205C60">
              <w:rPr>
                <w:rFonts w:ascii="Verdana" w:hAnsi="Verdana"/>
                <w:b/>
                <w:bCs/>
              </w:rPr>
              <w:t>NACIONALIDAD</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42D5713B" w14:textId="77777777" w:rsidR="004B0131" w:rsidRPr="00205C60" w:rsidRDefault="004B0131">
            <w:pPr>
              <w:jc w:val="center"/>
            </w:pPr>
            <w:r w:rsidRPr="00205C60">
              <w:rPr>
                <w:rFonts w:ascii="Verdana" w:hAnsi="Verdana"/>
                <w:b/>
                <w:bCs/>
              </w:rPr>
              <w:t>PERIODO DEL NOMBRAMIENTO</w:t>
            </w:r>
          </w:p>
        </w:tc>
      </w:tr>
      <w:tr w:rsidR="004B0131" w:rsidRPr="00205C60" w14:paraId="2D6F8254" w14:textId="77777777" w:rsidTr="004B0131">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5B5F74" w14:textId="77777777" w:rsidR="004B0131" w:rsidRPr="00205C60" w:rsidRDefault="004B0131">
            <w:pPr>
              <w:jc w:val="center"/>
            </w:pPr>
            <w:r w:rsidRPr="00205C60">
              <w:rPr>
                <w:rFonts w:ascii="Arial" w:hAnsi="Arial" w:cs="Arial"/>
                <w:szCs w:val="24"/>
              </w:rPr>
              <w:t>Maricel Cordero Gómez</w:t>
            </w:r>
          </w:p>
        </w:tc>
        <w:tc>
          <w:tcPr>
            <w:tcW w:w="2193" w:type="dxa"/>
            <w:tcBorders>
              <w:top w:val="nil"/>
              <w:left w:val="nil"/>
              <w:bottom w:val="single" w:sz="8" w:space="0" w:color="auto"/>
              <w:right w:val="single" w:sz="8" w:space="0" w:color="auto"/>
            </w:tcBorders>
            <w:tcMar>
              <w:top w:w="0" w:type="dxa"/>
              <w:left w:w="108" w:type="dxa"/>
              <w:bottom w:w="0" w:type="dxa"/>
              <w:right w:w="108" w:type="dxa"/>
            </w:tcMar>
            <w:hideMark/>
          </w:tcPr>
          <w:p w14:paraId="7A698894" w14:textId="77777777" w:rsidR="004B0131" w:rsidRPr="00205C60" w:rsidRDefault="004B0131">
            <w:pPr>
              <w:jc w:val="center"/>
            </w:pPr>
            <w:r w:rsidRPr="00205C60">
              <w:rPr>
                <w:rFonts w:ascii="Verdana" w:hAnsi="Verdana"/>
              </w:rPr>
              <w:t>Costarricense</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3DA992BF" w14:textId="77777777" w:rsidR="004B0131" w:rsidRPr="00205C60" w:rsidRDefault="004B0131">
            <w:pPr>
              <w:jc w:val="center"/>
            </w:pPr>
            <w:r w:rsidRPr="00205C60">
              <w:rPr>
                <w:rFonts w:ascii="Verdana" w:hAnsi="Verdana"/>
              </w:rPr>
              <w:t>Del 7/2/2023 al 7/2/2025</w:t>
            </w:r>
          </w:p>
        </w:tc>
      </w:tr>
      <w:tr w:rsidR="004B0131" w:rsidRPr="00205C60" w14:paraId="3AE0AE9F" w14:textId="77777777" w:rsidTr="004B0131">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79B4C" w14:textId="77777777" w:rsidR="004B0131" w:rsidRPr="00205C60" w:rsidRDefault="004B0131">
            <w:pPr>
              <w:jc w:val="center"/>
            </w:pPr>
            <w:r w:rsidRPr="00205C60">
              <w:rPr>
                <w:rFonts w:ascii="Verdana" w:hAnsi="Verdana"/>
                <w:lang w:val="es-419"/>
              </w:rPr>
              <w:t>Kathia Rodríguez Maroto</w:t>
            </w:r>
          </w:p>
        </w:tc>
        <w:tc>
          <w:tcPr>
            <w:tcW w:w="2193" w:type="dxa"/>
            <w:tcBorders>
              <w:top w:val="nil"/>
              <w:left w:val="nil"/>
              <w:bottom w:val="single" w:sz="8" w:space="0" w:color="auto"/>
              <w:right w:val="single" w:sz="8" w:space="0" w:color="auto"/>
            </w:tcBorders>
            <w:tcMar>
              <w:top w:w="0" w:type="dxa"/>
              <w:left w:w="108" w:type="dxa"/>
              <w:bottom w:w="0" w:type="dxa"/>
              <w:right w:w="108" w:type="dxa"/>
            </w:tcMar>
            <w:hideMark/>
          </w:tcPr>
          <w:p w14:paraId="353D70BA" w14:textId="77777777" w:rsidR="004B0131" w:rsidRPr="00205C60" w:rsidRDefault="004B0131">
            <w:pPr>
              <w:jc w:val="center"/>
            </w:pPr>
            <w:r w:rsidRPr="00205C60">
              <w:rPr>
                <w:rFonts w:ascii="Verdana" w:hAnsi="Verdana"/>
                <w:lang w:val="es-419"/>
              </w:rPr>
              <w:t>Costarricense</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111A594E" w14:textId="77777777" w:rsidR="004B0131" w:rsidRPr="00205C60" w:rsidRDefault="004B0131">
            <w:pPr>
              <w:jc w:val="center"/>
            </w:pPr>
            <w:r w:rsidRPr="00205C60">
              <w:rPr>
                <w:rFonts w:ascii="Verdana" w:hAnsi="Verdana"/>
              </w:rPr>
              <w:t>Del 7/2/2023 al 7/2/2025</w:t>
            </w:r>
          </w:p>
        </w:tc>
      </w:tr>
      <w:tr w:rsidR="004B0131" w:rsidRPr="00205C60" w14:paraId="18B47654" w14:textId="77777777" w:rsidTr="004B0131">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97E6D2" w14:textId="77777777" w:rsidR="004B0131" w:rsidRPr="00205C60" w:rsidRDefault="004B0131">
            <w:pPr>
              <w:jc w:val="center"/>
            </w:pPr>
            <w:r w:rsidRPr="00205C60">
              <w:rPr>
                <w:rFonts w:ascii="Arial" w:hAnsi="Arial" w:cs="Arial"/>
                <w:szCs w:val="24"/>
                <w:lang w:eastAsia="es-CR"/>
              </w:rPr>
              <w:t>Yadira Sojo Fernández</w:t>
            </w:r>
          </w:p>
        </w:tc>
        <w:tc>
          <w:tcPr>
            <w:tcW w:w="2193" w:type="dxa"/>
            <w:tcBorders>
              <w:top w:val="nil"/>
              <w:left w:val="nil"/>
              <w:bottom w:val="single" w:sz="8" w:space="0" w:color="auto"/>
              <w:right w:val="single" w:sz="8" w:space="0" w:color="auto"/>
            </w:tcBorders>
            <w:tcMar>
              <w:top w:w="0" w:type="dxa"/>
              <w:left w:w="108" w:type="dxa"/>
              <w:bottom w:w="0" w:type="dxa"/>
              <w:right w:w="108" w:type="dxa"/>
            </w:tcMar>
            <w:hideMark/>
          </w:tcPr>
          <w:p w14:paraId="567EF70E" w14:textId="77777777" w:rsidR="004B0131" w:rsidRPr="00205C60" w:rsidRDefault="004B0131">
            <w:pPr>
              <w:jc w:val="center"/>
            </w:pPr>
            <w:r w:rsidRPr="00205C60">
              <w:rPr>
                <w:rFonts w:ascii="Verdana" w:hAnsi="Verdana"/>
                <w:lang w:val="es-419"/>
              </w:rPr>
              <w:t>Costarricense</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5FD8BC16" w14:textId="77777777" w:rsidR="004B0131" w:rsidRPr="00205C60" w:rsidRDefault="004B0131">
            <w:pPr>
              <w:jc w:val="center"/>
            </w:pPr>
            <w:r w:rsidRPr="00205C60">
              <w:rPr>
                <w:rFonts w:ascii="Verdana" w:hAnsi="Verdana"/>
              </w:rPr>
              <w:t>Del 7/2/2023 al 7/2/2025</w:t>
            </w:r>
          </w:p>
        </w:tc>
      </w:tr>
    </w:tbl>
    <w:p w14:paraId="684D6F4F" w14:textId="7DB41272" w:rsidR="00266B6A" w:rsidRPr="00205C60" w:rsidRDefault="00266B6A" w:rsidP="00266B6A">
      <w:pPr>
        <w:jc w:val="both"/>
        <w:rPr>
          <w:rFonts w:ascii="Verdana" w:hAnsi="Verdana" w:cs="Arial"/>
          <w:sz w:val="22"/>
          <w:szCs w:val="22"/>
        </w:rPr>
      </w:pPr>
    </w:p>
    <w:p w14:paraId="6374D813" w14:textId="3336BC24" w:rsidR="00195A1C" w:rsidRPr="00205C60" w:rsidRDefault="00B843B9" w:rsidP="00195A1C">
      <w:pPr>
        <w:jc w:val="both"/>
        <w:rPr>
          <w:rFonts w:ascii="Verdana" w:hAnsi="Verdana" w:cs="Arial"/>
          <w:sz w:val="22"/>
          <w:szCs w:val="22"/>
        </w:rPr>
      </w:pPr>
      <w:r w:rsidRPr="00205C60">
        <w:rPr>
          <w:rFonts w:ascii="Verdana" w:hAnsi="Verdana" w:cs="Arial"/>
          <w:sz w:val="22"/>
          <w:szCs w:val="22"/>
        </w:rPr>
        <w:t>Los miembros del Comité de Vigilancia fueron nombrados en la sesi</w:t>
      </w:r>
      <w:r w:rsidR="00195A1C" w:rsidRPr="00205C60">
        <w:rPr>
          <w:rFonts w:ascii="Verdana" w:hAnsi="Verdana" w:cs="Arial"/>
          <w:sz w:val="22"/>
          <w:szCs w:val="22"/>
        </w:rPr>
        <w:t>ó</w:t>
      </w:r>
      <w:r w:rsidRPr="00205C60">
        <w:rPr>
          <w:rFonts w:ascii="Verdana" w:hAnsi="Verdana" w:cs="Arial"/>
          <w:sz w:val="22"/>
          <w:szCs w:val="22"/>
        </w:rPr>
        <w:t xml:space="preserve">n de la Asamblea General </w:t>
      </w:r>
      <w:r w:rsidR="00620FE1" w:rsidRPr="00205C60">
        <w:rPr>
          <w:rFonts w:ascii="Verdana" w:hAnsi="Verdana" w:cs="Arial"/>
          <w:sz w:val="22"/>
          <w:szCs w:val="22"/>
        </w:rPr>
        <w:t xml:space="preserve">Ordinaria </w:t>
      </w:r>
      <w:r w:rsidRPr="00205C60">
        <w:rPr>
          <w:rFonts w:ascii="Verdana" w:hAnsi="Verdana" w:cs="Arial"/>
          <w:sz w:val="22"/>
          <w:szCs w:val="22"/>
        </w:rPr>
        <w:t>de Accionistas Nos. 13</w:t>
      </w:r>
      <w:r w:rsidR="00620FE1" w:rsidRPr="00205C60">
        <w:rPr>
          <w:rFonts w:ascii="Verdana" w:hAnsi="Verdana" w:cs="Arial"/>
          <w:sz w:val="22"/>
          <w:szCs w:val="22"/>
        </w:rPr>
        <w:t>9</w:t>
      </w:r>
      <w:r w:rsidRPr="00205C60">
        <w:rPr>
          <w:rFonts w:ascii="Verdana" w:hAnsi="Verdana" w:cs="Arial"/>
          <w:sz w:val="22"/>
          <w:szCs w:val="22"/>
        </w:rPr>
        <w:t xml:space="preserve"> </w:t>
      </w:r>
      <w:r w:rsidR="00620FE1" w:rsidRPr="00205C60">
        <w:rPr>
          <w:rFonts w:ascii="Verdana" w:hAnsi="Verdana" w:cs="Arial"/>
          <w:sz w:val="22"/>
          <w:szCs w:val="22"/>
        </w:rPr>
        <w:t>celebrada el 07 febrero 2023</w:t>
      </w:r>
      <w:r w:rsidR="00B938D8" w:rsidRPr="00205C60">
        <w:rPr>
          <w:rFonts w:ascii="Verdana" w:hAnsi="Verdana" w:cs="Arial"/>
          <w:sz w:val="22"/>
          <w:szCs w:val="22"/>
        </w:rPr>
        <w:t>.</w:t>
      </w:r>
    </w:p>
    <w:p w14:paraId="3CA7F2EE" w14:textId="77777777" w:rsidR="00B843B9" w:rsidRPr="00205C60" w:rsidRDefault="00B843B9" w:rsidP="00551EC1">
      <w:pPr>
        <w:jc w:val="both"/>
        <w:rPr>
          <w:rFonts w:ascii="Verdana" w:hAnsi="Verdana" w:cs="Arial"/>
          <w:sz w:val="22"/>
          <w:szCs w:val="22"/>
        </w:rPr>
      </w:pPr>
    </w:p>
    <w:p w14:paraId="3CA7F2EF" w14:textId="77777777" w:rsidR="00B44125" w:rsidRPr="00205C60" w:rsidRDefault="00B44125" w:rsidP="00307E2B">
      <w:pPr>
        <w:numPr>
          <w:ilvl w:val="0"/>
          <w:numId w:val="4"/>
        </w:numPr>
        <w:tabs>
          <w:tab w:val="clear" w:pos="1293"/>
          <w:tab w:val="num" w:pos="720"/>
        </w:tabs>
        <w:ind w:left="720" w:hanging="360"/>
        <w:jc w:val="both"/>
        <w:rPr>
          <w:rFonts w:ascii="Verdana" w:hAnsi="Verdana" w:cs="Arial"/>
          <w:sz w:val="22"/>
          <w:szCs w:val="22"/>
        </w:rPr>
      </w:pPr>
      <w:r w:rsidRPr="00205C60">
        <w:rPr>
          <w:rFonts w:ascii="Verdana" w:hAnsi="Verdana" w:cs="Arial"/>
          <w:sz w:val="22"/>
          <w:szCs w:val="22"/>
        </w:rPr>
        <w:t>La Asamblea General de Accionistas tendrá las demás facultades que le señala la Ley vigente.</w:t>
      </w:r>
    </w:p>
    <w:p w14:paraId="3CA7F2F1" w14:textId="77777777" w:rsidR="008F715A" w:rsidRPr="00205C60" w:rsidRDefault="008F715A" w:rsidP="008F715A">
      <w:pPr>
        <w:ind w:left="720"/>
        <w:jc w:val="both"/>
        <w:rPr>
          <w:rFonts w:ascii="Verdana" w:hAnsi="Verdana" w:cs="Arial"/>
          <w:sz w:val="22"/>
          <w:szCs w:val="22"/>
        </w:rPr>
      </w:pPr>
    </w:p>
    <w:p w14:paraId="3CA7F2F2" w14:textId="77777777" w:rsidR="00E32C67" w:rsidRPr="00205C60" w:rsidRDefault="00E32C67" w:rsidP="00307E2B">
      <w:pPr>
        <w:pStyle w:val="Ttulo2"/>
        <w:numPr>
          <w:ilvl w:val="1"/>
          <w:numId w:val="2"/>
        </w:numPr>
        <w:tabs>
          <w:tab w:val="clear" w:pos="720"/>
          <w:tab w:val="left" w:pos="708"/>
        </w:tabs>
        <w:rPr>
          <w:rFonts w:ascii="Verdana" w:hAnsi="Verdana" w:cs="Arial"/>
          <w:sz w:val="22"/>
          <w:szCs w:val="22"/>
        </w:rPr>
      </w:pPr>
      <w:bookmarkStart w:id="171" w:name="_Toc104529491"/>
      <w:r w:rsidRPr="00205C60">
        <w:rPr>
          <w:rFonts w:ascii="Verdana" w:hAnsi="Verdana" w:cs="Arial"/>
          <w:sz w:val="22"/>
          <w:szCs w:val="22"/>
        </w:rPr>
        <w:t>Comité de Auditoría:</w:t>
      </w:r>
      <w:bookmarkEnd w:id="171"/>
      <w:r w:rsidRPr="00205C60">
        <w:rPr>
          <w:rFonts w:ascii="Verdana" w:hAnsi="Verdana" w:cs="Arial"/>
          <w:sz w:val="22"/>
          <w:szCs w:val="22"/>
        </w:rPr>
        <w:t xml:space="preserve"> </w:t>
      </w:r>
    </w:p>
    <w:p w14:paraId="3CA7F2F3" w14:textId="77777777" w:rsidR="0003506E" w:rsidRPr="00205C60" w:rsidRDefault="0003506E" w:rsidP="0003506E">
      <w:pPr>
        <w:rPr>
          <w:rFonts w:ascii="Verdana" w:hAnsi="Verdana"/>
          <w:sz w:val="22"/>
          <w:szCs w:val="22"/>
        </w:rPr>
      </w:pPr>
    </w:p>
    <w:p w14:paraId="3CA7F2F4" w14:textId="77777777" w:rsidR="00F402D3" w:rsidRPr="00205C60" w:rsidRDefault="002F2960" w:rsidP="008E5D75">
      <w:pPr>
        <w:jc w:val="both"/>
        <w:rPr>
          <w:rFonts w:ascii="Verdana" w:hAnsi="Verdana" w:cs="Arial"/>
          <w:sz w:val="22"/>
          <w:szCs w:val="22"/>
        </w:rPr>
      </w:pPr>
      <w:r w:rsidRPr="00205C60">
        <w:rPr>
          <w:rFonts w:ascii="Verdana" w:hAnsi="Verdana" w:cs="Arial"/>
          <w:sz w:val="22"/>
          <w:szCs w:val="22"/>
        </w:rPr>
        <w:t>E</w:t>
      </w:r>
      <w:r w:rsidR="008E5D75" w:rsidRPr="00205C60">
        <w:rPr>
          <w:rFonts w:ascii="Verdana" w:hAnsi="Verdana" w:cs="Arial"/>
          <w:sz w:val="22"/>
          <w:szCs w:val="22"/>
        </w:rPr>
        <w:t>n el caso de la Compañía, el Comité de Vigilancia cumple las funciones del Comité de Auditoría, según lo dispuesto en el artículo 25</w:t>
      </w:r>
      <w:r w:rsidR="00F402D3" w:rsidRPr="00205C60">
        <w:rPr>
          <w:rFonts w:ascii="Verdana" w:hAnsi="Verdana" w:cs="Arial"/>
          <w:sz w:val="22"/>
          <w:szCs w:val="22"/>
        </w:rPr>
        <w:t xml:space="preserve"> del Reglamento sobre Gobierno Corporativo aprobado por el Consejo Nacional de Supervisión del Sistema Finan</w:t>
      </w:r>
      <w:r w:rsidR="00D603F9" w:rsidRPr="00205C60">
        <w:rPr>
          <w:rFonts w:ascii="Verdana" w:hAnsi="Verdana" w:cs="Arial"/>
          <w:sz w:val="22"/>
          <w:szCs w:val="22"/>
        </w:rPr>
        <w:t>ciero el 14 de noviembre del año</w:t>
      </w:r>
      <w:r w:rsidR="00F402D3" w:rsidRPr="00205C60">
        <w:rPr>
          <w:rFonts w:ascii="Verdana" w:hAnsi="Verdana" w:cs="Arial"/>
          <w:sz w:val="22"/>
          <w:szCs w:val="22"/>
        </w:rPr>
        <w:t xml:space="preserve"> 2016.</w:t>
      </w:r>
    </w:p>
    <w:p w14:paraId="3CA7F2F5" w14:textId="77777777" w:rsidR="00F402D3" w:rsidRPr="00205C60" w:rsidRDefault="00F402D3" w:rsidP="008E5D75">
      <w:pPr>
        <w:jc w:val="both"/>
        <w:rPr>
          <w:rFonts w:ascii="Verdana" w:hAnsi="Verdana" w:cs="Arial"/>
          <w:sz w:val="22"/>
          <w:szCs w:val="22"/>
        </w:rPr>
      </w:pPr>
    </w:p>
    <w:p w14:paraId="3CA7F2F6" w14:textId="5699A551" w:rsidR="00D01EE2" w:rsidRPr="00205C60" w:rsidRDefault="008C5867" w:rsidP="008E5D75">
      <w:pPr>
        <w:jc w:val="both"/>
        <w:rPr>
          <w:rFonts w:ascii="Verdana" w:hAnsi="Verdana" w:cs="Arial"/>
          <w:sz w:val="22"/>
          <w:szCs w:val="22"/>
        </w:rPr>
      </w:pPr>
      <w:r w:rsidRPr="00205C60">
        <w:rPr>
          <w:rFonts w:ascii="Verdana" w:hAnsi="Verdana" w:cs="Arial"/>
          <w:sz w:val="22"/>
          <w:szCs w:val="22"/>
        </w:rPr>
        <w:t xml:space="preserve">Los lineamientos de organización del Comité de Vigilancia, funciones y </w:t>
      </w:r>
      <w:r w:rsidR="00E22E20" w:rsidRPr="00205C60">
        <w:rPr>
          <w:rFonts w:ascii="Verdana" w:hAnsi="Verdana" w:cs="Arial"/>
          <w:sz w:val="22"/>
          <w:szCs w:val="22"/>
        </w:rPr>
        <w:t>responsabilidades</w:t>
      </w:r>
      <w:r w:rsidRPr="00205C60">
        <w:rPr>
          <w:rFonts w:ascii="Verdana" w:hAnsi="Verdana" w:cs="Arial"/>
          <w:sz w:val="22"/>
          <w:szCs w:val="22"/>
        </w:rPr>
        <w:t xml:space="preserve"> se encuentran publicados en la página Web de la CNFL, S.A. </w:t>
      </w:r>
      <w:hyperlink r:id="rId20" w:history="1">
        <w:r w:rsidRPr="00205C60">
          <w:rPr>
            <w:rStyle w:val="Hipervnculo"/>
            <w:rFonts w:ascii="Verdana" w:hAnsi="Verdana" w:cs="Arial"/>
            <w:sz w:val="22"/>
            <w:szCs w:val="22"/>
          </w:rPr>
          <w:t>https://www.cnfl.go.cr-Sobre</w:t>
        </w:r>
      </w:hyperlink>
      <w:r w:rsidRPr="00205C60">
        <w:rPr>
          <w:rFonts w:ascii="Verdana" w:hAnsi="Verdana" w:cs="Arial"/>
          <w:sz w:val="22"/>
          <w:szCs w:val="22"/>
        </w:rPr>
        <w:t xml:space="preserve"> CNFL-Información de Interés-Gobierno Corporativo.</w:t>
      </w:r>
      <w:r w:rsidR="008E5D75" w:rsidRPr="00205C60">
        <w:rPr>
          <w:rFonts w:ascii="Verdana" w:hAnsi="Verdana" w:cs="Arial"/>
          <w:sz w:val="22"/>
          <w:szCs w:val="22"/>
        </w:rPr>
        <w:t xml:space="preserve"> </w:t>
      </w:r>
    </w:p>
    <w:p w14:paraId="3CA7F2F7" w14:textId="77777777" w:rsidR="00650F54" w:rsidRPr="00205C60" w:rsidRDefault="00650F54" w:rsidP="00650F54">
      <w:pPr>
        <w:contextualSpacing/>
        <w:jc w:val="both"/>
        <w:rPr>
          <w:rFonts w:ascii="Verdana" w:hAnsi="Verdana" w:cs="Arial"/>
          <w:sz w:val="22"/>
          <w:szCs w:val="22"/>
        </w:rPr>
      </w:pPr>
    </w:p>
    <w:p w14:paraId="3CA7F2F8" w14:textId="77777777" w:rsidR="002E057B" w:rsidRPr="00205C60" w:rsidRDefault="002E057B" w:rsidP="00650F54">
      <w:pPr>
        <w:contextualSpacing/>
        <w:jc w:val="both"/>
        <w:rPr>
          <w:rFonts w:ascii="Verdana" w:hAnsi="Verdana" w:cs="Arial"/>
          <w:sz w:val="22"/>
          <w:szCs w:val="22"/>
        </w:rPr>
      </w:pPr>
    </w:p>
    <w:p w14:paraId="3CA7F2F9" w14:textId="77777777" w:rsidR="000C7D41" w:rsidRPr="00205C60" w:rsidRDefault="000C7D41" w:rsidP="00307E2B">
      <w:pPr>
        <w:pStyle w:val="Ttulo2"/>
        <w:numPr>
          <w:ilvl w:val="1"/>
          <w:numId w:val="2"/>
        </w:numPr>
        <w:tabs>
          <w:tab w:val="clear" w:pos="720"/>
          <w:tab w:val="left" w:pos="708"/>
        </w:tabs>
        <w:rPr>
          <w:rFonts w:ascii="Verdana" w:hAnsi="Verdana" w:cs="Arial"/>
          <w:sz w:val="22"/>
          <w:szCs w:val="22"/>
        </w:rPr>
      </w:pPr>
      <w:bookmarkStart w:id="172" w:name="_Toc104529492"/>
      <w:r w:rsidRPr="00205C60">
        <w:rPr>
          <w:rFonts w:ascii="Verdana" w:hAnsi="Verdana" w:cs="Arial"/>
          <w:sz w:val="22"/>
          <w:szCs w:val="22"/>
        </w:rPr>
        <w:t>Personal</w:t>
      </w:r>
      <w:bookmarkEnd w:id="172"/>
    </w:p>
    <w:p w14:paraId="3CA7F2FA" w14:textId="77777777" w:rsidR="0003506E" w:rsidRPr="00205C60" w:rsidRDefault="0003506E" w:rsidP="0003506E">
      <w:pPr>
        <w:rPr>
          <w:rFonts w:ascii="Verdana" w:hAnsi="Verdana"/>
          <w:sz w:val="22"/>
          <w:szCs w:val="22"/>
        </w:rPr>
      </w:pPr>
    </w:p>
    <w:p w14:paraId="3CA7F2FB" w14:textId="6170CFDA" w:rsidR="00B44125" w:rsidRPr="00205C60" w:rsidRDefault="00B44125">
      <w:pPr>
        <w:rPr>
          <w:rFonts w:ascii="Verdana" w:hAnsi="Verdana" w:cs="Arial"/>
          <w:sz w:val="22"/>
          <w:szCs w:val="22"/>
        </w:rPr>
      </w:pPr>
      <w:r w:rsidRPr="00205C60">
        <w:rPr>
          <w:rFonts w:ascii="Verdana" w:hAnsi="Verdana" w:cs="Arial"/>
          <w:sz w:val="22"/>
          <w:szCs w:val="22"/>
        </w:rPr>
        <w:t xml:space="preserve">A </w:t>
      </w:r>
      <w:r w:rsidR="00E22E20" w:rsidRPr="00205C60">
        <w:rPr>
          <w:rFonts w:ascii="Verdana" w:hAnsi="Verdana" w:cs="Arial"/>
          <w:sz w:val="22"/>
          <w:szCs w:val="22"/>
        </w:rPr>
        <w:t>continuación,</w:t>
      </w:r>
      <w:r w:rsidRPr="00205C60">
        <w:rPr>
          <w:rFonts w:ascii="Verdana" w:hAnsi="Verdana" w:cs="Arial"/>
          <w:sz w:val="22"/>
          <w:szCs w:val="22"/>
        </w:rPr>
        <w:t xml:space="preserve"> se detall</w:t>
      </w:r>
      <w:r w:rsidR="00A137AE" w:rsidRPr="00205C60">
        <w:rPr>
          <w:rFonts w:ascii="Verdana" w:hAnsi="Verdana" w:cs="Arial"/>
          <w:sz w:val="22"/>
          <w:szCs w:val="22"/>
        </w:rPr>
        <w:t xml:space="preserve">a datos del personal de la CNFL con corte al </w:t>
      </w:r>
      <w:r w:rsidR="00995CF2" w:rsidRPr="00205C60">
        <w:rPr>
          <w:rFonts w:ascii="Verdana" w:hAnsi="Verdana" w:cs="Arial"/>
          <w:sz w:val="22"/>
          <w:szCs w:val="22"/>
        </w:rPr>
        <w:t xml:space="preserve">31 de </w:t>
      </w:r>
      <w:r w:rsidR="000C29D1" w:rsidRPr="00205C60">
        <w:rPr>
          <w:rFonts w:ascii="Verdana" w:hAnsi="Verdana" w:cs="Arial"/>
          <w:sz w:val="22"/>
          <w:szCs w:val="22"/>
        </w:rPr>
        <w:t>diciembre del</w:t>
      </w:r>
      <w:r w:rsidR="00FE4E51" w:rsidRPr="00205C60">
        <w:rPr>
          <w:rFonts w:ascii="Verdana" w:hAnsi="Verdana" w:cs="Arial"/>
          <w:color w:val="C00000"/>
          <w:sz w:val="22"/>
          <w:szCs w:val="22"/>
        </w:rPr>
        <w:t xml:space="preserve"> </w:t>
      </w:r>
      <w:r w:rsidR="00FE4E51" w:rsidRPr="00205C60">
        <w:rPr>
          <w:rFonts w:ascii="Verdana" w:hAnsi="Verdana" w:cs="Arial"/>
          <w:sz w:val="22"/>
          <w:szCs w:val="22"/>
        </w:rPr>
        <w:t>20</w:t>
      </w:r>
      <w:r w:rsidR="003F4C50" w:rsidRPr="00205C60">
        <w:rPr>
          <w:rFonts w:ascii="Verdana" w:hAnsi="Verdana" w:cs="Arial"/>
          <w:sz w:val="22"/>
          <w:szCs w:val="22"/>
        </w:rPr>
        <w:t>2</w:t>
      </w:r>
      <w:r w:rsidR="000428D0" w:rsidRPr="00205C60">
        <w:rPr>
          <w:rFonts w:ascii="Verdana" w:hAnsi="Verdana" w:cs="Arial"/>
          <w:sz w:val="22"/>
          <w:szCs w:val="22"/>
        </w:rPr>
        <w:t>2</w:t>
      </w:r>
      <w:r w:rsidR="00FE4E51" w:rsidRPr="00205C60">
        <w:rPr>
          <w:rFonts w:ascii="Verdana" w:hAnsi="Verdana" w:cs="Arial"/>
          <w:sz w:val="22"/>
          <w:szCs w:val="22"/>
        </w:rPr>
        <w:t>:</w:t>
      </w:r>
    </w:p>
    <w:p w14:paraId="3CA7F2FC" w14:textId="77777777" w:rsidR="007C528D" w:rsidRPr="00205C60" w:rsidRDefault="007C528D">
      <w:pPr>
        <w:ind w:firstLine="708"/>
        <w:rPr>
          <w:rFonts w:ascii="Verdana" w:hAnsi="Verdana" w:cs="Arial"/>
          <w:color w:val="C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6"/>
        <w:gridCol w:w="2298"/>
      </w:tblGrid>
      <w:tr w:rsidR="00B44125" w:rsidRPr="00205C60" w14:paraId="3CA7F2FF" w14:textId="77777777" w:rsidTr="00DD734A">
        <w:trPr>
          <w:trHeight w:val="448"/>
          <w:jc w:val="center"/>
        </w:trPr>
        <w:tc>
          <w:tcPr>
            <w:tcW w:w="2526" w:type="dxa"/>
            <w:vAlign w:val="center"/>
          </w:tcPr>
          <w:p w14:paraId="3CA7F2FD" w14:textId="77777777" w:rsidR="00B44125" w:rsidRPr="00205C60" w:rsidRDefault="00B44125" w:rsidP="00DD734A">
            <w:pPr>
              <w:jc w:val="center"/>
              <w:rPr>
                <w:rFonts w:ascii="Verdana" w:hAnsi="Verdana" w:cs="Arial"/>
                <w:b/>
                <w:sz w:val="22"/>
                <w:szCs w:val="22"/>
              </w:rPr>
            </w:pPr>
            <w:r w:rsidRPr="00205C60">
              <w:rPr>
                <w:rFonts w:ascii="Verdana" w:hAnsi="Verdana" w:cs="Arial"/>
                <w:b/>
                <w:sz w:val="22"/>
                <w:szCs w:val="22"/>
              </w:rPr>
              <w:t>Subpartida</w:t>
            </w:r>
          </w:p>
        </w:tc>
        <w:tc>
          <w:tcPr>
            <w:tcW w:w="2298" w:type="dxa"/>
            <w:vAlign w:val="center"/>
          </w:tcPr>
          <w:p w14:paraId="3CA7F2FE" w14:textId="77777777" w:rsidR="00B44125" w:rsidRPr="00205C60" w:rsidRDefault="00B44125" w:rsidP="00DD734A">
            <w:pPr>
              <w:jc w:val="center"/>
              <w:rPr>
                <w:rFonts w:ascii="Verdana" w:hAnsi="Verdana" w:cs="Arial"/>
                <w:b/>
                <w:sz w:val="22"/>
                <w:szCs w:val="22"/>
              </w:rPr>
            </w:pPr>
            <w:r w:rsidRPr="00205C60">
              <w:rPr>
                <w:rFonts w:ascii="Verdana" w:hAnsi="Verdana" w:cs="Arial"/>
                <w:b/>
                <w:sz w:val="22"/>
                <w:szCs w:val="22"/>
              </w:rPr>
              <w:t>Cantidad de Plazas</w:t>
            </w:r>
          </w:p>
        </w:tc>
      </w:tr>
      <w:tr w:rsidR="00B44125" w:rsidRPr="00205C60" w14:paraId="3CA7F302" w14:textId="77777777" w:rsidTr="00DD734A">
        <w:trPr>
          <w:trHeight w:val="285"/>
          <w:jc w:val="center"/>
        </w:trPr>
        <w:tc>
          <w:tcPr>
            <w:tcW w:w="2526" w:type="dxa"/>
            <w:vAlign w:val="center"/>
          </w:tcPr>
          <w:p w14:paraId="3CA7F300" w14:textId="77777777" w:rsidR="00B44125" w:rsidRPr="00205C60" w:rsidRDefault="00B44125" w:rsidP="00DD734A">
            <w:pPr>
              <w:rPr>
                <w:rFonts w:ascii="Verdana" w:hAnsi="Verdana" w:cs="Arial"/>
                <w:b/>
                <w:sz w:val="22"/>
                <w:szCs w:val="22"/>
              </w:rPr>
            </w:pPr>
            <w:r w:rsidRPr="00205C60">
              <w:rPr>
                <w:rFonts w:ascii="Verdana" w:hAnsi="Verdana" w:cs="Arial"/>
                <w:b/>
                <w:sz w:val="22"/>
                <w:szCs w:val="22"/>
              </w:rPr>
              <w:t>Cargos Fijos:</w:t>
            </w:r>
          </w:p>
        </w:tc>
        <w:tc>
          <w:tcPr>
            <w:tcW w:w="2298" w:type="dxa"/>
            <w:vAlign w:val="center"/>
          </w:tcPr>
          <w:p w14:paraId="3CA7F301" w14:textId="77777777" w:rsidR="00B44125" w:rsidRPr="00205C60" w:rsidRDefault="00B44125" w:rsidP="00DD734A">
            <w:pPr>
              <w:jc w:val="center"/>
              <w:rPr>
                <w:rFonts w:ascii="Verdana" w:hAnsi="Verdana" w:cs="Arial"/>
                <w:sz w:val="22"/>
                <w:szCs w:val="22"/>
              </w:rPr>
            </w:pPr>
          </w:p>
        </w:tc>
      </w:tr>
      <w:tr w:rsidR="00B44125" w:rsidRPr="00205C60" w14:paraId="3CA7F305" w14:textId="77777777" w:rsidTr="00DD734A">
        <w:trPr>
          <w:trHeight w:val="285"/>
          <w:jc w:val="center"/>
        </w:trPr>
        <w:tc>
          <w:tcPr>
            <w:tcW w:w="2526" w:type="dxa"/>
            <w:vAlign w:val="center"/>
          </w:tcPr>
          <w:p w14:paraId="3CA7F303" w14:textId="77777777" w:rsidR="00B44125" w:rsidRPr="00205C60" w:rsidRDefault="007D554D" w:rsidP="007D554D">
            <w:pPr>
              <w:rPr>
                <w:rFonts w:ascii="Verdana" w:hAnsi="Verdana" w:cs="Arial"/>
                <w:sz w:val="22"/>
                <w:szCs w:val="22"/>
              </w:rPr>
            </w:pPr>
            <w:r w:rsidRPr="00205C60">
              <w:rPr>
                <w:rFonts w:ascii="Verdana" w:hAnsi="Verdana" w:cs="Arial"/>
                <w:sz w:val="22"/>
                <w:szCs w:val="22"/>
              </w:rPr>
              <w:t>Nivel Superior</w:t>
            </w:r>
          </w:p>
        </w:tc>
        <w:tc>
          <w:tcPr>
            <w:tcW w:w="2298" w:type="dxa"/>
            <w:vAlign w:val="center"/>
          </w:tcPr>
          <w:p w14:paraId="3CA7F304" w14:textId="77777777" w:rsidR="00B44125" w:rsidRPr="00205C60" w:rsidRDefault="004C5CEB" w:rsidP="00DD734A">
            <w:pPr>
              <w:jc w:val="center"/>
              <w:rPr>
                <w:rFonts w:ascii="Verdana" w:hAnsi="Verdana" w:cs="Arial"/>
                <w:sz w:val="22"/>
                <w:szCs w:val="22"/>
              </w:rPr>
            </w:pPr>
            <w:r w:rsidRPr="00205C60">
              <w:rPr>
                <w:rFonts w:ascii="Verdana" w:hAnsi="Verdana" w:cs="Arial"/>
                <w:sz w:val="22"/>
                <w:szCs w:val="22"/>
              </w:rPr>
              <w:t>1</w:t>
            </w:r>
          </w:p>
        </w:tc>
      </w:tr>
      <w:tr w:rsidR="00B44125" w:rsidRPr="00205C60" w14:paraId="3CA7F308" w14:textId="77777777" w:rsidTr="00DD734A">
        <w:trPr>
          <w:trHeight w:val="285"/>
          <w:jc w:val="center"/>
        </w:trPr>
        <w:tc>
          <w:tcPr>
            <w:tcW w:w="2526" w:type="dxa"/>
            <w:vAlign w:val="center"/>
          </w:tcPr>
          <w:p w14:paraId="3CA7F306" w14:textId="77777777" w:rsidR="00B44125" w:rsidRPr="00205C60" w:rsidRDefault="007D554D" w:rsidP="00DD734A">
            <w:pPr>
              <w:rPr>
                <w:rFonts w:ascii="Verdana" w:hAnsi="Verdana" w:cs="Arial"/>
                <w:sz w:val="22"/>
                <w:szCs w:val="22"/>
              </w:rPr>
            </w:pPr>
            <w:r w:rsidRPr="00205C60">
              <w:rPr>
                <w:rFonts w:ascii="Verdana" w:hAnsi="Verdana" w:cs="Arial"/>
                <w:sz w:val="22"/>
                <w:szCs w:val="22"/>
              </w:rPr>
              <w:t>Ejecutivo</w:t>
            </w:r>
          </w:p>
        </w:tc>
        <w:tc>
          <w:tcPr>
            <w:tcW w:w="2298" w:type="dxa"/>
            <w:vAlign w:val="center"/>
          </w:tcPr>
          <w:p w14:paraId="3CA7F307" w14:textId="37095F96" w:rsidR="00B44125" w:rsidRPr="00205C60" w:rsidRDefault="00236621" w:rsidP="007D554D">
            <w:pPr>
              <w:jc w:val="center"/>
              <w:rPr>
                <w:rFonts w:ascii="Verdana" w:hAnsi="Verdana" w:cs="Arial"/>
                <w:sz w:val="22"/>
                <w:szCs w:val="22"/>
              </w:rPr>
            </w:pPr>
            <w:r w:rsidRPr="00205C60">
              <w:rPr>
                <w:rFonts w:ascii="Verdana" w:hAnsi="Verdana" w:cs="Arial"/>
                <w:sz w:val="22"/>
                <w:szCs w:val="22"/>
              </w:rPr>
              <w:t>1</w:t>
            </w:r>
            <w:r w:rsidR="001F62AF" w:rsidRPr="00205C60">
              <w:rPr>
                <w:rFonts w:ascii="Verdana" w:hAnsi="Verdana" w:cs="Arial"/>
                <w:sz w:val="22"/>
                <w:szCs w:val="22"/>
              </w:rPr>
              <w:t>12</w:t>
            </w:r>
          </w:p>
        </w:tc>
      </w:tr>
      <w:tr w:rsidR="00B44125" w:rsidRPr="00205C60" w14:paraId="3CA7F30B" w14:textId="77777777" w:rsidTr="00DD734A">
        <w:trPr>
          <w:trHeight w:val="285"/>
          <w:jc w:val="center"/>
        </w:trPr>
        <w:tc>
          <w:tcPr>
            <w:tcW w:w="2526" w:type="dxa"/>
            <w:vAlign w:val="center"/>
          </w:tcPr>
          <w:p w14:paraId="3CA7F309" w14:textId="77777777" w:rsidR="00B44125" w:rsidRPr="00205C60" w:rsidRDefault="00B44125" w:rsidP="00DD734A">
            <w:pPr>
              <w:rPr>
                <w:rFonts w:ascii="Verdana" w:hAnsi="Verdana" w:cs="Arial"/>
                <w:sz w:val="22"/>
                <w:szCs w:val="22"/>
              </w:rPr>
            </w:pPr>
            <w:r w:rsidRPr="00205C60">
              <w:rPr>
                <w:rFonts w:ascii="Verdana" w:hAnsi="Verdana" w:cs="Arial"/>
                <w:sz w:val="22"/>
                <w:szCs w:val="22"/>
              </w:rPr>
              <w:t>Profesional</w:t>
            </w:r>
          </w:p>
        </w:tc>
        <w:tc>
          <w:tcPr>
            <w:tcW w:w="2298" w:type="dxa"/>
            <w:vAlign w:val="center"/>
          </w:tcPr>
          <w:p w14:paraId="3CA7F30A" w14:textId="04FB8C55" w:rsidR="00B44125" w:rsidRPr="00205C60" w:rsidRDefault="004C5CEB" w:rsidP="007D554D">
            <w:pPr>
              <w:jc w:val="center"/>
              <w:rPr>
                <w:rFonts w:ascii="Verdana" w:hAnsi="Verdana" w:cs="Arial"/>
                <w:sz w:val="22"/>
                <w:szCs w:val="22"/>
              </w:rPr>
            </w:pPr>
            <w:r w:rsidRPr="00205C60">
              <w:rPr>
                <w:rFonts w:ascii="Verdana" w:hAnsi="Verdana" w:cs="Arial"/>
                <w:sz w:val="22"/>
                <w:szCs w:val="22"/>
              </w:rPr>
              <w:t>6</w:t>
            </w:r>
            <w:r w:rsidR="00304F1D" w:rsidRPr="00205C60">
              <w:rPr>
                <w:rFonts w:ascii="Verdana" w:hAnsi="Verdana" w:cs="Arial"/>
                <w:sz w:val="22"/>
                <w:szCs w:val="22"/>
              </w:rPr>
              <w:t>71</w:t>
            </w:r>
          </w:p>
        </w:tc>
      </w:tr>
      <w:tr w:rsidR="00B44125" w:rsidRPr="00205C60" w14:paraId="3CA7F30E" w14:textId="77777777" w:rsidTr="00DD734A">
        <w:trPr>
          <w:trHeight w:val="285"/>
          <w:jc w:val="center"/>
        </w:trPr>
        <w:tc>
          <w:tcPr>
            <w:tcW w:w="2526" w:type="dxa"/>
            <w:vAlign w:val="center"/>
          </w:tcPr>
          <w:p w14:paraId="3CA7F30C" w14:textId="77777777" w:rsidR="00B44125" w:rsidRPr="00205C60" w:rsidRDefault="00B44125" w:rsidP="00DD734A">
            <w:pPr>
              <w:rPr>
                <w:rFonts w:ascii="Verdana" w:hAnsi="Verdana" w:cs="Arial"/>
                <w:sz w:val="22"/>
                <w:szCs w:val="22"/>
              </w:rPr>
            </w:pPr>
            <w:r w:rsidRPr="00205C60">
              <w:rPr>
                <w:rFonts w:ascii="Verdana" w:hAnsi="Verdana" w:cs="Arial"/>
                <w:sz w:val="22"/>
                <w:szCs w:val="22"/>
              </w:rPr>
              <w:t>Técnico</w:t>
            </w:r>
          </w:p>
        </w:tc>
        <w:tc>
          <w:tcPr>
            <w:tcW w:w="2298" w:type="dxa"/>
            <w:vAlign w:val="center"/>
          </w:tcPr>
          <w:p w14:paraId="3CA7F30D" w14:textId="2739366F" w:rsidR="00B44125" w:rsidRPr="00205C60" w:rsidRDefault="001F62AF" w:rsidP="00BA4CC0">
            <w:pPr>
              <w:jc w:val="center"/>
              <w:rPr>
                <w:rFonts w:ascii="Verdana" w:hAnsi="Verdana" w:cs="Arial"/>
                <w:sz w:val="22"/>
                <w:szCs w:val="22"/>
              </w:rPr>
            </w:pPr>
            <w:r w:rsidRPr="00205C60">
              <w:rPr>
                <w:rFonts w:ascii="Verdana" w:hAnsi="Verdana" w:cs="Arial"/>
                <w:sz w:val="22"/>
                <w:szCs w:val="22"/>
              </w:rPr>
              <w:t>105</w:t>
            </w:r>
            <w:r w:rsidR="00CB54DB" w:rsidRPr="00205C60">
              <w:rPr>
                <w:rFonts w:ascii="Verdana" w:hAnsi="Verdana" w:cs="Arial"/>
                <w:sz w:val="22"/>
                <w:szCs w:val="22"/>
              </w:rPr>
              <w:t>8</w:t>
            </w:r>
          </w:p>
        </w:tc>
      </w:tr>
      <w:tr w:rsidR="00B44125" w:rsidRPr="00205C60" w14:paraId="3CA7F311" w14:textId="77777777" w:rsidTr="00DD734A">
        <w:trPr>
          <w:trHeight w:val="285"/>
          <w:jc w:val="center"/>
        </w:trPr>
        <w:tc>
          <w:tcPr>
            <w:tcW w:w="2526" w:type="dxa"/>
            <w:vAlign w:val="center"/>
          </w:tcPr>
          <w:p w14:paraId="3CA7F30F" w14:textId="77777777" w:rsidR="00B44125" w:rsidRPr="00205C60" w:rsidRDefault="00B44125" w:rsidP="00DD734A">
            <w:pPr>
              <w:rPr>
                <w:rFonts w:ascii="Verdana" w:hAnsi="Verdana" w:cs="Arial"/>
                <w:sz w:val="22"/>
                <w:szCs w:val="22"/>
              </w:rPr>
            </w:pPr>
            <w:r w:rsidRPr="00205C60">
              <w:rPr>
                <w:rFonts w:ascii="Verdana" w:hAnsi="Verdana" w:cs="Arial"/>
                <w:sz w:val="22"/>
                <w:szCs w:val="22"/>
              </w:rPr>
              <w:lastRenderedPageBreak/>
              <w:t>Administrativo</w:t>
            </w:r>
          </w:p>
        </w:tc>
        <w:tc>
          <w:tcPr>
            <w:tcW w:w="2298" w:type="dxa"/>
            <w:vAlign w:val="center"/>
          </w:tcPr>
          <w:p w14:paraId="3CA7F310" w14:textId="22F5A8BE" w:rsidR="00B44125" w:rsidRPr="00205C60" w:rsidRDefault="001F62AF" w:rsidP="007D554D">
            <w:pPr>
              <w:jc w:val="center"/>
              <w:rPr>
                <w:rFonts w:ascii="Verdana" w:hAnsi="Verdana" w:cs="Arial"/>
                <w:sz w:val="22"/>
                <w:szCs w:val="22"/>
              </w:rPr>
            </w:pPr>
            <w:r w:rsidRPr="00205C60">
              <w:rPr>
                <w:rFonts w:ascii="Verdana" w:hAnsi="Verdana" w:cs="Arial"/>
                <w:sz w:val="22"/>
                <w:szCs w:val="22"/>
              </w:rPr>
              <w:t>5</w:t>
            </w:r>
            <w:r w:rsidR="00CB54DB" w:rsidRPr="00205C60">
              <w:rPr>
                <w:rFonts w:ascii="Verdana" w:hAnsi="Verdana" w:cs="Arial"/>
                <w:sz w:val="22"/>
                <w:szCs w:val="22"/>
              </w:rPr>
              <w:t>5</w:t>
            </w:r>
          </w:p>
        </w:tc>
      </w:tr>
      <w:tr w:rsidR="00B44125" w:rsidRPr="00205C60" w14:paraId="3CA7F314" w14:textId="77777777" w:rsidTr="00DD734A">
        <w:trPr>
          <w:trHeight w:val="285"/>
          <w:jc w:val="center"/>
        </w:trPr>
        <w:tc>
          <w:tcPr>
            <w:tcW w:w="2526" w:type="dxa"/>
            <w:vAlign w:val="center"/>
          </w:tcPr>
          <w:p w14:paraId="3CA7F312" w14:textId="77777777" w:rsidR="00B44125" w:rsidRPr="00205C60" w:rsidRDefault="00B44125" w:rsidP="00DD734A">
            <w:pPr>
              <w:rPr>
                <w:rFonts w:ascii="Verdana" w:hAnsi="Verdana" w:cs="Arial"/>
                <w:sz w:val="22"/>
                <w:szCs w:val="22"/>
              </w:rPr>
            </w:pPr>
            <w:r w:rsidRPr="00205C60">
              <w:rPr>
                <w:rFonts w:ascii="Verdana" w:hAnsi="Verdana" w:cs="Arial"/>
                <w:sz w:val="22"/>
                <w:szCs w:val="22"/>
              </w:rPr>
              <w:t>Servicio</w:t>
            </w:r>
            <w:r w:rsidR="007D554D" w:rsidRPr="00205C60">
              <w:rPr>
                <w:rFonts w:ascii="Verdana" w:hAnsi="Verdana" w:cs="Arial"/>
                <w:sz w:val="22"/>
                <w:szCs w:val="22"/>
              </w:rPr>
              <w:t>s</w:t>
            </w:r>
          </w:p>
        </w:tc>
        <w:tc>
          <w:tcPr>
            <w:tcW w:w="2298" w:type="dxa"/>
            <w:vAlign w:val="center"/>
          </w:tcPr>
          <w:p w14:paraId="3CA7F313" w14:textId="3D8E83C9" w:rsidR="00B44125" w:rsidRPr="00205C60" w:rsidRDefault="004C5CEB" w:rsidP="007D554D">
            <w:pPr>
              <w:jc w:val="center"/>
              <w:rPr>
                <w:rFonts w:ascii="Verdana" w:hAnsi="Verdana" w:cs="Arial"/>
                <w:sz w:val="22"/>
                <w:szCs w:val="22"/>
              </w:rPr>
            </w:pPr>
            <w:r w:rsidRPr="00205C60">
              <w:rPr>
                <w:rFonts w:ascii="Verdana" w:hAnsi="Verdana" w:cs="Arial"/>
                <w:sz w:val="22"/>
                <w:szCs w:val="22"/>
              </w:rPr>
              <w:t>1</w:t>
            </w:r>
            <w:r w:rsidR="001F62AF" w:rsidRPr="00205C60">
              <w:rPr>
                <w:rFonts w:ascii="Verdana" w:hAnsi="Verdana" w:cs="Arial"/>
                <w:sz w:val="22"/>
                <w:szCs w:val="22"/>
              </w:rPr>
              <w:t>7</w:t>
            </w:r>
            <w:r w:rsidR="00CB54DB" w:rsidRPr="00205C60">
              <w:rPr>
                <w:rFonts w:ascii="Verdana" w:hAnsi="Verdana" w:cs="Arial"/>
                <w:sz w:val="22"/>
                <w:szCs w:val="22"/>
              </w:rPr>
              <w:t>0</w:t>
            </w:r>
          </w:p>
        </w:tc>
      </w:tr>
      <w:tr w:rsidR="00B44125" w:rsidRPr="00205C60" w14:paraId="3CA7F317" w14:textId="77777777" w:rsidTr="00DD734A">
        <w:trPr>
          <w:trHeight w:val="285"/>
          <w:jc w:val="center"/>
        </w:trPr>
        <w:tc>
          <w:tcPr>
            <w:tcW w:w="2526" w:type="dxa"/>
            <w:vAlign w:val="center"/>
          </w:tcPr>
          <w:p w14:paraId="3CA7F315" w14:textId="77777777" w:rsidR="00B44125" w:rsidRPr="00205C60" w:rsidRDefault="00B44125" w:rsidP="00DD734A">
            <w:pPr>
              <w:rPr>
                <w:rFonts w:ascii="Verdana" w:hAnsi="Verdana" w:cs="Arial"/>
                <w:b/>
                <w:sz w:val="22"/>
                <w:szCs w:val="22"/>
              </w:rPr>
            </w:pPr>
            <w:r w:rsidRPr="00205C60">
              <w:rPr>
                <w:rFonts w:ascii="Verdana" w:hAnsi="Verdana" w:cs="Arial"/>
                <w:b/>
                <w:sz w:val="22"/>
                <w:szCs w:val="22"/>
              </w:rPr>
              <w:t>Subtotal</w:t>
            </w:r>
          </w:p>
        </w:tc>
        <w:tc>
          <w:tcPr>
            <w:tcW w:w="2298" w:type="dxa"/>
            <w:vAlign w:val="center"/>
          </w:tcPr>
          <w:p w14:paraId="3CA7F316" w14:textId="4194927D" w:rsidR="00B44125" w:rsidRPr="00205C60" w:rsidRDefault="001F62AF" w:rsidP="007D554D">
            <w:pPr>
              <w:jc w:val="center"/>
              <w:rPr>
                <w:rFonts w:ascii="Verdana" w:hAnsi="Verdana" w:cs="Arial"/>
                <w:b/>
                <w:sz w:val="22"/>
                <w:szCs w:val="22"/>
              </w:rPr>
            </w:pPr>
            <w:r w:rsidRPr="00205C60">
              <w:rPr>
                <w:rFonts w:ascii="Verdana" w:hAnsi="Verdana" w:cs="Arial"/>
                <w:b/>
                <w:sz w:val="22"/>
                <w:szCs w:val="22"/>
              </w:rPr>
              <w:t>2</w:t>
            </w:r>
            <w:r w:rsidR="00B44125" w:rsidRPr="00205C60">
              <w:rPr>
                <w:rFonts w:ascii="Verdana" w:hAnsi="Verdana" w:cs="Arial"/>
                <w:b/>
                <w:sz w:val="22"/>
                <w:szCs w:val="22"/>
              </w:rPr>
              <w:t>.</w:t>
            </w:r>
            <w:r w:rsidRPr="00205C60">
              <w:rPr>
                <w:rFonts w:ascii="Verdana" w:hAnsi="Verdana" w:cs="Arial"/>
                <w:b/>
                <w:sz w:val="22"/>
                <w:szCs w:val="22"/>
              </w:rPr>
              <w:t>067</w:t>
            </w:r>
          </w:p>
        </w:tc>
      </w:tr>
      <w:tr w:rsidR="00B44125" w:rsidRPr="00205C60" w14:paraId="3CA7F31A" w14:textId="77777777" w:rsidTr="00DD734A">
        <w:trPr>
          <w:trHeight w:val="285"/>
          <w:jc w:val="center"/>
        </w:trPr>
        <w:tc>
          <w:tcPr>
            <w:tcW w:w="2526" w:type="dxa"/>
            <w:vAlign w:val="center"/>
          </w:tcPr>
          <w:p w14:paraId="3CA7F318" w14:textId="77777777" w:rsidR="00B44125" w:rsidRPr="00205C60" w:rsidRDefault="00995CF2" w:rsidP="00DD734A">
            <w:pPr>
              <w:rPr>
                <w:rFonts w:ascii="Verdana" w:hAnsi="Verdana" w:cs="Arial"/>
                <w:b/>
                <w:sz w:val="22"/>
                <w:szCs w:val="22"/>
              </w:rPr>
            </w:pPr>
            <w:r w:rsidRPr="00205C60">
              <w:rPr>
                <w:rFonts w:ascii="Verdana" w:hAnsi="Verdana" w:cs="Arial"/>
                <w:b/>
                <w:sz w:val="22"/>
                <w:szCs w:val="22"/>
              </w:rPr>
              <w:t>Suplencias</w:t>
            </w:r>
          </w:p>
        </w:tc>
        <w:tc>
          <w:tcPr>
            <w:tcW w:w="2298" w:type="dxa"/>
            <w:vAlign w:val="center"/>
          </w:tcPr>
          <w:p w14:paraId="3CA7F319" w14:textId="21D8583A" w:rsidR="00B44125" w:rsidRPr="00205C60" w:rsidRDefault="00CB54DB" w:rsidP="007D554D">
            <w:pPr>
              <w:jc w:val="center"/>
              <w:rPr>
                <w:rFonts w:ascii="Verdana" w:hAnsi="Verdana" w:cs="Arial"/>
                <w:b/>
                <w:sz w:val="22"/>
                <w:szCs w:val="22"/>
              </w:rPr>
            </w:pPr>
            <w:r w:rsidRPr="00205C60">
              <w:rPr>
                <w:rFonts w:ascii="Verdana" w:hAnsi="Verdana" w:cs="Arial"/>
                <w:b/>
                <w:sz w:val="22"/>
                <w:szCs w:val="22"/>
              </w:rPr>
              <w:t>57</w:t>
            </w:r>
          </w:p>
        </w:tc>
      </w:tr>
      <w:tr w:rsidR="00B44125" w:rsidRPr="00205C60" w14:paraId="3CA7F31D" w14:textId="77777777" w:rsidTr="00DD734A">
        <w:trPr>
          <w:trHeight w:val="300"/>
          <w:jc w:val="center"/>
        </w:trPr>
        <w:tc>
          <w:tcPr>
            <w:tcW w:w="2526" w:type="dxa"/>
            <w:vAlign w:val="center"/>
          </w:tcPr>
          <w:p w14:paraId="3CA7F31B" w14:textId="77777777" w:rsidR="00B44125" w:rsidRPr="00205C60" w:rsidRDefault="00B44125" w:rsidP="00DD734A">
            <w:pPr>
              <w:rPr>
                <w:rFonts w:ascii="Verdana" w:hAnsi="Verdana" w:cs="Arial"/>
                <w:b/>
                <w:sz w:val="22"/>
                <w:szCs w:val="22"/>
              </w:rPr>
            </w:pPr>
            <w:r w:rsidRPr="00205C60">
              <w:rPr>
                <w:rFonts w:ascii="Verdana" w:hAnsi="Verdana" w:cs="Arial"/>
                <w:b/>
                <w:sz w:val="22"/>
                <w:szCs w:val="22"/>
              </w:rPr>
              <w:t>Total</w:t>
            </w:r>
          </w:p>
        </w:tc>
        <w:tc>
          <w:tcPr>
            <w:tcW w:w="2298" w:type="dxa"/>
            <w:vAlign w:val="center"/>
          </w:tcPr>
          <w:p w14:paraId="3CA7F31C" w14:textId="5DF25C9A" w:rsidR="00B44125" w:rsidRPr="00205C60" w:rsidRDefault="001F62AF" w:rsidP="007D554D">
            <w:pPr>
              <w:jc w:val="center"/>
              <w:rPr>
                <w:rFonts w:ascii="Verdana" w:hAnsi="Verdana" w:cs="Arial"/>
                <w:b/>
                <w:sz w:val="22"/>
                <w:szCs w:val="22"/>
              </w:rPr>
            </w:pPr>
            <w:r w:rsidRPr="00205C60">
              <w:rPr>
                <w:rFonts w:ascii="Verdana" w:hAnsi="Verdana" w:cs="Arial"/>
                <w:b/>
                <w:sz w:val="22"/>
                <w:szCs w:val="22"/>
              </w:rPr>
              <w:t>2</w:t>
            </w:r>
            <w:r w:rsidR="00236621" w:rsidRPr="00205C60">
              <w:rPr>
                <w:rFonts w:ascii="Verdana" w:hAnsi="Verdana" w:cs="Arial"/>
                <w:b/>
                <w:sz w:val="22"/>
                <w:szCs w:val="22"/>
              </w:rPr>
              <w:t>.</w:t>
            </w:r>
            <w:r w:rsidRPr="00205C60">
              <w:rPr>
                <w:rFonts w:ascii="Verdana" w:hAnsi="Verdana" w:cs="Arial"/>
                <w:b/>
                <w:sz w:val="22"/>
                <w:szCs w:val="22"/>
              </w:rPr>
              <w:t>1</w:t>
            </w:r>
            <w:r w:rsidR="00CB54DB" w:rsidRPr="00205C60">
              <w:rPr>
                <w:rFonts w:ascii="Verdana" w:hAnsi="Verdana" w:cs="Arial"/>
                <w:b/>
                <w:sz w:val="22"/>
                <w:szCs w:val="22"/>
              </w:rPr>
              <w:t>24</w:t>
            </w:r>
          </w:p>
        </w:tc>
      </w:tr>
    </w:tbl>
    <w:p w14:paraId="3CA7F31E" w14:textId="77777777" w:rsidR="00B44125" w:rsidRPr="00205C60" w:rsidRDefault="00B44125">
      <w:pPr>
        <w:ind w:firstLine="708"/>
        <w:rPr>
          <w:rFonts w:ascii="Verdana" w:hAnsi="Verdana" w:cs="Arial"/>
          <w:sz w:val="22"/>
          <w:szCs w:val="22"/>
        </w:rPr>
      </w:pPr>
    </w:p>
    <w:p w14:paraId="3CA7F31F" w14:textId="77777777" w:rsidR="007C528D" w:rsidRPr="00205C60" w:rsidRDefault="007C528D">
      <w:pPr>
        <w:jc w:val="both"/>
        <w:rPr>
          <w:rFonts w:ascii="Verdana" w:hAnsi="Verdana" w:cs="Arial"/>
          <w:sz w:val="22"/>
          <w:szCs w:val="22"/>
        </w:rPr>
      </w:pPr>
    </w:p>
    <w:p w14:paraId="3CA7F320" w14:textId="77777777" w:rsidR="00FE4E51" w:rsidRPr="00205C60" w:rsidRDefault="00FE4E51">
      <w:pPr>
        <w:jc w:val="both"/>
        <w:rPr>
          <w:rFonts w:ascii="Verdana" w:hAnsi="Verdana" w:cs="Arial"/>
          <w:sz w:val="22"/>
          <w:szCs w:val="22"/>
        </w:rPr>
      </w:pPr>
      <w:r w:rsidRPr="00205C60">
        <w:rPr>
          <w:rFonts w:ascii="Verdana" w:hAnsi="Verdana" w:cs="Arial"/>
          <w:sz w:val="22"/>
          <w:szCs w:val="22"/>
        </w:rPr>
        <w:t xml:space="preserve">Cabe mencionar que los cargos </w:t>
      </w:r>
      <w:r w:rsidR="00D22F8A" w:rsidRPr="00205C60">
        <w:rPr>
          <w:rFonts w:ascii="Verdana" w:hAnsi="Verdana" w:cs="Arial"/>
          <w:sz w:val="22"/>
          <w:szCs w:val="22"/>
        </w:rPr>
        <w:t>por suplencias</w:t>
      </w:r>
      <w:r w:rsidR="00CC2165" w:rsidRPr="00205C60">
        <w:rPr>
          <w:rFonts w:ascii="Verdana" w:hAnsi="Verdana" w:cs="Arial"/>
          <w:sz w:val="22"/>
          <w:szCs w:val="22"/>
        </w:rPr>
        <w:t xml:space="preserve"> </w:t>
      </w:r>
      <w:r w:rsidRPr="00205C60">
        <w:rPr>
          <w:rFonts w:ascii="Verdana" w:hAnsi="Verdana" w:cs="Arial"/>
          <w:sz w:val="22"/>
          <w:szCs w:val="22"/>
        </w:rPr>
        <w:t>constituyen personal temporal y dichas cifras representan una cantidad promedio que se mantiene a lo largo del año.</w:t>
      </w:r>
    </w:p>
    <w:p w14:paraId="3CA7F321" w14:textId="77777777" w:rsidR="00BA3B87" w:rsidRPr="00205C60" w:rsidRDefault="00BA3B87">
      <w:pPr>
        <w:jc w:val="both"/>
        <w:rPr>
          <w:rFonts w:ascii="Verdana" w:hAnsi="Verdana" w:cs="Arial"/>
          <w:sz w:val="22"/>
          <w:szCs w:val="22"/>
        </w:rPr>
      </w:pPr>
    </w:p>
    <w:p w14:paraId="3CA7F323" w14:textId="77777777" w:rsidR="00346B0E" w:rsidRPr="00205C60" w:rsidRDefault="00346B0E" w:rsidP="00307E2B">
      <w:pPr>
        <w:pStyle w:val="Ttulo2"/>
        <w:numPr>
          <w:ilvl w:val="1"/>
          <w:numId w:val="2"/>
        </w:numPr>
        <w:tabs>
          <w:tab w:val="clear" w:pos="720"/>
          <w:tab w:val="left" w:pos="708"/>
        </w:tabs>
        <w:rPr>
          <w:rFonts w:ascii="Verdana" w:hAnsi="Verdana" w:cs="Arial"/>
          <w:sz w:val="22"/>
          <w:szCs w:val="22"/>
        </w:rPr>
      </w:pPr>
      <w:bookmarkStart w:id="173" w:name="_Toc104529493"/>
      <w:r w:rsidRPr="00205C60">
        <w:rPr>
          <w:rFonts w:ascii="Verdana" w:hAnsi="Verdana" w:cs="Arial"/>
          <w:sz w:val="22"/>
          <w:szCs w:val="22"/>
        </w:rPr>
        <w:t>Participación social de directores, personal gerencial y empleados</w:t>
      </w:r>
      <w:bookmarkEnd w:id="173"/>
    </w:p>
    <w:p w14:paraId="3CA7F324" w14:textId="77777777" w:rsidR="0003506E" w:rsidRPr="00205C60" w:rsidRDefault="0003506E" w:rsidP="0003506E">
      <w:pPr>
        <w:rPr>
          <w:rFonts w:ascii="Verdana" w:hAnsi="Verdana"/>
          <w:sz w:val="22"/>
          <w:szCs w:val="22"/>
        </w:rPr>
      </w:pPr>
    </w:p>
    <w:p w14:paraId="3CA7F325" w14:textId="77777777" w:rsidR="00346B0E" w:rsidRPr="00205C60" w:rsidRDefault="00346B0E" w:rsidP="00346B0E">
      <w:pPr>
        <w:jc w:val="both"/>
        <w:rPr>
          <w:rFonts w:ascii="Verdana" w:hAnsi="Verdana" w:cs="Arial"/>
          <w:sz w:val="22"/>
          <w:szCs w:val="22"/>
        </w:rPr>
      </w:pPr>
      <w:r w:rsidRPr="00205C60">
        <w:rPr>
          <w:rFonts w:ascii="Verdana" w:hAnsi="Verdana" w:cs="Arial"/>
          <w:sz w:val="22"/>
          <w:szCs w:val="22"/>
        </w:rPr>
        <w:t>Los directores, personal gerencial y empleados, no poseen participación accionaria en la Sociedad.</w:t>
      </w:r>
    </w:p>
    <w:p w14:paraId="3CA7F326" w14:textId="3C7E49E1" w:rsidR="007C528D" w:rsidRPr="00205C60" w:rsidRDefault="007C528D">
      <w:pPr>
        <w:jc w:val="both"/>
        <w:rPr>
          <w:rFonts w:ascii="Verdana" w:hAnsi="Verdana" w:cs="Arial"/>
          <w:b/>
          <w:sz w:val="22"/>
          <w:szCs w:val="22"/>
        </w:rPr>
      </w:pPr>
    </w:p>
    <w:p w14:paraId="02F8F9EC" w14:textId="5DEAE903" w:rsidR="00EC3BD4" w:rsidRPr="00205C60" w:rsidRDefault="00EC3BD4">
      <w:pPr>
        <w:jc w:val="both"/>
        <w:rPr>
          <w:rFonts w:ascii="Verdana" w:hAnsi="Verdana" w:cs="Arial"/>
          <w:b/>
          <w:color w:val="FF0000"/>
          <w:sz w:val="22"/>
          <w:szCs w:val="22"/>
        </w:rPr>
      </w:pPr>
    </w:p>
    <w:p w14:paraId="3CA7F328" w14:textId="77777777" w:rsidR="00B44125" w:rsidRPr="00205C60" w:rsidRDefault="00B44125" w:rsidP="00307E2B">
      <w:pPr>
        <w:pStyle w:val="Ttulo2"/>
        <w:numPr>
          <w:ilvl w:val="1"/>
          <w:numId w:val="2"/>
        </w:numPr>
        <w:tabs>
          <w:tab w:val="clear" w:pos="720"/>
          <w:tab w:val="left" w:pos="708"/>
        </w:tabs>
        <w:rPr>
          <w:rFonts w:ascii="Verdana" w:hAnsi="Verdana" w:cs="Arial"/>
          <w:sz w:val="22"/>
          <w:szCs w:val="22"/>
        </w:rPr>
      </w:pPr>
      <w:bookmarkStart w:id="174" w:name="_Toc104529494"/>
      <w:r w:rsidRPr="00205C60">
        <w:rPr>
          <w:rFonts w:ascii="Verdana" w:hAnsi="Verdana" w:cs="Arial"/>
          <w:sz w:val="22"/>
          <w:szCs w:val="22"/>
        </w:rPr>
        <w:t>Agrupaciones Gremiales</w:t>
      </w:r>
      <w:bookmarkEnd w:id="174"/>
    </w:p>
    <w:p w14:paraId="3CA7F329" w14:textId="77777777" w:rsidR="00B44125" w:rsidRPr="00205C60" w:rsidRDefault="00B44125">
      <w:pPr>
        <w:jc w:val="both"/>
        <w:rPr>
          <w:rFonts w:ascii="Verdana" w:hAnsi="Verdana" w:cs="Arial"/>
          <w:b/>
          <w:sz w:val="22"/>
          <w:szCs w:val="22"/>
        </w:rPr>
      </w:pPr>
    </w:p>
    <w:p w14:paraId="3CA7F32A" w14:textId="367A5C48" w:rsidR="00B44125" w:rsidRPr="00205C60" w:rsidRDefault="00B44125" w:rsidP="00046EA9">
      <w:pPr>
        <w:numPr>
          <w:ilvl w:val="0"/>
          <w:numId w:val="9"/>
        </w:numPr>
        <w:jc w:val="both"/>
        <w:rPr>
          <w:rFonts w:ascii="Verdana" w:hAnsi="Verdana" w:cs="Arial"/>
          <w:sz w:val="22"/>
          <w:szCs w:val="22"/>
        </w:rPr>
      </w:pPr>
      <w:r w:rsidRPr="00205C60">
        <w:rPr>
          <w:rFonts w:ascii="Verdana" w:hAnsi="Verdana" w:cs="Arial"/>
          <w:sz w:val="22"/>
          <w:szCs w:val="22"/>
        </w:rPr>
        <w:t xml:space="preserve">Sindicato </w:t>
      </w:r>
      <w:r w:rsidR="002B16AC" w:rsidRPr="00205C60">
        <w:rPr>
          <w:rFonts w:ascii="Verdana" w:hAnsi="Verdana" w:cs="Arial"/>
          <w:sz w:val="22"/>
          <w:szCs w:val="22"/>
        </w:rPr>
        <w:t xml:space="preserve">Industrial de Trabajadores Eléctricos y Telecomunicaciones </w:t>
      </w:r>
      <w:r w:rsidRPr="00205C60">
        <w:rPr>
          <w:rFonts w:ascii="Verdana" w:hAnsi="Verdana" w:cs="Arial"/>
          <w:sz w:val="22"/>
          <w:szCs w:val="22"/>
        </w:rPr>
        <w:t xml:space="preserve">(SITET): En la actualidad están afiliados </w:t>
      </w:r>
      <w:r w:rsidR="00A22FC4" w:rsidRPr="00205C60">
        <w:rPr>
          <w:rFonts w:ascii="Verdana" w:hAnsi="Verdana" w:cs="Arial"/>
          <w:sz w:val="22"/>
          <w:szCs w:val="22"/>
        </w:rPr>
        <w:t>7</w:t>
      </w:r>
      <w:r w:rsidR="00091212" w:rsidRPr="00205C60">
        <w:rPr>
          <w:rFonts w:ascii="Verdana" w:hAnsi="Verdana" w:cs="Arial"/>
          <w:sz w:val="22"/>
          <w:szCs w:val="22"/>
        </w:rPr>
        <w:t>49</w:t>
      </w:r>
      <w:r w:rsidR="00236621" w:rsidRPr="00205C60">
        <w:rPr>
          <w:rFonts w:ascii="Verdana" w:hAnsi="Verdana" w:cs="Arial"/>
          <w:sz w:val="22"/>
          <w:szCs w:val="22"/>
        </w:rPr>
        <w:t xml:space="preserve"> empleados que representan un </w:t>
      </w:r>
      <w:r w:rsidR="0072339C" w:rsidRPr="00205C60">
        <w:rPr>
          <w:rFonts w:ascii="Verdana" w:hAnsi="Verdana" w:cs="Arial"/>
          <w:sz w:val="22"/>
          <w:szCs w:val="22"/>
        </w:rPr>
        <w:t>3</w:t>
      </w:r>
      <w:r w:rsidR="009F3C0D" w:rsidRPr="00205C60">
        <w:rPr>
          <w:rFonts w:ascii="Verdana" w:hAnsi="Verdana" w:cs="Arial"/>
          <w:sz w:val="22"/>
          <w:szCs w:val="22"/>
        </w:rPr>
        <w:t>8,83</w:t>
      </w:r>
      <w:r w:rsidR="00236621" w:rsidRPr="00205C60">
        <w:rPr>
          <w:rFonts w:ascii="Verdana" w:hAnsi="Verdana" w:cs="Arial"/>
          <w:sz w:val="22"/>
          <w:szCs w:val="22"/>
        </w:rPr>
        <w:t>% del total.</w:t>
      </w:r>
    </w:p>
    <w:p w14:paraId="3CA7F32B" w14:textId="15EE22A2" w:rsidR="00B44125" w:rsidRPr="00205C60" w:rsidRDefault="00B44125" w:rsidP="00046EA9">
      <w:pPr>
        <w:numPr>
          <w:ilvl w:val="0"/>
          <w:numId w:val="9"/>
        </w:numPr>
        <w:jc w:val="both"/>
        <w:rPr>
          <w:rFonts w:ascii="Verdana" w:hAnsi="Verdana" w:cs="Arial"/>
          <w:sz w:val="22"/>
          <w:szCs w:val="22"/>
        </w:rPr>
      </w:pPr>
      <w:r w:rsidRPr="00205C60">
        <w:rPr>
          <w:rFonts w:ascii="Verdana" w:hAnsi="Verdana" w:cs="Arial"/>
          <w:sz w:val="22"/>
          <w:szCs w:val="22"/>
        </w:rPr>
        <w:t>Filial de Profesionales del SIICE (Sindicato de Ingenieros del I.C.E. en la Compañía Nacional de Fuerza y Luz S.A.</w:t>
      </w:r>
      <w:r w:rsidR="00C24C06" w:rsidRPr="00205C60">
        <w:rPr>
          <w:rFonts w:ascii="Verdana" w:hAnsi="Verdana" w:cs="Arial"/>
          <w:sz w:val="22"/>
          <w:szCs w:val="22"/>
        </w:rPr>
        <w:t xml:space="preserve">) </w:t>
      </w:r>
      <w:r w:rsidRPr="00205C60">
        <w:rPr>
          <w:rFonts w:ascii="Verdana" w:hAnsi="Verdana" w:cs="Arial"/>
          <w:sz w:val="22"/>
          <w:szCs w:val="22"/>
        </w:rPr>
        <w:t xml:space="preserve"> En la actualidad están </w:t>
      </w:r>
      <w:r w:rsidR="00E22E20" w:rsidRPr="00205C60">
        <w:rPr>
          <w:rFonts w:ascii="Verdana" w:hAnsi="Verdana" w:cs="Arial"/>
          <w:sz w:val="22"/>
          <w:szCs w:val="22"/>
        </w:rPr>
        <w:t>afiliados 2</w:t>
      </w:r>
      <w:r w:rsidR="009F3C0D" w:rsidRPr="00205C60">
        <w:rPr>
          <w:rFonts w:ascii="Verdana" w:hAnsi="Verdana" w:cs="Arial"/>
          <w:sz w:val="22"/>
          <w:szCs w:val="22"/>
        </w:rPr>
        <w:t>58</w:t>
      </w:r>
      <w:r w:rsidR="00236621" w:rsidRPr="00205C60">
        <w:rPr>
          <w:rFonts w:ascii="Verdana" w:hAnsi="Verdana" w:cs="Arial"/>
          <w:sz w:val="22"/>
          <w:szCs w:val="22"/>
        </w:rPr>
        <w:t xml:space="preserve"> profesionales que corresponden a un 1</w:t>
      </w:r>
      <w:r w:rsidR="009F3C0D" w:rsidRPr="00205C60">
        <w:rPr>
          <w:rFonts w:ascii="Verdana" w:hAnsi="Verdana" w:cs="Arial"/>
          <w:sz w:val="22"/>
          <w:szCs w:val="22"/>
        </w:rPr>
        <w:t>3</w:t>
      </w:r>
      <w:r w:rsidR="00D603F9" w:rsidRPr="00205C60">
        <w:rPr>
          <w:rFonts w:ascii="Verdana" w:hAnsi="Verdana" w:cs="Arial"/>
          <w:sz w:val="22"/>
          <w:szCs w:val="22"/>
        </w:rPr>
        <w:t>,</w:t>
      </w:r>
      <w:r w:rsidR="009F3C0D" w:rsidRPr="00205C60">
        <w:rPr>
          <w:rFonts w:ascii="Verdana" w:hAnsi="Verdana" w:cs="Arial"/>
          <w:sz w:val="22"/>
          <w:szCs w:val="22"/>
        </w:rPr>
        <w:t>3</w:t>
      </w:r>
      <w:r w:rsidR="007649FB" w:rsidRPr="00205C60">
        <w:rPr>
          <w:rFonts w:ascii="Verdana" w:hAnsi="Verdana" w:cs="Arial"/>
          <w:sz w:val="22"/>
          <w:szCs w:val="22"/>
        </w:rPr>
        <w:t>8</w:t>
      </w:r>
      <w:r w:rsidR="00C24C06" w:rsidRPr="00205C60">
        <w:rPr>
          <w:rFonts w:ascii="Verdana" w:hAnsi="Verdana" w:cs="Arial"/>
          <w:sz w:val="22"/>
          <w:szCs w:val="22"/>
        </w:rPr>
        <w:t>% del total.</w:t>
      </w:r>
    </w:p>
    <w:p w14:paraId="3CA7F32C" w14:textId="39867104" w:rsidR="00B44125" w:rsidRPr="00205C60" w:rsidRDefault="00B44125" w:rsidP="00046EA9">
      <w:pPr>
        <w:numPr>
          <w:ilvl w:val="0"/>
          <w:numId w:val="9"/>
        </w:numPr>
        <w:jc w:val="both"/>
        <w:rPr>
          <w:rFonts w:ascii="Verdana" w:hAnsi="Verdana" w:cs="Arial"/>
          <w:sz w:val="22"/>
          <w:szCs w:val="22"/>
        </w:rPr>
      </w:pPr>
      <w:r w:rsidRPr="00205C60">
        <w:rPr>
          <w:rFonts w:ascii="Verdana" w:hAnsi="Verdana" w:cs="Arial"/>
          <w:sz w:val="22"/>
          <w:szCs w:val="22"/>
        </w:rPr>
        <w:t xml:space="preserve">Asociación Solidarista </w:t>
      </w:r>
      <w:r w:rsidR="00C24C06" w:rsidRPr="00205C60">
        <w:rPr>
          <w:rFonts w:ascii="Verdana" w:hAnsi="Verdana" w:cs="Arial"/>
          <w:sz w:val="22"/>
          <w:szCs w:val="22"/>
        </w:rPr>
        <w:t xml:space="preserve">de Empleados </w:t>
      </w:r>
      <w:r w:rsidRPr="00205C60">
        <w:rPr>
          <w:rFonts w:ascii="Verdana" w:hAnsi="Verdana" w:cs="Arial"/>
          <w:sz w:val="22"/>
          <w:szCs w:val="22"/>
        </w:rPr>
        <w:t xml:space="preserve">(ASEFYL): En la actualidad hay </w:t>
      </w:r>
      <w:r w:rsidR="00B078FD" w:rsidRPr="00205C60">
        <w:rPr>
          <w:rFonts w:ascii="Verdana" w:hAnsi="Verdana" w:cs="Arial"/>
          <w:sz w:val="22"/>
          <w:szCs w:val="22"/>
        </w:rPr>
        <w:t>1</w:t>
      </w:r>
      <w:r w:rsidRPr="00205C60">
        <w:rPr>
          <w:rFonts w:ascii="Verdana" w:hAnsi="Verdana" w:cs="Arial"/>
          <w:sz w:val="22"/>
          <w:szCs w:val="22"/>
        </w:rPr>
        <w:t>.</w:t>
      </w:r>
      <w:r w:rsidR="00E65E46" w:rsidRPr="00205C60">
        <w:rPr>
          <w:rFonts w:ascii="Verdana" w:hAnsi="Verdana" w:cs="Arial"/>
          <w:sz w:val="22"/>
          <w:szCs w:val="22"/>
        </w:rPr>
        <w:t>4</w:t>
      </w:r>
      <w:r w:rsidR="00201229" w:rsidRPr="00205C60">
        <w:rPr>
          <w:rFonts w:ascii="Verdana" w:hAnsi="Verdana" w:cs="Arial"/>
          <w:sz w:val="22"/>
          <w:szCs w:val="22"/>
        </w:rPr>
        <w:t>45</w:t>
      </w:r>
      <w:r w:rsidR="00236621" w:rsidRPr="00205C60">
        <w:rPr>
          <w:rFonts w:ascii="Verdana" w:hAnsi="Verdana" w:cs="Arial"/>
          <w:sz w:val="22"/>
          <w:szCs w:val="22"/>
        </w:rPr>
        <w:t xml:space="preserve"> empleado</w:t>
      </w:r>
      <w:r w:rsidR="00F67130" w:rsidRPr="00205C60">
        <w:rPr>
          <w:rFonts w:ascii="Verdana" w:hAnsi="Verdana" w:cs="Arial"/>
          <w:sz w:val="22"/>
          <w:szCs w:val="22"/>
        </w:rPr>
        <w:t>s af</w:t>
      </w:r>
      <w:r w:rsidR="00EA561D" w:rsidRPr="00205C60">
        <w:rPr>
          <w:rFonts w:ascii="Verdana" w:hAnsi="Verdana" w:cs="Arial"/>
          <w:sz w:val="22"/>
          <w:szCs w:val="22"/>
        </w:rPr>
        <w:t>iliados que representan un 7</w:t>
      </w:r>
      <w:r w:rsidR="00201229" w:rsidRPr="00205C60">
        <w:rPr>
          <w:rFonts w:ascii="Verdana" w:hAnsi="Verdana" w:cs="Arial"/>
          <w:sz w:val="22"/>
          <w:szCs w:val="22"/>
        </w:rPr>
        <w:t>4</w:t>
      </w:r>
      <w:r w:rsidR="00D603F9" w:rsidRPr="00205C60">
        <w:rPr>
          <w:rFonts w:ascii="Verdana" w:hAnsi="Verdana" w:cs="Arial"/>
          <w:sz w:val="22"/>
          <w:szCs w:val="22"/>
        </w:rPr>
        <w:t>,</w:t>
      </w:r>
      <w:r w:rsidR="00201229" w:rsidRPr="00205C60">
        <w:rPr>
          <w:rFonts w:ascii="Verdana" w:hAnsi="Verdana" w:cs="Arial"/>
          <w:sz w:val="22"/>
          <w:szCs w:val="22"/>
        </w:rPr>
        <w:t>91</w:t>
      </w:r>
      <w:r w:rsidR="00C24C06" w:rsidRPr="00205C60">
        <w:rPr>
          <w:rFonts w:ascii="Verdana" w:hAnsi="Verdana" w:cs="Arial"/>
          <w:sz w:val="22"/>
          <w:szCs w:val="22"/>
        </w:rPr>
        <w:t>% del total.</w:t>
      </w:r>
      <w:r w:rsidR="00C91645" w:rsidRPr="00205C60">
        <w:rPr>
          <w:rFonts w:ascii="Verdana" w:hAnsi="Verdana" w:cs="Arial"/>
          <w:sz w:val="22"/>
          <w:szCs w:val="22"/>
        </w:rPr>
        <w:t xml:space="preserve">  </w:t>
      </w:r>
    </w:p>
    <w:p w14:paraId="3CA7F32D" w14:textId="48CBAD5D" w:rsidR="00B44125" w:rsidRPr="00205C60" w:rsidRDefault="00B44125" w:rsidP="00046EA9">
      <w:pPr>
        <w:numPr>
          <w:ilvl w:val="0"/>
          <w:numId w:val="9"/>
        </w:numPr>
        <w:jc w:val="both"/>
        <w:rPr>
          <w:rFonts w:ascii="Verdana" w:hAnsi="Verdana" w:cs="Arial"/>
          <w:sz w:val="22"/>
          <w:szCs w:val="22"/>
        </w:rPr>
      </w:pPr>
      <w:r w:rsidRPr="00205C60">
        <w:rPr>
          <w:rFonts w:ascii="Verdana" w:hAnsi="Verdana" w:cs="Arial"/>
          <w:sz w:val="22"/>
          <w:szCs w:val="22"/>
        </w:rPr>
        <w:t xml:space="preserve">Cooperativa de Ahorro y Crédito del Sector Público, Privado e Independiente (COOPEFYL): </w:t>
      </w:r>
      <w:r w:rsidR="00D26132" w:rsidRPr="00205C60">
        <w:rPr>
          <w:rFonts w:ascii="Verdana" w:hAnsi="Verdana" w:cs="Arial"/>
          <w:sz w:val="22"/>
          <w:szCs w:val="22"/>
        </w:rPr>
        <w:t>c</w:t>
      </w:r>
      <w:r w:rsidRPr="00205C60">
        <w:rPr>
          <w:rFonts w:ascii="Verdana" w:hAnsi="Verdana" w:cs="Arial"/>
          <w:sz w:val="22"/>
          <w:szCs w:val="22"/>
        </w:rPr>
        <w:t xml:space="preserve">uenta en la </w:t>
      </w:r>
      <w:r w:rsidR="00B7411D" w:rsidRPr="00205C60">
        <w:rPr>
          <w:rFonts w:ascii="Verdana" w:hAnsi="Verdana" w:cs="Arial"/>
          <w:sz w:val="22"/>
          <w:szCs w:val="22"/>
        </w:rPr>
        <w:t>actualidad 5</w:t>
      </w:r>
      <w:r w:rsidR="00201229" w:rsidRPr="00205C60">
        <w:rPr>
          <w:rFonts w:ascii="Verdana" w:hAnsi="Verdana" w:cs="Arial"/>
          <w:sz w:val="22"/>
          <w:szCs w:val="22"/>
        </w:rPr>
        <w:t>14</w:t>
      </w:r>
      <w:r w:rsidR="00236621" w:rsidRPr="00205C60">
        <w:rPr>
          <w:rFonts w:ascii="Verdana" w:hAnsi="Verdana" w:cs="Arial"/>
          <w:sz w:val="22"/>
          <w:szCs w:val="22"/>
        </w:rPr>
        <w:t xml:space="preserve"> </w:t>
      </w:r>
      <w:r w:rsidRPr="00205C60">
        <w:rPr>
          <w:rFonts w:ascii="Verdana" w:hAnsi="Verdana" w:cs="Arial"/>
          <w:sz w:val="22"/>
          <w:szCs w:val="22"/>
        </w:rPr>
        <w:t>funcionarios de la Compañía</w:t>
      </w:r>
      <w:r w:rsidR="00A57DB6" w:rsidRPr="00205C60">
        <w:rPr>
          <w:rFonts w:ascii="Verdana" w:hAnsi="Verdana" w:cs="Arial"/>
          <w:sz w:val="22"/>
          <w:szCs w:val="22"/>
        </w:rPr>
        <w:t xml:space="preserve"> afiliados a esta cooperativa</w:t>
      </w:r>
      <w:r w:rsidRPr="00205C60">
        <w:rPr>
          <w:rFonts w:ascii="Verdana" w:hAnsi="Verdana" w:cs="Arial"/>
          <w:sz w:val="22"/>
          <w:szCs w:val="22"/>
        </w:rPr>
        <w:t xml:space="preserve">, </w:t>
      </w:r>
      <w:r w:rsidR="00A57DB6" w:rsidRPr="00205C60">
        <w:rPr>
          <w:rFonts w:ascii="Verdana" w:hAnsi="Verdana" w:cs="Arial"/>
          <w:sz w:val="22"/>
          <w:szCs w:val="22"/>
        </w:rPr>
        <w:t xml:space="preserve">lo </w:t>
      </w:r>
      <w:r w:rsidR="00236621" w:rsidRPr="00205C60">
        <w:rPr>
          <w:rFonts w:ascii="Verdana" w:hAnsi="Verdana" w:cs="Arial"/>
          <w:sz w:val="22"/>
          <w:szCs w:val="22"/>
        </w:rPr>
        <w:t xml:space="preserve">que representa un </w:t>
      </w:r>
      <w:r w:rsidR="00CB0AE3" w:rsidRPr="00205C60">
        <w:rPr>
          <w:rFonts w:ascii="Verdana" w:hAnsi="Verdana" w:cs="Arial"/>
          <w:sz w:val="22"/>
          <w:szCs w:val="22"/>
        </w:rPr>
        <w:t>2</w:t>
      </w:r>
      <w:r w:rsidR="00201229" w:rsidRPr="00205C60">
        <w:rPr>
          <w:rFonts w:ascii="Verdana" w:hAnsi="Verdana" w:cs="Arial"/>
          <w:sz w:val="22"/>
          <w:szCs w:val="22"/>
        </w:rPr>
        <w:t>6</w:t>
      </w:r>
      <w:r w:rsidR="00CB0AE3" w:rsidRPr="00205C60">
        <w:rPr>
          <w:rFonts w:ascii="Verdana" w:hAnsi="Verdana" w:cs="Arial"/>
          <w:sz w:val="22"/>
          <w:szCs w:val="22"/>
        </w:rPr>
        <w:t>,</w:t>
      </w:r>
      <w:r w:rsidR="00201229" w:rsidRPr="00205C60">
        <w:rPr>
          <w:rFonts w:ascii="Verdana" w:hAnsi="Verdana" w:cs="Arial"/>
          <w:sz w:val="22"/>
          <w:szCs w:val="22"/>
        </w:rPr>
        <w:t>64</w:t>
      </w:r>
      <w:r w:rsidR="00C24C06" w:rsidRPr="00205C60">
        <w:rPr>
          <w:rFonts w:ascii="Verdana" w:hAnsi="Verdana" w:cs="Arial"/>
          <w:sz w:val="22"/>
          <w:szCs w:val="22"/>
        </w:rPr>
        <w:t>% del total.</w:t>
      </w:r>
    </w:p>
    <w:p w14:paraId="3CA7F32E" w14:textId="77777777" w:rsidR="00172F93" w:rsidRPr="00205C60" w:rsidRDefault="00172F93" w:rsidP="0003506E">
      <w:pPr>
        <w:jc w:val="both"/>
        <w:rPr>
          <w:rFonts w:ascii="Verdana" w:hAnsi="Verdana" w:cs="Arial"/>
          <w:sz w:val="22"/>
          <w:szCs w:val="22"/>
        </w:rPr>
      </w:pPr>
    </w:p>
    <w:p w14:paraId="3CA7F32F" w14:textId="77777777" w:rsidR="00FB69BF" w:rsidRPr="00205C60" w:rsidRDefault="00FB69BF" w:rsidP="0003506E">
      <w:pPr>
        <w:jc w:val="both"/>
        <w:rPr>
          <w:rFonts w:ascii="Verdana" w:hAnsi="Verdana" w:cs="Arial"/>
          <w:sz w:val="22"/>
          <w:szCs w:val="22"/>
        </w:rPr>
      </w:pPr>
    </w:p>
    <w:p w14:paraId="3CA7F330" w14:textId="77777777" w:rsidR="00B44125" w:rsidRPr="00205C60" w:rsidRDefault="00731454" w:rsidP="00307E2B">
      <w:pPr>
        <w:pStyle w:val="Ttulo2"/>
        <w:numPr>
          <w:ilvl w:val="1"/>
          <w:numId w:val="2"/>
        </w:numPr>
        <w:tabs>
          <w:tab w:val="clear" w:pos="720"/>
          <w:tab w:val="left" w:pos="708"/>
        </w:tabs>
        <w:rPr>
          <w:rFonts w:ascii="Verdana" w:hAnsi="Verdana" w:cs="Arial"/>
          <w:sz w:val="22"/>
          <w:szCs w:val="22"/>
        </w:rPr>
      </w:pPr>
      <w:bookmarkStart w:id="175" w:name="_Toc102455564"/>
      <w:bookmarkStart w:id="176" w:name="_Toc104529495"/>
      <w:r w:rsidRPr="00205C60">
        <w:rPr>
          <w:rFonts w:ascii="Verdana" w:hAnsi="Verdana" w:cs="Arial"/>
          <w:sz w:val="22"/>
          <w:szCs w:val="22"/>
        </w:rPr>
        <w:t>P</w:t>
      </w:r>
      <w:r w:rsidR="00B44125" w:rsidRPr="00205C60">
        <w:rPr>
          <w:rFonts w:ascii="Verdana" w:hAnsi="Verdana" w:cs="Arial"/>
          <w:sz w:val="22"/>
          <w:szCs w:val="22"/>
        </w:rPr>
        <w:t>olíticas Salariales y Compensatorias</w:t>
      </w:r>
      <w:bookmarkEnd w:id="175"/>
      <w:bookmarkEnd w:id="176"/>
    </w:p>
    <w:p w14:paraId="3CA7F331" w14:textId="77777777" w:rsidR="0003506E" w:rsidRPr="00205C60" w:rsidRDefault="0003506E" w:rsidP="0003506E">
      <w:pPr>
        <w:rPr>
          <w:rFonts w:ascii="Verdana" w:hAnsi="Verdana"/>
          <w:sz w:val="22"/>
          <w:szCs w:val="22"/>
        </w:rPr>
      </w:pPr>
    </w:p>
    <w:p w14:paraId="3CA7F332" w14:textId="77777777" w:rsidR="00B44125" w:rsidRPr="00205C60" w:rsidRDefault="00B44125">
      <w:pPr>
        <w:jc w:val="both"/>
        <w:rPr>
          <w:rFonts w:ascii="Verdana" w:hAnsi="Verdana" w:cs="Arial"/>
          <w:sz w:val="22"/>
          <w:szCs w:val="22"/>
        </w:rPr>
      </w:pPr>
      <w:r w:rsidRPr="00205C60">
        <w:rPr>
          <w:rFonts w:ascii="Verdana" w:hAnsi="Verdana" w:cs="Arial"/>
          <w:sz w:val="22"/>
          <w:szCs w:val="22"/>
        </w:rPr>
        <w:t>En cuanto a las políticas salariales y compensatorias, la Compañía Nacional de Fuerza y Luz, S.A., observa lo siguiente:</w:t>
      </w:r>
    </w:p>
    <w:p w14:paraId="3CA7F333" w14:textId="77777777" w:rsidR="00B44125" w:rsidRPr="00205C60" w:rsidRDefault="00B44125">
      <w:pPr>
        <w:jc w:val="both"/>
        <w:rPr>
          <w:rFonts w:ascii="Verdana" w:hAnsi="Verdana" w:cs="Arial"/>
          <w:sz w:val="22"/>
          <w:szCs w:val="22"/>
        </w:rPr>
      </w:pPr>
    </w:p>
    <w:p w14:paraId="3CA7F334" w14:textId="77777777" w:rsidR="00B44125" w:rsidRPr="00205C60" w:rsidRDefault="00B44125">
      <w:pPr>
        <w:jc w:val="both"/>
        <w:rPr>
          <w:rFonts w:ascii="Verdana" w:hAnsi="Verdana" w:cs="Arial"/>
          <w:sz w:val="22"/>
          <w:szCs w:val="22"/>
        </w:rPr>
      </w:pPr>
      <w:r w:rsidRPr="00205C60">
        <w:rPr>
          <w:rFonts w:ascii="Verdana" w:hAnsi="Verdana" w:cs="Arial"/>
          <w:b/>
          <w:sz w:val="22"/>
          <w:szCs w:val="22"/>
        </w:rPr>
        <w:t>Miembros del Consejo Administrativo:</w:t>
      </w:r>
      <w:r w:rsidRPr="00205C60">
        <w:rPr>
          <w:rFonts w:ascii="Verdana" w:hAnsi="Verdana" w:cs="Arial"/>
          <w:sz w:val="22"/>
          <w:szCs w:val="22"/>
        </w:rPr>
        <w:t xml:space="preserve"> Los miembros del Consejo de Administración, perciben como única remuneración el pago de dietas por su participación en las sesiones debidamente convocadas al efecto.</w:t>
      </w:r>
    </w:p>
    <w:p w14:paraId="3CA7F335" w14:textId="77777777" w:rsidR="00B44125" w:rsidRPr="00205C60" w:rsidRDefault="00B44125">
      <w:pPr>
        <w:jc w:val="both"/>
        <w:rPr>
          <w:rFonts w:ascii="Verdana" w:hAnsi="Verdana" w:cs="Arial"/>
          <w:sz w:val="22"/>
          <w:szCs w:val="22"/>
        </w:rPr>
      </w:pPr>
    </w:p>
    <w:p w14:paraId="3CA7F336" w14:textId="4021AE27" w:rsidR="00B44125" w:rsidRPr="00205C60" w:rsidRDefault="00B44125">
      <w:pPr>
        <w:jc w:val="both"/>
        <w:rPr>
          <w:rFonts w:ascii="Verdana" w:hAnsi="Verdana" w:cs="Arial"/>
          <w:sz w:val="22"/>
          <w:szCs w:val="22"/>
        </w:rPr>
      </w:pPr>
      <w:r w:rsidRPr="00205C60">
        <w:rPr>
          <w:rFonts w:ascii="Verdana" w:hAnsi="Verdana" w:cs="Arial"/>
          <w:b/>
          <w:sz w:val="22"/>
          <w:szCs w:val="22"/>
        </w:rPr>
        <w:t>Ejecutivos de Nivel Gerencial:</w:t>
      </w:r>
      <w:r w:rsidRPr="00205C60">
        <w:rPr>
          <w:rFonts w:ascii="Verdana" w:hAnsi="Verdana" w:cs="Arial"/>
          <w:sz w:val="22"/>
          <w:szCs w:val="22"/>
        </w:rPr>
        <w:t xml:space="preserve"> Los Ejecutivos de Nivel Gerencial, son parte de un mismo régimen de salario y compensación, </w:t>
      </w:r>
      <w:r w:rsidR="00B7763B" w:rsidRPr="00205C60">
        <w:rPr>
          <w:rFonts w:ascii="Verdana" w:hAnsi="Verdana" w:cs="Arial"/>
          <w:sz w:val="22"/>
          <w:szCs w:val="22"/>
        </w:rPr>
        <w:t>juntamente con</w:t>
      </w:r>
      <w:r w:rsidRPr="00205C60">
        <w:rPr>
          <w:rFonts w:ascii="Verdana" w:hAnsi="Verdana" w:cs="Arial"/>
          <w:sz w:val="22"/>
          <w:szCs w:val="22"/>
        </w:rPr>
        <w:t xml:space="preserve"> los demás colaboradores de la Compañía Nacional de Fuerza y Luz, S.A.</w:t>
      </w:r>
    </w:p>
    <w:p w14:paraId="3CA7F337" w14:textId="77777777" w:rsidR="00B44125" w:rsidRPr="00205C60" w:rsidRDefault="00B44125">
      <w:pPr>
        <w:jc w:val="both"/>
        <w:rPr>
          <w:rFonts w:ascii="Verdana" w:hAnsi="Verdana" w:cs="Arial"/>
          <w:sz w:val="22"/>
          <w:szCs w:val="22"/>
        </w:rPr>
      </w:pPr>
    </w:p>
    <w:p w14:paraId="3CA7F338" w14:textId="77777777" w:rsidR="001A6C61" w:rsidRPr="00205C60" w:rsidRDefault="00B44125">
      <w:pPr>
        <w:jc w:val="both"/>
        <w:rPr>
          <w:rFonts w:ascii="Verdana" w:hAnsi="Verdana" w:cs="Arial"/>
          <w:sz w:val="22"/>
          <w:szCs w:val="22"/>
        </w:rPr>
      </w:pPr>
      <w:r w:rsidRPr="00205C60">
        <w:rPr>
          <w:rFonts w:ascii="Verdana" w:hAnsi="Verdana" w:cs="Arial"/>
          <w:sz w:val="22"/>
          <w:szCs w:val="22"/>
        </w:rPr>
        <w:t xml:space="preserve">En este sentido, cabe indicar que existe una Convención Colectiva, que tiene su fundamento legal en el Código de Trabajo, la cual es de aplicación general para todos los trabajadores, actuales y futuros </w:t>
      </w:r>
      <w:r w:rsidR="00B75646" w:rsidRPr="00205C60">
        <w:rPr>
          <w:rFonts w:ascii="Verdana" w:hAnsi="Verdana" w:cs="Arial"/>
          <w:sz w:val="22"/>
          <w:szCs w:val="22"/>
        </w:rPr>
        <w:t xml:space="preserve">que presten servicios en </w:t>
      </w:r>
      <w:r w:rsidRPr="00205C60">
        <w:rPr>
          <w:rFonts w:ascii="Verdana" w:hAnsi="Verdana" w:cs="Arial"/>
          <w:sz w:val="22"/>
          <w:szCs w:val="22"/>
        </w:rPr>
        <w:t xml:space="preserve">la Compañía </w:t>
      </w:r>
      <w:r w:rsidR="00B75646" w:rsidRPr="00205C60">
        <w:rPr>
          <w:rFonts w:ascii="Verdana" w:hAnsi="Verdana" w:cs="Arial"/>
          <w:sz w:val="22"/>
          <w:szCs w:val="22"/>
        </w:rPr>
        <w:t xml:space="preserve">en </w:t>
      </w:r>
      <w:r w:rsidR="00B75646" w:rsidRPr="00205C60">
        <w:rPr>
          <w:rFonts w:ascii="Verdana" w:hAnsi="Verdana" w:cs="Arial"/>
          <w:sz w:val="22"/>
          <w:szCs w:val="22"/>
        </w:rPr>
        <w:lastRenderedPageBreak/>
        <w:t>los diferentes centros de trabajo</w:t>
      </w:r>
      <w:r w:rsidRPr="00205C60">
        <w:rPr>
          <w:rFonts w:ascii="Verdana" w:hAnsi="Verdana" w:cs="Arial"/>
          <w:sz w:val="22"/>
          <w:szCs w:val="22"/>
        </w:rPr>
        <w:t xml:space="preserve">, en la cual se establecen los beneficios </w:t>
      </w:r>
      <w:r w:rsidR="00B75646" w:rsidRPr="00205C60">
        <w:rPr>
          <w:rFonts w:ascii="Verdana" w:hAnsi="Verdana" w:cs="Arial"/>
          <w:sz w:val="22"/>
          <w:szCs w:val="22"/>
        </w:rPr>
        <w:t>económicos y sociales derivados de la misma.</w:t>
      </w:r>
      <w:r w:rsidR="000648B1" w:rsidRPr="00205C60">
        <w:rPr>
          <w:rFonts w:ascii="Verdana" w:hAnsi="Verdana" w:cs="Arial"/>
          <w:sz w:val="22"/>
          <w:szCs w:val="22"/>
        </w:rPr>
        <w:t xml:space="preserve">  </w:t>
      </w:r>
    </w:p>
    <w:p w14:paraId="3CA7F339" w14:textId="77777777" w:rsidR="001A6C61" w:rsidRPr="00205C60" w:rsidRDefault="001A6C61">
      <w:pPr>
        <w:jc w:val="both"/>
        <w:rPr>
          <w:rFonts w:ascii="Verdana" w:hAnsi="Verdana" w:cs="Arial"/>
          <w:sz w:val="22"/>
          <w:szCs w:val="22"/>
        </w:rPr>
      </w:pPr>
    </w:p>
    <w:p w14:paraId="3CA7F33A" w14:textId="77777777" w:rsidR="00B44125" w:rsidRPr="00205C60" w:rsidRDefault="000648B1">
      <w:pPr>
        <w:jc w:val="both"/>
        <w:rPr>
          <w:rFonts w:ascii="Verdana" w:hAnsi="Verdana" w:cs="Arial"/>
          <w:sz w:val="22"/>
          <w:szCs w:val="22"/>
        </w:rPr>
      </w:pPr>
      <w:r w:rsidRPr="00205C60">
        <w:rPr>
          <w:rFonts w:ascii="Verdana" w:hAnsi="Verdana" w:cs="Arial"/>
          <w:sz w:val="22"/>
          <w:szCs w:val="22"/>
        </w:rPr>
        <w:t xml:space="preserve">Entre los principales beneficios que contempla la </w:t>
      </w:r>
      <w:r w:rsidR="001A6C61" w:rsidRPr="00205C60">
        <w:rPr>
          <w:rFonts w:ascii="Verdana" w:hAnsi="Verdana" w:cs="Arial"/>
          <w:sz w:val="22"/>
          <w:szCs w:val="22"/>
        </w:rPr>
        <w:t xml:space="preserve">Convención Colectiva vigente se pueden mencionar:  </w:t>
      </w:r>
    </w:p>
    <w:p w14:paraId="3CA7F33B" w14:textId="77777777" w:rsidR="001A6C61" w:rsidRPr="00205C60" w:rsidRDefault="001A6C61">
      <w:pPr>
        <w:jc w:val="both"/>
        <w:rPr>
          <w:rFonts w:ascii="Verdana" w:hAnsi="Verdana" w:cs="Arial"/>
          <w:sz w:val="22"/>
          <w:szCs w:val="22"/>
        </w:rPr>
      </w:pPr>
    </w:p>
    <w:p w14:paraId="3CA7F33C" w14:textId="77777777" w:rsidR="001A6C61" w:rsidRPr="00205C60" w:rsidRDefault="001A6C61" w:rsidP="00046EA9">
      <w:pPr>
        <w:numPr>
          <w:ilvl w:val="0"/>
          <w:numId w:val="9"/>
        </w:numPr>
        <w:jc w:val="both"/>
        <w:rPr>
          <w:rFonts w:ascii="Verdana" w:hAnsi="Verdana" w:cs="Arial"/>
          <w:sz w:val="22"/>
          <w:szCs w:val="22"/>
        </w:rPr>
      </w:pPr>
      <w:r w:rsidRPr="00205C60">
        <w:rPr>
          <w:rFonts w:ascii="Verdana" w:hAnsi="Verdana" w:cs="Arial"/>
          <w:sz w:val="22"/>
          <w:szCs w:val="22"/>
        </w:rPr>
        <w:t>Disposiciones en cuanto a jornada de trabajo</w:t>
      </w:r>
    </w:p>
    <w:p w14:paraId="3CA7F33D" w14:textId="77777777" w:rsidR="001A6C61" w:rsidRPr="00205C60" w:rsidRDefault="001A6C61" w:rsidP="00046EA9">
      <w:pPr>
        <w:numPr>
          <w:ilvl w:val="0"/>
          <w:numId w:val="9"/>
        </w:numPr>
        <w:jc w:val="both"/>
        <w:rPr>
          <w:rFonts w:ascii="Verdana" w:hAnsi="Verdana" w:cs="Arial"/>
          <w:sz w:val="22"/>
          <w:szCs w:val="22"/>
        </w:rPr>
      </w:pPr>
      <w:r w:rsidRPr="00205C60">
        <w:rPr>
          <w:rFonts w:ascii="Verdana" w:hAnsi="Verdana" w:cs="Arial"/>
          <w:sz w:val="22"/>
          <w:szCs w:val="22"/>
        </w:rPr>
        <w:t>Constitución de la Junta de Relaciones Laborales, como organismo encargado de tomar o proponer las medidas necesarias para mantener la armonía entre la Compañía y los trabajadores.</w:t>
      </w:r>
    </w:p>
    <w:p w14:paraId="3CA7F33E" w14:textId="77777777" w:rsidR="001A6C61" w:rsidRPr="00205C60" w:rsidRDefault="00FF5294" w:rsidP="00046EA9">
      <w:pPr>
        <w:numPr>
          <w:ilvl w:val="0"/>
          <w:numId w:val="9"/>
        </w:numPr>
        <w:jc w:val="both"/>
        <w:rPr>
          <w:rFonts w:ascii="Verdana" w:hAnsi="Verdana" w:cs="Arial"/>
          <w:sz w:val="22"/>
          <w:szCs w:val="22"/>
        </w:rPr>
      </w:pPr>
      <w:r w:rsidRPr="00205C60">
        <w:rPr>
          <w:rFonts w:ascii="Verdana" w:hAnsi="Verdana" w:cs="Arial"/>
          <w:sz w:val="22"/>
          <w:szCs w:val="22"/>
        </w:rPr>
        <w:t>Integración de una Comisión Permanente de Clasificación y Valoración de Puestos.</w:t>
      </w:r>
    </w:p>
    <w:p w14:paraId="3CA7F33F" w14:textId="77777777" w:rsidR="00FF5294" w:rsidRPr="00205C60" w:rsidRDefault="00FF5294" w:rsidP="00046EA9">
      <w:pPr>
        <w:numPr>
          <w:ilvl w:val="0"/>
          <w:numId w:val="9"/>
        </w:numPr>
        <w:jc w:val="both"/>
        <w:rPr>
          <w:rFonts w:ascii="Verdana" w:hAnsi="Verdana" w:cs="Arial"/>
          <w:sz w:val="22"/>
          <w:szCs w:val="22"/>
        </w:rPr>
      </w:pPr>
      <w:r w:rsidRPr="00205C60">
        <w:rPr>
          <w:rFonts w:ascii="Verdana" w:hAnsi="Verdana" w:cs="Arial"/>
          <w:sz w:val="22"/>
          <w:szCs w:val="22"/>
        </w:rPr>
        <w:t>Compromisos en cuanto a la debida consideración y respeto en las relaciones obrero-patronales.</w:t>
      </w:r>
    </w:p>
    <w:p w14:paraId="3CA7F340" w14:textId="77777777" w:rsidR="00FF5294" w:rsidRPr="00205C60" w:rsidRDefault="00FF5294" w:rsidP="00046EA9">
      <w:pPr>
        <w:numPr>
          <w:ilvl w:val="0"/>
          <w:numId w:val="9"/>
        </w:numPr>
        <w:jc w:val="both"/>
        <w:rPr>
          <w:rFonts w:ascii="Verdana" w:hAnsi="Verdana" w:cs="Arial"/>
          <w:sz w:val="22"/>
          <w:szCs w:val="22"/>
        </w:rPr>
      </w:pPr>
      <w:r w:rsidRPr="00205C60">
        <w:rPr>
          <w:rFonts w:ascii="Verdana" w:hAnsi="Verdana" w:cs="Arial"/>
          <w:sz w:val="22"/>
          <w:szCs w:val="22"/>
        </w:rPr>
        <w:t>Otorgamiento de permisos y licencias.</w:t>
      </w:r>
    </w:p>
    <w:p w14:paraId="3CA7F341" w14:textId="77777777" w:rsidR="00FF5294" w:rsidRPr="00205C60" w:rsidRDefault="002250E5" w:rsidP="00046EA9">
      <w:pPr>
        <w:numPr>
          <w:ilvl w:val="0"/>
          <w:numId w:val="9"/>
        </w:numPr>
        <w:jc w:val="both"/>
        <w:rPr>
          <w:rFonts w:ascii="Verdana" w:hAnsi="Verdana" w:cs="Arial"/>
          <w:sz w:val="22"/>
          <w:szCs w:val="22"/>
        </w:rPr>
      </w:pPr>
      <w:r w:rsidRPr="00205C60">
        <w:rPr>
          <w:rFonts w:ascii="Verdana" w:hAnsi="Verdana" w:cs="Arial"/>
          <w:sz w:val="22"/>
          <w:szCs w:val="22"/>
        </w:rPr>
        <w:t>Establecimiento de conformidad con lo dispuesto en el Código de Trabajo de una Comisión de Salud Ocupacional, la que tiene como finalidad, investigar las causas de los riesgos del trabajo, determinar medidas para prevenirlos y vigilar para que en los distintos centros de trabajo se cumplan las disposiciones de salud ocupacional que dicte el Consejo Nacional de Salud Ocupacional.</w:t>
      </w:r>
    </w:p>
    <w:p w14:paraId="3CA7F342" w14:textId="77777777" w:rsidR="002250E5" w:rsidRPr="00205C60" w:rsidRDefault="0088713F" w:rsidP="00046EA9">
      <w:pPr>
        <w:numPr>
          <w:ilvl w:val="0"/>
          <w:numId w:val="9"/>
        </w:numPr>
        <w:jc w:val="both"/>
        <w:rPr>
          <w:rFonts w:ascii="Verdana" w:hAnsi="Verdana" w:cs="Arial"/>
          <w:sz w:val="22"/>
          <w:szCs w:val="22"/>
        </w:rPr>
      </w:pPr>
      <w:r w:rsidRPr="00205C60">
        <w:rPr>
          <w:rFonts w:ascii="Verdana" w:hAnsi="Verdana" w:cs="Arial"/>
          <w:sz w:val="22"/>
          <w:szCs w:val="22"/>
        </w:rPr>
        <w:t>Suministro y equipamiento de uniformes e implementos de seguridad.</w:t>
      </w:r>
    </w:p>
    <w:p w14:paraId="3CA7F343" w14:textId="77777777" w:rsidR="0088713F" w:rsidRPr="00205C60" w:rsidRDefault="009D3AB5" w:rsidP="00046EA9">
      <w:pPr>
        <w:numPr>
          <w:ilvl w:val="0"/>
          <w:numId w:val="9"/>
        </w:numPr>
        <w:jc w:val="both"/>
        <w:rPr>
          <w:rFonts w:ascii="Verdana" w:hAnsi="Verdana" w:cs="Arial"/>
          <w:sz w:val="22"/>
          <w:szCs w:val="22"/>
        </w:rPr>
      </w:pPr>
      <w:r w:rsidRPr="00205C60">
        <w:rPr>
          <w:rFonts w:ascii="Verdana" w:hAnsi="Verdana" w:cs="Arial"/>
          <w:sz w:val="22"/>
          <w:szCs w:val="22"/>
        </w:rPr>
        <w:t xml:space="preserve">Disposiciones en cuanto a accidentes </w:t>
      </w:r>
      <w:r w:rsidR="00701DA4" w:rsidRPr="00205C60">
        <w:rPr>
          <w:rFonts w:ascii="Verdana" w:hAnsi="Verdana" w:cs="Arial"/>
          <w:sz w:val="22"/>
          <w:szCs w:val="22"/>
        </w:rPr>
        <w:t xml:space="preserve">y multas </w:t>
      </w:r>
      <w:r w:rsidRPr="00205C60">
        <w:rPr>
          <w:rFonts w:ascii="Verdana" w:hAnsi="Verdana" w:cs="Arial"/>
          <w:sz w:val="22"/>
          <w:szCs w:val="22"/>
        </w:rPr>
        <w:t>de tránsito, pólizas de vehículos, licencias de manejo de vehículos y lineamientos en cuanto a las cuadrillas de construcción y mantenimiento.</w:t>
      </w:r>
    </w:p>
    <w:p w14:paraId="3CA7F344" w14:textId="77777777" w:rsidR="00165E83" w:rsidRPr="00205C60" w:rsidRDefault="00165E83" w:rsidP="00046EA9">
      <w:pPr>
        <w:numPr>
          <w:ilvl w:val="0"/>
          <w:numId w:val="9"/>
        </w:numPr>
        <w:jc w:val="both"/>
        <w:rPr>
          <w:rFonts w:ascii="Verdana" w:hAnsi="Verdana" w:cs="Arial"/>
          <w:sz w:val="22"/>
          <w:szCs w:val="22"/>
        </w:rPr>
      </w:pPr>
      <w:r w:rsidRPr="00205C60">
        <w:rPr>
          <w:rFonts w:ascii="Verdana" w:hAnsi="Verdana" w:cs="Arial"/>
          <w:sz w:val="22"/>
          <w:szCs w:val="22"/>
        </w:rPr>
        <w:t>Medidas en cuanto a la disciplina y en cuanto a la administración del personal para una adecuada organización.</w:t>
      </w:r>
    </w:p>
    <w:p w14:paraId="3CA7F345" w14:textId="77777777" w:rsidR="00701DA4" w:rsidRPr="00205C60" w:rsidRDefault="00701DA4" w:rsidP="00046EA9">
      <w:pPr>
        <w:numPr>
          <w:ilvl w:val="0"/>
          <w:numId w:val="9"/>
        </w:numPr>
        <w:jc w:val="both"/>
        <w:rPr>
          <w:rFonts w:ascii="Verdana" w:hAnsi="Verdana" w:cs="Arial"/>
          <w:sz w:val="22"/>
          <w:szCs w:val="22"/>
        </w:rPr>
      </w:pPr>
      <w:r w:rsidRPr="00205C60">
        <w:rPr>
          <w:rFonts w:ascii="Verdana" w:hAnsi="Verdana" w:cs="Arial"/>
          <w:sz w:val="22"/>
          <w:szCs w:val="22"/>
        </w:rPr>
        <w:t>Procedimiento en relación con el régimen de despido.</w:t>
      </w:r>
    </w:p>
    <w:p w14:paraId="3CA7F346" w14:textId="77777777" w:rsidR="00701DA4" w:rsidRPr="00205C60" w:rsidRDefault="00287E8F" w:rsidP="00046EA9">
      <w:pPr>
        <w:numPr>
          <w:ilvl w:val="0"/>
          <w:numId w:val="9"/>
        </w:numPr>
        <w:jc w:val="both"/>
        <w:rPr>
          <w:rFonts w:ascii="Verdana" w:hAnsi="Verdana" w:cs="Arial"/>
          <w:sz w:val="22"/>
          <w:szCs w:val="22"/>
        </w:rPr>
      </w:pPr>
      <w:r w:rsidRPr="00205C60">
        <w:rPr>
          <w:rFonts w:ascii="Verdana" w:hAnsi="Verdana" w:cs="Arial"/>
          <w:sz w:val="22"/>
          <w:szCs w:val="22"/>
        </w:rPr>
        <w:t>Obligaciones en cuanto al pago de transporte y viáticos a los trabajadores que tengan que realizar labores fuera de los centros de trabajo.</w:t>
      </w:r>
    </w:p>
    <w:p w14:paraId="3CA7F347" w14:textId="77777777" w:rsidR="00C70D51" w:rsidRPr="00205C60" w:rsidRDefault="00C70D51" w:rsidP="00046EA9">
      <w:pPr>
        <w:numPr>
          <w:ilvl w:val="0"/>
          <w:numId w:val="9"/>
        </w:numPr>
        <w:jc w:val="both"/>
        <w:rPr>
          <w:rFonts w:ascii="Verdana" w:hAnsi="Verdana" w:cs="Arial"/>
          <w:sz w:val="22"/>
          <w:szCs w:val="22"/>
        </w:rPr>
      </w:pPr>
      <w:r w:rsidRPr="00205C60">
        <w:rPr>
          <w:rFonts w:ascii="Verdana" w:hAnsi="Verdana" w:cs="Arial"/>
          <w:sz w:val="22"/>
          <w:szCs w:val="22"/>
        </w:rPr>
        <w:t>Remuneración de labores ordinarias y extraordinarias.</w:t>
      </w:r>
    </w:p>
    <w:p w14:paraId="3CA7F348" w14:textId="77777777" w:rsidR="00C70D51" w:rsidRPr="00205C60" w:rsidRDefault="00C70D51" w:rsidP="00046EA9">
      <w:pPr>
        <w:numPr>
          <w:ilvl w:val="0"/>
          <w:numId w:val="9"/>
        </w:numPr>
        <w:jc w:val="both"/>
        <w:rPr>
          <w:rFonts w:ascii="Verdana" w:hAnsi="Verdana" w:cs="Arial"/>
          <w:sz w:val="22"/>
          <w:szCs w:val="22"/>
        </w:rPr>
      </w:pPr>
      <w:r w:rsidRPr="00205C60">
        <w:rPr>
          <w:rFonts w:ascii="Verdana" w:hAnsi="Verdana" w:cs="Arial"/>
          <w:sz w:val="22"/>
          <w:szCs w:val="22"/>
        </w:rPr>
        <w:t>Aportes al Fondo de Ahorro y Préstamo.</w:t>
      </w:r>
    </w:p>
    <w:p w14:paraId="3CA7F349" w14:textId="77777777" w:rsidR="0052572D" w:rsidRPr="00205C60" w:rsidRDefault="00C70D51" w:rsidP="00046EA9">
      <w:pPr>
        <w:numPr>
          <w:ilvl w:val="0"/>
          <w:numId w:val="9"/>
        </w:numPr>
        <w:jc w:val="both"/>
        <w:rPr>
          <w:rFonts w:ascii="Verdana" w:hAnsi="Verdana" w:cs="Arial"/>
          <w:sz w:val="22"/>
          <w:szCs w:val="22"/>
        </w:rPr>
      </w:pPr>
      <w:r w:rsidRPr="00205C60">
        <w:rPr>
          <w:rFonts w:ascii="Verdana" w:hAnsi="Verdana" w:cs="Arial"/>
          <w:sz w:val="22"/>
          <w:szCs w:val="22"/>
        </w:rPr>
        <w:t>Vacaciones</w:t>
      </w:r>
      <w:r w:rsidR="0052572D" w:rsidRPr="00205C60">
        <w:rPr>
          <w:rFonts w:ascii="Verdana" w:hAnsi="Verdana" w:cs="Arial"/>
          <w:sz w:val="22"/>
          <w:szCs w:val="22"/>
        </w:rPr>
        <w:t xml:space="preserve"> e</w:t>
      </w:r>
      <w:r w:rsidRPr="00205C60">
        <w:rPr>
          <w:rFonts w:ascii="Verdana" w:hAnsi="Verdana" w:cs="Arial"/>
          <w:sz w:val="22"/>
          <w:szCs w:val="22"/>
        </w:rPr>
        <w:t xml:space="preserve"> incapacidades</w:t>
      </w:r>
      <w:r w:rsidR="0052572D" w:rsidRPr="00205C60">
        <w:rPr>
          <w:rFonts w:ascii="Verdana" w:hAnsi="Verdana" w:cs="Arial"/>
          <w:sz w:val="22"/>
          <w:szCs w:val="22"/>
        </w:rPr>
        <w:t>.</w:t>
      </w:r>
    </w:p>
    <w:p w14:paraId="3CA7F34A" w14:textId="77777777" w:rsidR="00D1498E" w:rsidRPr="00205C60" w:rsidRDefault="00D1498E" w:rsidP="00046EA9">
      <w:pPr>
        <w:numPr>
          <w:ilvl w:val="0"/>
          <w:numId w:val="9"/>
        </w:numPr>
        <w:jc w:val="both"/>
        <w:rPr>
          <w:rFonts w:ascii="Verdana" w:hAnsi="Verdana" w:cs="Arial"/>
          <w:sz w:val="22"/>
          <w:szCs w:val="22"/>
        </w:rPr>
      </w:pPr>
      <w:r w:rsidRPr="00205C60">
        <w:rPr>
          <w:rFonts w:ascii="Verdana" w:hAnsi="Verdana" w:cs="Arial"/>
          <w:sz w:val="22"/>
          <w:szCs w:val="22"/>
        </w:rPr>
        <w:t>Derecho de ascensos.</w:t>
      </w:r>
    </w:p>
    <w:p w14:paraId="3CA7F34B" w14:textId="77777777" w:rsidR="0063621F" w:rsidRPr="00205C60" w:rsidRDefault="0063621F">
      <w:pPr>
        <w:pStyle w:val="Ttulo1"/>
        <w:numPr>
          <w:ilvl w:val="0"/>
          <w:numId w:val="0"/>
        </w:numPr>
        <w:jc w:val="center"/>
        <w:rPr>
          <w:rFonts w:ascii="Verdana" w:hAnsi="Verdana" w:cs="Arial"/>
          <w:bCs/>
          <w:sz w:val="22"/>
          <w:szCs w:val="22"/>
        </w:rPr>
      </w:pPr>
      <w:bookmarkStart w:id="177" w:name="_Toc64695502"/>
      <w:bookmarkStart w:id="178" w:name="_Toc64699241"/>
    </w:p>
    <w:p w14:paraId="3CA7F34C" w14:textId="77777777" w:rsidR="00DD734A" w:rsidRPr="00205C60" w:rsidRDefault="00DD734A" w:rsidP="00DD734A">
      <w:pPr>
        <w:rPr>
          <w:rFonts w:ascii="Verdana" w:hAnsi="Verdana"/>
          <w:sz w:val="22"/>
          <w:szCs w:val="22"/>
        </w:rPr>
      </w:pPr>
    </w:p>
    <w:p w14:paraId="3CA7F34D" w14:textId="77777777" w:rsidR="00172F93" w:rsidRPr="00205C60" w:rsidRDefault="00172F93" w:rsidP="00DD734A">
      <w:pPr>
        <w:rPr>
          <w:rFonts w:ascii="Verdana" w:hAnsi="Verdana"/>
          <w:sz w:val="22"/>
          <w:szCs w:val="22"/>
        </w:rPr>
      </w:pPr>
    </w:p>
    <w:p w14:paraId="3CA7F34E" w14:textId="31D863C7" w:rsidR="00203C2E" w:rsidRPr="00205C60" w:rsidRDefault="00203C2E">
      <w:pPr>
        <w:rPr>
          <w:rFonts w:ascii="Verdana" w:hAnsi="Verdana"/>
          <w:sz w:val="22"/>
          <w:szCs w:val="22"/>
        </w:rPr>
      </w:pPr>
      <w:r w:rsidRPr="00205C60">
        <w:rPr>
          <w:rFonts w:ascii="Verdana" w:hAnsi="Verdana"/>
          <w:sz w:val="22"/>
          <w:szCs w:val="22"/>
        </w:rPr>
        <w:br w:type="page"/>
      </w:r>
    </w:p>
    <w:p w14:paraId="488B0ED3" w14:textId="19C49430" w:rsidR="00E22E20" w:rsidRPr="00205C60" w:rsidRDefault="00E22E20" w:rsidP="00DD734A">
      <w:pPr>
        <w:rPr>
          <w:rFonts w:ascii="Verdana" w:hAnsi="Verdana"/>
          <w:sz w:val="22"/>
          <w:szCs w:val="22"/>
        </w:rPr>
      </w:pPr>
    </w:p>
    <w:p w14:paraId="2575BF9E" w14:textId="3144E37F" w:rsidR="00E22E20" w:rsidRPr="00205C60" w:rsidRDefault="00E22E20" w:rsidP="00DD734A">
      <w:pPr>
        <w:rPr>
          <w:rFonts w:ascii="Verdana" w:hAnsi="Verdana"/>
          <w:sz w:val="22"/>
          <w:szCs w:val="22"/>
        </w:rPr>
      </w:pPr>
    </w:p>
    <w:p w14:paraId="3AD84379" w14:textId="15A1459D" w:rsidR="00E22E20" w:rsidRPr="00205C60" w:rsidRDefault="00E22E20" w:rsidP="00DD734A">
      <w:pPr>
        <w:rPr>
          <w:rFonts w:ascii="Verdana" w:hAnsi="Verdana"/>
          <w:sz w:val="22"/>
          <w:szCs w:val="22"/>
        </w:rPr>
      </w:pPr>
    </w:p>
    <w:p w14:paraId="3CA7F356" w14:textId="77777777" w:rsidR="00B44125" w:rsidRPr="00205C60" w:rsidRDefault="00B44125">
      <w:pPr>
        <w:pStyle w:val="Ttulo1"/>
        <w:numPr>
          <w:ilvl w:val="0"/>
          <w:numId w:val="0"/>
        </w:numPr>
        <w:jc w:val="center"/>
        <w:rPr>
          <w:rFonts w:ascii="Verdana" w:hAnsi="Verdana" w:cs="Arial"/>
          <w:bCs/>
          <w:sz w:val="22"/>
          <w:szCs w:val="22"/>
        </w:rPr>
      </w:pPr>
      <w:bookmarkStart w:id="179" w:name="_Toc104529496"/>
      <w:r w:rsidRPr="00205C60">
        <w:rPr>
          <w:rFonts w:ascii="Verdana" w:hAnsi="Verdana" w:cs="Arial"/>
          <w:bCs/>
          <w:sz w:val="22"/>
          <w:szCs w:val="22"/>
        </w:rPr>
        <w:t>CAPITULO VI</w:t>
      </w:r>
      <w:bookmarkStart w:id="180" w:name="_Toc64695503"/>
      <w:bookmarkEnd w:id="177"/>
      <w:bookmarkEnd w:id="179"/>
    </w:p>
    <w:p w14:paraId="3CA7F357" w14:textId="77777777" w:rsidR="00B44125" w:rsidRPr="00205C60" w:rsidRDefault="00B44125">
      <w:pPr>
        <w:pStyle w:val="Ttulo1"/>
        <w:numPr>
          <w:ilvl w:val="0"/>
          <w:numId w:val="0"/>
        </w:numPr>
        <w:jc w:val="center"/>
        <w:rPr>
          <w:rFonts w:ascii="Verdana" w:hAnsi="Verdana" w:cs="Arial"/>
          <w:bCs/>
          <w:sz w:val="22"/>
          <w:szCs w:val="22"/>
        </w:rPr>
      </w:pPr>
      <w:bookmarkStart w:id="181" w:name="_Toc104529497"/>
      <w:r w:rsidRPr="00205C60">
        <w:rPr>
          <w:rFonts w:ascii="Verdana" w:hAnsi="Verdana" w:cs="Arial"/>
          <w:bCs/>
          <w:sz w:val="22"/>
          <w:szCs w:val="22"/>
        </w:rPr>
        <w:t>PARTICIPACIONES SIGNIFICATIVAS Y TRANSACCIONES CON PARTES RELACIONADAS</w:t>
      </w:r>
      <w:bookmarkEnd w:id="178"/>
      <w:bookmarkEnd w:id="180"/>
      <w:bookmarkEnd w:id="181"/>
    </w:p>
    <w:p w14:paraId="3CA7F358" w14:textId="77777777" w:rsidR="006B3FFC" w:rsidRPr="00205C60" w:rsidRDefault="006B3FFC">
      <w:pPr>
        <w:jc w:val="both"/>
        <w:rPr>
          <w:rFonts w:ascii="Verdana" w:hAnsi="Verdana" w:cs="Arial"/>
          <w:sz w:val="22"/>
          <w:szCs w:val="22"/>
        </w:rPr>
      </w:pPr>
    </w:p>
    <w:p w14:paraId="3CA7F359" w14:textId="77777777" w:rsidR="00833DCB" w:rsidRPr="00205C60" w:rsidRDefault="00833DCB">
      <w:pPr>
        <w:jc w:val="both"/>
        <w:rPr>
          <w:rFonts w:ascii="Verdana" w:hAnsi="Verdana" w:cs="Arial"/>
          <w:sz w:val="22"/>
          <w:szCs w:val="22"/>
        </w:rPr>
      </w:pPr>
    </w:p>
    <w:p w14:paraId="3CA7F35A" w14:textId="77777777" w:rsidR="00B44125" w:rsidRPr="00205C60" w:rsidRDefault="00B44125" w:rsidP="00307E2B">
      <w:pPr>
        <w:pStyle w:val="Ttulo2"/>
        <w:numPr>
          <w:ilvl w:val="1"/>
          <w:numId w:val="3"/>
        </w:numPr>
        <w:tabs>
          <w:tab w:val="clear" w:pos="720"/>
          <w:tab w:val="left" w:pos="708"/>
        </w:tabs>
        <w:rPr>
          <w:rFonts w:ascii="Verdana" w:hAnsi="Verdana" w:cs="Arial"/>
          <w:sz w:val="22"/>
          <w:szCs w:val="22"/>
        </w:rPr>
      </w:pPr>
      <w:bookmarkStart w:id="182" w:name="_Toc64699242"/>
      <w:bookmarkStart w:id="183" w:name="_Toc104529498"/>
      <w:r w:rsidRPr="00205C60">
        <w:rPr>
          <w:rFonts w:ascii="Verdana" w:hAnsi="Verdana" w:cs="Arial"/>
          <w:sz w:val="22"/>
          <w:szCs w:val="22"/>
        </w:rPr>
        <w:t>Participaciones significativas</w:t>
      </w:r>
      <w:bookmarkEnd w:id="182"/>
      <w:bookmarkEnd w:id="183"/>
    </w:p>
    <w:p w14:paraId="3CA7F35B" w14:textId="77777777" w:rsidR="0003506E" w:rsidRPr="00205C60" w:rsidRDefault="0003506E" w:rsidP="0003506E">
      <w:pPr>
        <w:rPr>
          <w:rFonts w:ascii="Verdana" w:hAnsi="Verdana"/>
          <w:sz w:val="22"/>
          <w:szCs w:val="22"/>
        </w:rPr>
      </w:pPr>
    </w:p>
    <w:p w14:paraId="3CA7F35C" w14:textId="77777777" w:rsidR="000026B3" w:rsidRPr="00205C60" w:rsidRDefault="0003506E">
      <w:pPr>
        <w:jc w:val="both"/>
        <w:rPr>
          <w:rFonts w:ascii="Verdana" w:hAnsi="Verdana" w:cs="Arial"/>
          <w:sz w:val="22"/>
          <w:szCs w:val="22"/>
        </w:rPr>
      </w:pPr>
      <w:bookmarkStart w:id="184" w:name="_Toc64699243"/>
      <w:r w:rsidRPr="00205C60">
        <w:rPr>
          <w:rFonts w:ascii="Verdana" w:hAnsi="Verdana" w:cs="Arial"/>
          <w:sz w:val="22"/>
          <w:szCs w:val="22"/>
        </w:rPr>
        <w:t>E</w:t>
      </w:r>
      <w:r w:rsidR="00B44125" w:rsidRPr="00205C60">
        <w:rPr>
          <w:rFonts w:ascii="Verdana" w:hAnsi="Verdana" w:cs="Arial"/>
          <w:sz w:val="22"/>
          <w:szCs w:val="22"/>
        </w:rPr>
        <w:t xml:space="preserve">n 1968, el Instituto Costarricense de Electricidad adquirió el 98,6% de las acciones de la Compañía y las restantes quedaron en manos de particulares La Compañía es una sociedad anónima y forma parte de las empresas del Grupo I.C.E., </w:t>
      </w:r>
      <w:r w:rsidR="006B1463" w:rsidRPr="00205C60">
        <w:rPr>
          <w:rFonts w:ascii="Verdana" w:hAnsi="Verdana" w:cs="Arial"/>
          <w:sz w:val="22"/>
          <w:szCs w:val="22"/>
        </w:rPr>
        <w:t xml:space="preserve">(nombre que como ya se mencionó en la información sobre la empresa, no corresponde al de una entidad legalmente constituida) </w:t>
      </w:r>
      <w:r w:rsidR="00B44125" w:rsidRPr="00205C60">
        <w:rPr>
          <w:rFonts w:ascii="Verdana" w:hAnsi="Verdana" w:cs="Arial"/>
          <w:sz w:val="22"/>
          <w:szCs w:val="22"/>
        </w:rPr>
        <w:t>por lo que cuenta con una Asamblea de Accionistas y está dirigida por un Consejo de Administración</w:t>
      </w:r>
      <w:r w:rsidR="000026B3" w:rsidRPr="00205C60">
        <w:rPr>
          <w:rFonts w:ascii="Verdana" w:hAnsi="Verdana" w:cs="Arial"/>
          <w:sz w:val="22"/>
          <w:szCs w:val="22"/>
        </w:rPr>
        <w:t>.</w:t>
      </w:r>
    </w:p>
    <w:p w14:paraId="3CA7F35D" w14:textId="77777777" w:rsidR="00FA29EC" w:rsidRPr="00205C60" w:rsidRDefault="000026B3">
      <w:pPr>
        <w:jc w:val="both"/>
        <w:rPr>
          <w:rFonts w:ascii="Verdana" w:hAnsi="Verdana" w:cs="Arial"/>
          <w:sz w:val="22"/>
          <w:szCs w:val="22"/>
        </w:rPr>
      </w:pPr>
      <w:r w:rsidRPr="00205C60">
        <w:rPr>
          <w:rFonts w:ascii="Verdana" w:hAnsi="Verdana" w:cs="Arial"/>
          <w:sz w:val="22"/>
          <w:szCs w:val="22"/>
        </w:rPr>
        <w:t xml:space="preserve"> </w:t>
      </w:r>
    </w:p>
    <w:p w14:paraId="3CA7F35E" w14:textId="77777777" w:rsidR="00DD734A" w:rsidRPr="00205C60" w:rsidRDefault="00DD734A">
      <w:pPr>
        <w:jc w:val="both"/>
        <w:rPr>
          <w:rFonts w:ascii="Verdana" w:hAnsi="Verdana" w:cs="Arial"/>
          <w:sz w:val="22"/>
          <w:szCs w:val="22"/>
        </w:rPr>
      </w:pPr>
    </w:p>
    <w:p w14:paraId="3CA7F35F" w14:textId="77777777" w:rsidR="00B44125" w:rsidRPr="00205C60" w:rsidRDefault="00B44125" w:rsidP="00307E2B">
      <w:pPr>
        <w:pStyle w:val="Ttulo2"/>
        <w:numPr>
          <w:ilvl w:val="1"/>
          <w:numId w:val="3"/>
        </w:numPr>
        <w:tabs>
          <w:tab w:val="clear" w:pos="720"/>
          <w:tab w:val="left" w:pos="708"/>
        </w:tabs>
        <w:rPr>
          <w:rFonts w:ascii="Verdana" w:hAnsi="Verdana" w:cs="Arial"/>
          <w:sz w:val="22"/>
          <w:szCs w:val="22"/>
        </w:rPr>
      </w:pPr>
      <w:bookmarkStart w:id="185" w:name="_Toc104529499"/>
      <w:r w:rsidRPr="00205C60">
        <w:rPr>
          <w:rFonts w:ascii="Verdana" w:hAnsi="Verdana" w:cs="Arial"/>
          <w:sz w:val="22"/>
          <w:szCs w:val="22"/>
        </w:rPr>
        <w:t>Transacciones con partes relacionadas</w:t>
      </w:r>
      <w:bookmarkEnd w:id="184"/>
      <w:bookmarkEnd w:id="185"/>
    </w:p>
    <w:p w14:paraId="3CA7F360" w14:textId="77777777" w:rsidR="0003506E" w:rsidRPr="00205C60" w:rsidRDefault="0003506E" w:rsidP="0003506E">
      <w:pPr>
        <w:rPr>
          <w:rFonts w:ascii="Verdana" w:hAnsi="Verdana"/>
          <w:sz w:val="22"/>
          <w:szCs w:val="22"/>
        </w:rPr>
      </w:pPr>
    </w:p>
    <w:p w14:paraId="3CA7F361" w14:textId="77777777" w:rsidR="00491538" w:rsidRPr="00205C60" w:rsidRDefault="00491538" w:rsidP="00491538">
      <w:pPr>
        <w:jc w:val="both"/>
        <w:rPr>
          <w:rFonts w:ascii="Verdana" w:hAnsi="Verdana" w:cs="Arial"/>
          <w:color w:val="000000"/>
          <w:sz w:val="22"/>
          <w:szCs w:val="22"/>
        </w:rPr>
      </w:pPr>
      <w:r w:rsidRPr="00205C60">
        <w:rPr>
          <w:rFonts w:ascii="Verdana" w:hAnsi="Verdana" w:cs="Arial"/>
          <w:color w:val="000000"/>
          <w:sz w:val="22"/>
          <w:szCs w:val="22"/>
        </w:rPr>
        <w:t>La Compañía Nacional de Fuerza y Luz, S.A. debe comprar anualmente la mayor parte de la energía que vende al Instituto Costarricense de Electricidad.</w:t>
      </w:r>
    </w:p>
    <w:p w14:paraId="3CA7F362" w14:textId="77777777" w:rsidR="000A7A82" w:rsidRPr="00205C60" w:rsidRDefault="000A7A82" w:rsidP="003B0B42">
      <w:pPr>
        <w:jc w:val="both"/>
        <w:rPr>
          <w:rFonts w:ascii="Verdana" w:hAnsi="Verdana" w:cs="Arial"/>
          <w:color w:val="000000"/>
          <w:sz w:val="22"/>
          <w:szCs w:val="22"/>
        </w:rPr>
      </w:pPr>
    </w:p>
    <w:p w14:paraId="3CA7F363" w14:textId="7AA49344" w:rsidR="00FA29EC" w:rsidRPr="00205C60" w:rsidRDefault="00FA29EC" w:rsidP="003B0B42">
      <w:pPr>
        <w:jc w:val="both"/>
        <w:rPr>
          <w:rFonts w:ascii="Verdana" w:hAnsi="Verdana" w:cs="Arial"/>
          <w:color w:val="000000" w:themeColor="text1"/>
          <w:sz w:val="22"/>
          <w:szCs w:val="22"/>
        </w:rPr>
      </w:pPr>
      <w:r w:rsidRPr="00205C60">
        <w:rPr>
          <w:rFonts w:ascii="Verdana" w:hAnsi="Verdana" w:cs="Arial"/>
          <w:sz w:val="22"/>
          <w:szCs w:val="22"/>
        </w:rPr>
        <w:t xml:space="preserve">Las transacciones comerciales más </w:t>
      </w:r>
      <w:r w:rsidRPr="00205C60">
        <w:rPr>
          <w:rFonts w:ascii="Verdana" w:hAnsi="Verdana" w:cs="Arial"/>
          <w:color w:val="000000" w:themeColor="text1"/>
          <w:sz w:val="22"/>
          <w:szCs w:val="22"/>
        </w:rPr>
        <w:t xml:space="preserve">significativas de la Compañía </w:t>
      </w:r>
      <w:r w:rsidR="003B0B42" w:rsidRPr="00205C60">
        <w:rPr>
          <w:rFonts w:ascii="Verdana" w:hAnsi="Verdana" w:cs="Arial"/>
          <w:color w:val="000000" w:themeColor="text1"/>
          <w:sz w:val="22"/>
          <w:szCs w:val="22"/>
        </w:rPr>
        <w:t>se</w:t>
      </w:r>
      <w:r w:rsidRPr="00205C60">
        <w:rPr>
          <w:rFonts w:ascii="Verdana" w:hAnsi="Verdana" w:cs="Arial"/>
          <w:color w:val="000000" w:themeColor="text1"/>
          <w:sz w:val="22"/>
          <w:szCs w:val="22"/>
        </w:rPr>
        <w:t xml:space="preserve"> realiza</w:t>
      </w:r>
      <w:r w:rsidR="003B0B42" w:rsidRPr="00205C60">
        <w:rPr>
          <w:rFonts w:ascii="Verdana" w:hAnsi="Verdana" w:cs="Arial"/>
          <w:color w:val="000000" w:themeColor="text1"/>
          <w:sz w:val="22"/>
          <w:szCs w:val="22"/>
        </w:rPr>
        <w:t>n</w:t>
      </w:r>
      <w:r w:rsidRPr="00205C60">
        <w:rPr>
          <w:rFonts w:ascii="Verdana" w:hAnsi="Verdana" w:cs="Arial"/>
          <w:color w:val="000000" w:themeColor="text1"/>
          <w:sz w:val="22"/>
          <w:szCs w:val="22"/>
        </w:rPr>
        <w:t xml:space="preserve"> con el ICE como consecuencia de la compra de energía</w:t>
      </w:r>
      <w:r w:rsidR="003B0B42" w:rsidRPr="00205C60">
        <w:rPr>
          <w:rFonts w:ascii="Verdana" w:hAnsi="Verdana" w:cs="Arial"/>
          <w:color w:val="000000" w:themeColor="text1"/>
          <w:sz w:val="22"/>
          <w:szCs w:val="22"/>
        </w:rPr>
        <w:t xml:space="preserve">, por </w:t>
      </w:r>
      <w:r w:rsidR="00A3647E" w:rsidRPr="00205C60">
        <w:rPr>
          <w:rFonts w:ascii="Verdana" w:hAnsi="Verdana" w:cs="Arial"/>
          <w:color w:val="000000" w:themeColor="text1"/>
          <w:sz w:val="22"/>
          <w:szCs w:val="22"/>
        </w:rPr>
        <w:t>ejemplo,</w:t>
      </w:r>
      <w:r w:rsidR="003B0B42" w:rsidRPr="00205C60">
        <w:rPr>
          <w:rFonts w:ascii="Verdana" w:hAnsi="Verdana" w:cs="Arial"/>
          <w:color w:val="000000" w:themeColor="text1"/>
          <w:sz w:val="22"/>
          <w:szCs w:val="22"/>
        </w:rPr>
        <w:t xml:space="preserve"> e</w:t>
      </w:r>
      <w:r w:rsidR="009913DD" w:rsidRPr="00205C60">
        <w:rPr>
          <w:rFonts w:ascii="Verdana" w:hAnsi="Verdana" w:cs="Arial"/>
          <w:color w:val="000000" w:themeColor="text1"/>
          <w:sz w:val="22"/>
          <w:szCs w:val="22"/>
        </w:rPr>
        <w:t>n el año 20</w:t>
      </w:r>
      <w:r w:rsidR="00B750FB" w:rsidRPr="00205C60">
        <w:rPr>
          <w:rFonts w:ascii="Verdana" w:hAnsi="Verdana" w:cs="Arial"/>
          <w:color w:val="000000" w:themeColor="text1"/>
          <w:sz w:val="22"/>
          <w:szCs w:val="22"/>
        </w:rPr>
        <w:t>2</w:t>
      </w:r>
      <w:r w:rsidR="00D44A2A" w:rsidRPr="00205C60">
        <w:rPr>
          <w:rFonts w:ascii="Verdana" w:hAnsi="Verdana" w:cs="Arial"/>
          <w:color w:val="000000" w:themeColor="text1"/>
          <w:sz w:val="22"/>
          <w:szCs w:val="22"/>
        </w:rPr>
        <w:t>2</w:t>
      </w:r>
      <w:r w:rsidR="009913DD" w:rsidRPr="00205C60">
        <w:rPr>
          <w:rFonts w:ascii="Verdana" w:hAnsi="Verdana" w:cs="Arial"/>
          <w:color w:val="000000" w:themeColor="text1"/>
          <w:sz w:val="22"/>
          <w:szCs w:val="22"/>
        </w:rPr>
        <w:t xml:space="preserve"> </w:t>
      </w:r>
      <w:r w:rsidR="003B0B42" w:rsidRPr="00205C60">
        <w:rPr>
          <w:rFonts w:ascii="Verdana" w:hAnsi="Verdana" w:cs="Arial"/>
          <w:color w:val="000000" w:themeColor="text1"/>
          <w:sz w:val="22"/>
          <w:szCs w:val="22"/>
        </w:rPr>
        <w:t>se efec</w:t>
      </w:r>
      <w:r w:rsidR="0003506E" w:rsidRPr="00205C60">
        <w:rPr>
          <w:rFonts w:ascii="Verdana" w:hAnsi="Verdana" w:cs="Arial"/>
          <w:color w:val="000000" w:themeColor="text1"/>
          <w:sz w:val="22"/>
          <w:szCs w:val="22"/>
        </w:rPr>
        <w:t xml:space="preserve">tuaron compras de energía por </w:t>
      </w:r>
      <w:r w:rsidR="00574687" w:rsidRPr="00205C60">
        <w:rPr>
          <w:rFonts w:ascii="Verdana" w:hAnsi="Verdana" w:cs="Arial"/>
          <w:color w:val="000000" w:themeColor="text1"/>
          <w:sz w:val="22"/>
          <w:szCs w:val="22"/>
        </w:rPr>
        <w:t>₡</w:t>
      </w:r>
      <w:r w:rsidR="00102690" w:rsidRPr="00205C60">
        <w:rPr>
          <w:rFonts w:ascii="Verdana" w:hAnsi="Verdana" w:cs="Arial"/>
          <w:color w:val="000000" w:themeColor="text1"/>
          <w:sz w:val="22"/>
          <w:szCs w:val="22"/>
        </w:rPr>
        <w:t>17</w:t>
      </w:r>
      <w:r w:rsidR="00050D2A" w:rsidRPr="00205C60">
        <w:rPr>
          <w:rFonts w:ascii="Verdana" w:hAnsi="Verdana" w:cs="Arial"/>
          <w:color w:val="000000" w:themeColor="text1"/>
          <w:sz w:val="22"/>
          <w:szCs w:val="22"/>
        </w:rPr>
        <w:t>6</w:t>
      </w:r>
      <w:r w:rsidR="00C9620B" w:rsidRPr="00205C60">
        <w:rPr>
          <w:rFonts w:ascii="Verdana" w:hAnsi="Verdana" w:cs="Arial"/>
          <w:color w:val="000000" w:themeColor="text1"/>
          <w:sz w:val="22"/>
          <w:szCs w:val="22"/>
        </w:rPr>
        <w:t>.</w:t>
      </w:r>
      <w:r w:rsidR="00050D2A" w:rsidRPr="00205C60">
        <w:rPr>
          <w:rFonts w:ascii="Verdana" w:hAnsi="Verdana" w:cs="Arial"/>
          <w:color w:val="000000" w:themeColor="text1"/>
          <w:sz w:val="22"/>
          <w:szCs w:val="22"/>
        </w:rPr>
        <w:t>833</w:t>
      </w:r>
      <w:r w:rsidR="00C9620B" w:rsidRPr="00205C60">
        <w:rPr>
          <w:rFonts w:ascii="Verdana" w:hAnsi="Verdana" w:cs="Arial"/>
          <w:color w:val="000000" w:themeColor="text1"/>
          <w:sz w:val="22"/>
          <w:szCs w:val="22"/>
        </w:rPr>
        <w:t>.</w:t>
      </w:r>
      <w:r w:rsidR="00050D2A" w:rsidRPr="00205C60">
        <w:rPr>
          <w:rFonts w:ascii="Verdana" w:hAnsi="Verdana" w:cs="Arial"/>
          <w:color w:val="000000" w:themeColor="text1"/>
          <w:sz w:val="22"/>
          <w:szCs w:val="22"/>
        </w:rPr>
        <w:t>430</w:t>
      </w:r>
      <w:r w:rsidR="003B0B42" w:rsidRPr="00205C60">
        <w:rPr>
          <w:rFonts w:ascii="Verdana" w:hAnsi="Verdana" w:cs="Arial"/>
          <w:color w:val="000000" w:themeColor="text1"/>
          <w:sz w:val="22"/>
          <w:szCs w:val="22"/>
        </w:rPr>
        <w:t xml:space="preserve"> mil</w:t>
      </w:r>
      <w:r w:rsidR="009424B9" w:rsidRPr="00205C60">
        <w:rPr>
          <w:rFonts w:ascii="Verdana" w:hAnsi="Verdana" w:cs="Arial"/>
          <w:color w:val="000000" w:themeColor="text1"/>
          <w:sz w:val="22"/>
          <w:szCs w:val="22"/>
        </w:rPr>
        <w:t>e</w:t>
      </w:r>
      <w:r w:rsidR="003B0B42" w:rsidRPr="00205C60">
        <w:rPr>
          <w:rFonts w:ascii="Verdana" w:hAnsi="Verdana" w:cs="Arial"/>
          <w:color w:val="000000" w:themeColor="text1"/>
          <w:sz w:val="22"/>
          <w:szCs w:val="22"/>
        </w:rPr>
        <w:t>s.</w:t>
      </w:r>
      <w:r w:rsidRPr="00205C60">
        <w:rPr>
          <w:rFonts w:ascii="Verdana" w:hAnsi="Verdana" w:cs="Arial"/>
          <w:color w:val="000000" w:themeColor="text1"/>
          <w:sz w:val="22"/>
          <w:szCs w:val="22"/>
        </w:rPr>
        <w:t xml:space="preserve"> </w:t>
      </w:r>
    </w:p>
    <w:tbl>
      <w:tblPr>
        <w:tblpPr w:leftFromText="141" w:rightFromText="141" w:vertAnchor="text" w:horzAnchor="margin" w:tblpY="127"/>
        <w:tblW w:w="9400" w:type="dxa"/>
        <w:tblLook w:val="04A0" w:firstRow="1" w:lastRow="0" w:firstColumn="1" w:lastColumn="0" w:noHBand="0" w:noVBand="1"/>
      </w:tblPr>
      <w:tblGrid>
        <w:gridCol w:w="4528"/>
        <w:gridCol w:w="205"/>
        <w:gridCol w:w="206"/>
        <w:gridCol w:w="205"/>
        <w:gridCol w:w="1124"/>
        <w:gridCol w:w="206"/>
        <w:gridCol w:w="206"/>
        <w:gridCol w:w="205"/>
        <w:gridCol w:w="207"/>
        <w:gridCol w:w="206"/>
        <w:gridCol w:w="206"/>
        <w:gridCol w:w="400"/>
        <w:gridCol w:w="1179"/>
        <w:gridCol w:w="213"/>
        <w:gridCol w:w="104"/>
      </w:tblGrid>
      <w:tr w:rsidR="00A3647E" w:rsidRPr="00205C60" w14:paraId="626C3A03" w14:textId="77777777" w:rsidTr="00A446B2">
        <w:trPr>
          <w:trHeight w:val="78"/>
        </w:trPr>
        <w:tc>
          <w:tcPr>
            <w:tcW w:w="4528" w:type="dxa"/>
            <w:tcBorders>
              <w:top w:val="nil"/>
              <w:left w:val="nil"/>
              <w:bottom w:val="nil"/>
              <w:right w:val="nil"/>
            </w:tcBorders>
            <w:shd w:val="clear" w:color="auto" w:fill="auto"/>
            <w:noWrap/>
            <w:vAlign w:val="bottom"/>
            <w:hideMark/>
          </w:tcPr>
          <w:p w14:paraId="2B53BFE8" w14:textId="77777777" w:rsidR="00A3647E" w:rsidRPr="00205C60" w:rsidRDefault="00A3647E" w:rsidP="00A3647E">
            <w:pPr>
              <w:rPr>
                <w:rFonts w:ascii="Verdana" w:hAnsi="Verdana"/>
                <w:sz w:val="22"/>
                <w:szCs w:val="22"/>
                <w:lang w:val="es-CR"/>
              </w:rPr>
            </w:pPr>
          </w:p>
        </w:tc>
        <w:tc>
          <w:tcPr>
            <w:tcW w:w="411" w:type="dxa"/>
            <w:gridSpan w:val="2"/>
            <w:tcBorders>
              <w:top w:val="nil"/>
              <w:left w:val="nil"/>
              <w:bottom w:val="nil"/>
              <w:right w:val="nil"/>
            </w:tcBorders>
            <w:shd w:val="clear" w:color="auto" w:fill="auto"/>
            <w:noWrap/>
            <w:vAlign w:val="bottom"/>
            <w:hideMark/>
          </w:tcPr>
          <w:p w14:paraId="46F5EAA4" w14:textId="77777777" w:rsidR="00A3647E" w:rsidRPr="00205C60" w:rsidRDefault="00A3647E" w:rsidP="00A3647E">
            <w:pPr>
              <w:rPr>
                <w:rFonts w:ascii="Verdana" w:hAnsi="Verdana"/>
                <w:sz w:val="22"/>
                <w:szCs w:val="22"/>
                <w:lang w:val="es-CR"/>
              </w:rPr>
            </w:pPr>
          </w:p>
        </w:tc>
        <w:tc>
          <w:tcPr>
            <w:tcW w:w="4461" w:type="dxa"/>
            <w:gridSpan w:val="12"/>
            <w:tcBorders>
              <w:top w:val="nil"/>
              <w:left w:val="nil"/>
              <w:bottom w:val="nil"/>
              <w:right w:val="nil"/>
            </w:tcBorders>
            <w:shd w:val="clear" w:color="auto" w:fill="auto"/>
            <w:noWrap/>
            <w:vAlign w:val="bottom"/>
            <w:hideMark/>
          </w:tcPr>
          <w:p w14:paraId="63377ABB" w14:textId="77777777" w:rsidR="00A3647E" w:rsidRPr="00205C60" w:rsidRDefault="00A3647E" w:rsidP="00A3647E">
            <w:pPr>
              <w:jc w:val="center"/>
              <w:rPr>
                <w:rFonts w:ascii="Verdana" w:hAnsi="Verdana"/>
                <w:color w:val="000000"/>
                <w:sz w:val="22"/>
                <w:szCs w:val="22"/>
                <w:u w:val="single"/>
                <w:lang w:val="en-US"/>
              </w:rPr>
            </w:pPr>
            <w:r w:rsidRPr="00205C60">
              <w:rPr>
                <w:rFonts w:ascii="Verdana" w:hAnsi="Verdana"/>
                <w:color w:val="000000"/>
                <w:sz w:val="22"/>
                <w:szCs w:val="22"/>
                <w:u w:val="single"/>
                <w:lang w:val="en-US"/>
              </w:rPr>
              <w:t xml:space="preserve">31 de </w:t>
            </w:r>
            <w:proofErr w:type="spellStart"/>
            <w:r w:rsidRPr="00205C60">
              <w:rPr>
                <w:rFonts w:ascii="Verdana" w:hAnsi="Verdana"/>
                <w:color w:val="000000"/>
                <w:sz w:val="22"/>
                <w:szCs w:val="22"/>
                <w:u w:val="single"/>
                <w:lang w:val="en-US"/>
              </w:rPr>
              <w:t>diciembre</w:t>
            </w:r>
            <w:proofErr w:type="spellEnd"/>
            <w:r w:rsidRPr="00205C60">
              <w:rPr>
                <w:rFonts w:ascii="Verdana" w:hAnsi="Verdana"/>
                <w:color w:val="000000"/>
                <w:sz w:val="22"/>
                <w:szCs w:val="22"/>
                <w:u w:val="single"/>
                <w:lang w:val="en-US"/>
              </w:rPr>
              <w:t xml:space="preserve"> del</w:t>
            </w:r>
          </w:p>
        </w:tc>
      </w:tr>
      <w:tr w:rsidR="00A3647E" w:rsidRPr="00205C60" w14:paraId="3AE9BCC5" w14:textId="77777777" w:rsidTr="00A446B2">
        <w:trPr>
          <w:trHeight w:val="78"/>
        </w:trPr>
        <w:tc>
          <w:tcPr>
            <w:tcW w:w="4528" w:type="dxa"/>
            <w:tcBorders>
              <w:top w:val="nil"/>
              <w:left w:val="nil"/>
              <w:bottom w:val="nil"/>
              <w:right w:val="nil"/>
            </w:tcBorders>
            <w:shd w:val="clear" w:color="auto" w:fill="auto"/>
            <w:noWrap/>
            <w:vAlign w:val="bottom"/>
            <w:hideMark/>
          </w:tcPr>
          <w:p w14:paraId="6CFA7C60" w14:textId="77777777" w:rsidR="00A3647E" w:rsidRPr="00205C60" w:rsidRDefault="00A3647E" w:rsidP="00A3647E">
            <w:pPr>
              <w:jc w:val="center"/>
              <w:rPr>
                <w:rFonts w:ascii="Verdana" w:hAnsi="Verdana"/>
                <w:color w:val="000000"/>
                <w:sz w:val="22"/>
                <w:szCs w:val="22"/>
                <w:u w:val="single"/>
                <w:lang w:val="en-US"/>
              </w:rPr>
            </w:pPr>
          </w:p>
        </w:tc>
        <w:tc>
          <w:tcPr>
            <w:tcW w:w="411" w:type="dxa"/>
            <w:gridSpan w:val="2"/>
            <w:tcBorders>
              <w:top w:val="nil"/>
              <w:left w:val="nil"/>
              <w:bottom w:val="nil"/>
              <w:right w:val="nil"/>
            </w:tcBorders>
            <w:shd w:val="clear" w:color="auto" w:fill="auto"/>
            <w:noWrap/>
            <w:vAlign w:val="bottom"/>
            <w:hideMark/>
          </w:tcPr>
          <w:p w14:paraId="60824F4E" w14:textId="77777777" w:rsidR="00A3647E" w:rsidRPr="00205C60" w:rsidRDefault="00A3647E" w:rsidP="00A3647E">
            <w:pPr>
              <w:rPr>
                <w:rFonts w:ascii="Verdana" w:hAnsi="Verdana"/>
                <w:sz w:val="22"/>
                <w:szCs w:val="22"/>
                <w:lang w:val="en-US"/>
              </w:rPr>
            </w:pPr>
          </w:p>
        </w:tc>
        <w:tc>
          <w:tcPr>
            <w:tcW w:w="1741" w:type="dxa"/>
            <w:gridSpan w:val="4"/>
            <w:tcBorders>
              <w:top w:val="nil"/>
              <w:left w:val="nil"/>
              <w:bottom w:val="nil"/>
              <w:right w:val="nil"/>
            </w:tcBorders>
            <w:shd w:val="clear" w:color="auto" w:fill="auto"/>
            <w:noWrap/>
            <w:vAlign w:val="bottom"/>
          </w:tcPr>
          <w:p w14:paraId="02295ADA" w14:textId="5B411F33" w:rsidR="00A3647E" w:rsidRPr="00205C60" w:rsidRDefault="00A3647E" w:rsidP="00A3647E">
            <w:pPr>
              <w:jc w:val="center"/>
              <w:rPr>
                <w:rFonts w:ascii="Verdana" w:hAnsi="Verdana"/>
                <w:color w:val="000000"/>
                <w:sz w:val="22"/>
                <w:szCs w:val="22"/>
                <w:u w:val="single"/>
                <w:lang w:val="en-US"/>
              </w:rPr>
            </w:pPr>
            <w:r w:rsidRPr="00205C60">
              <w:rPr>
                <w:rFonts w:ascii="Verdana" w:hAnsi="Verdana"/>
                <w:color w:val="000000"/>
                <w:sz w:val="22"/>
                <w:szCs w:val="22"/>
                <w:u w:val="single"/>
                <w:lang w:val="en-US"/>
              </w:rPr>
              <w:t>202</w:t>
            </w:r>
            <w:r w:rsidR="00050D2A" w:rsidRPr="00205C60">
              <w:rPr>
                <w:rFonts w:ascii="Verdana" w:hAnsi="Verdana"/>
                <w:color w:val="000000"/>
                <w:sz w:val="22"/>
                <w:szCs w:val="22"/>
                <w:u w:val="single"/>
                <w:lang w:val="en-US"/>
              </w:rPr>
              <w:t>2</w:t>
            </w:r>
          </w:p>
        </w:tc>
        <w:tc>
          <w:tcPr>
            <w:tcW w:w="824" w:type="dxa"/>
            <w:gridSpan w:val="4"/>
            <w:tcBorders>
              <w:top w:val="nil"/>
              <w:left w:val="nil"/>
              <w:bottom w:val="nil"/>
              <w:right w:val="nil"/>
            </w:tcBorders>
            <w:shd w:val="clear" w:color="auto" w:fill="auto"/>
            <w:noWrap/>
            <w:vAlign w:val="bottom"/>
            <w:hideMark/>
          </w:tcPr>
          <w:p w14:paraId="078F05CF" w14:textId="77777777" w:rsidR="00A3647E" w:rsidRPr="00205C60" w:rsidRDefault="00A3647E" w:rsidP="00A3647E">
            <w:pPr>
              <w:jc w:val="center"/>
              <w:rPr>
                <w:rFonts w:ascii="Verdana" w:hAnsi="Verdana"/>
                <w:color w:val="000000"/>
                <w:sz w:val="22"/>
                <w:szCs w:val="22"/>
                <w:u w:val="single"/>
                <w:lang w:val="en-US"/>
              </w:rPr>
            </w:pPr>
          </w:p>
        </w:tc>
        <w:tc>
          <w:tcPr>
            <w:tcW w:w="1896" w:type="dxa"/>
            <w:gridSpan w:val="4"/>
            <w:tcBorders>
              <w:top w:val="nil"/>
              <w:left w:val="nil"/>
              <w:bottom w:val="nil"/>
              <w:right w:val="nil"/>
            </w:tcBorders>
            <w:shd w:val="clear" w:color="auto" w:fill="auto"/>
            <w:noWrap/>
            <w:vAlign w:val="bottom"/>
            <w:hideMark/>
          </w:tcPr>
          <w:p w14:paraId="14DE9AEA" w14:textId="61757CC5" w:rsidR="00A3647E" w:rsidRPr="00205C60" w:rsidRDefault="00A3647E" w:rsidP="00A3647E">
            <w:pPr>
              <w:jc w:val="center"/>
              <w:rPr>
                <w:rFonts w:ascii="Verdana" w:hAnsi="Verdana"/>
                <w:color w:val="000000"/>
                <w:sz w:val="22"/>
                <w:szCs w:val="22"/>
                <w:u w:val="single"/>
                <w:lang w:val="en-US"/>
              </w:rPr>
            </w:pPr>
            <w:r w:rsidRPr="00205C60">
              <w:rPr>
                <w:rFonts w:ascii="Verdana" w:hAnsi="Verdana"/>
                <w:color w:val="000000"/>
                <w:sz w:val="22"/>
                <w:szCs w:val="22"/>
                <w:u w:val="single"/>
                <w:lang w:val="en-US"/>
              </w:rPr>
              <w:t>202</w:t>
            </w:r>
            <w:r w:rsidR="00050D2A" w:rsidRPr="00205C60">
              <w:rPr>
                <w:rFonts w:ascii="Verdana" w:hAnsi="Verdana"/>
                <w:color w:val="000000"/>
                <w:sz w:val="22"/>
                <w:szCs w:val="22"/>
                <w:u w:val="single"/>
                <w:lang w:val="en-US"/>
              </w:rPr>
              <w:t>1</w:t>
            </w:r>
          </w:p>
        </w:tc>
      </w:tr>
      <w:tr w:rsidR="00A3647E" w:rsidRPr="00205C60" w14:paraId="2F20435C" w14:textId="77777777" w:rsidTr="00A446B2">
        <w:trPr>
          <w:trHeight w:val="78"/>
        </w:trPr>
        <w:tc>
          <w:tcPr>
            <w:tcW w:w="4528" w:type="dxa"/>
            <w:tcBorders>
              <w:top w:val="nil"/>
              <w:left w:val="nil"/>
              <w:bottom w:val="nil"/>
              <w:right w:val="nil"/>
            </w:tcBorders>
            <w:shd w:val="clear" w:color="auto" w:fill="auto"/>
            <w:noWrap/>
            <w:vAlign w:val="bottom"/>
          </w:tcPr>
          <w:p w14:paraId="33FB9DE2" w14:textId="77777777" w:rsidR="00A3647E" w:rsidRPr="00205C60" w:rsidRDefault="00A3647E" w:rsidP="00A3647E">
            <w:pPr>
              <w:rPr>
                <w:rFonts w:ascii="Verdana" w:hAnsi="Verdana"/>
                <w:color w:val="000000"/>
                <w:sz w:val="22"/>
                <w:szCs w:val="22"/>
                <w:u w:val="single"/>
                <w:lang w:val="en-US"/>
              </w:rPr>
            </w:pPr>
            <w:proofErr w:type="spellStart"/>
            <w:r w:rsidRPr="00205C60">
              <w:rPr>
                <w:rFonts w:ascii="Verdana" w:hAnsi="Verdana"/>
                <w:color w:val="000000"/>
                <w:sz w:val="22"/>
                <w:szCs w:val="22"/>
                <w:u w:val="single"/>
                <w:lang w:val="en-US"/>
              </w:rPr>
              <w:t>Saldos</w:t>
            </w:r>
            <w:proofErr w:type="spellEnd"/>
            <w:r w:rsidRPr="00205C60">
              <w:rPr>
                <w:rFonts w:ascii="Verdana" w:hAnsi="Verdana"/>
                <w:color w:val="000000"/>
                <w:sz w:val="22"/>
                <w:szCs w:val="22"/>
                <w:u w:val="single"/>
                <w:lang w:val="en-US"/>
              </w:rPr>
              <w:t>:</w:t>
            </w:r>
          </w:p>
        </w:tc>
        <w:tc>
          <w:tcPr>
            <w:tcW w:w="411" w:type="dxa"/>
            <w:gridSpan w:val="2"/>
            <w:tcBorders>
              <w:top w:val="nil"/>
              <w:left w:val="nil"/>
              <w:bottom w:val="nil"/>
              <w:right w:val="nil"/>
            </w:tcBorders>
            <w:shd w:val="clear" w:color="auto" w:fill="auto"/>
            <w:noWrap/>
            <w:vAlign w:val="bottom"/>
          </w:tcPr>
          <w:p w14:paraId="56E4ADD5" w14:textId="77777777" w:rsidR="00A3647E" w:rsidRPr="00205C60" w:rsidRDefault="00A3647E" w:rsidP="00A3647E">
            <w:pPr>
              <w:rPr>
                <w:rFonts w:ascii="Verdana" w:hAnsi="Verdana"/>
                <w:sz w:val="22"/>
                <w:szCs w:val="22"/>
                <w:lang w:val="en-US"/>
              </w:rPr>
            </w:pPr>
          </w:p>
        </w:tc>
        <w:tc>
          <w:tcPr>
            <w:tcW w:w="1741" w:type="dxa"/>
            <w:gridSpan w:val="4"/>
            <w:tcBorders>
              <w:top w:val="nil"/>
              <w:left w:val="nil"/>
              <w:bottom w:val="nil"/>
              <w:right w:val="nil"/>
            </w:tcBorders>
            <w:shd w:val="clear" w:color="auto" w:fill="auto"/>
            <w:noWrap/>
            <w:vAlign w:val="bottom"/>
          </w:tcPr>
          <w:p w14:paraId="1DEDB034" w14:textId="77777777" w:rsidR="00A3647E" w:rsidRPr="00205C60" w:rsidRDefault="00A3647E" w:rsidP="00A3647E">
            <w:pPr>
              <w:jc w:val="center"/>
              <w:rPr>
                <w:rFonts w:ascii="Verdana" w:hAnsi="Verdana"/>
                <w:color w:val="000000"/>
                <w:sz w:val="22"/>
                <w:szCs w:val="22"/>
                <w:u w:val="single"/>
                <w:lang w:val="en-US"/>
              </w:rPr>
            </w:pPr>
          </w:p>
        </w:tc>
        <w:tc>
          <w:tcPr>
            <w:tcW w:w="824" w:type="dxa"/>
            <w:gridSpan w:val="4"/>
            <w:tcBorders>
              <w:top w:val="nil"/>
              <w:left w:val="nil"/>
              <w:bottom w:val="nil"/>
              <w:right w:val="nil"/>
            </w:tcBorders>
            <w:shd w:val="clear" w:color="auto" w:fill="auto"/>
            <w:noWrap/>
            <w:vAlign w:val="bottom"/>
          </w:tcPr>
          <w:p w14:paraId="428D7CFA" w14:textId="77777777" w:rsidR="00A3647E" w:rsidRPr="00205C60" w:rsidRDefault="00A3647E" w:rsidP="00A3647E">
            <w:pPr>
              <w:jc w:val="center"/>
              <w:rPr>
                <w:rFonts w:ascii="Verdana" w:hAnsi="Verdana"/>
                <w:color w:val="000000"/>
                <w:sz w:val="22"/>
                <w:szCs w:val="22"/>
                <w:u w:val="single"/>
                <w:lang w:val="en-US"/>
              </w:rPr>
            </w:pPr>
          </w:p>
        </w:tc>
        <w:tc>
          <w:tcPr>
            <w:tcW w:w="1896" w:type="dxa"/>
            <w:gridSpan w:val="4"/>
            <w:tcBorders>
              <w:top w:val="nil"/>
              <w:left w:val="nil"/>
              <w:bottom w:val="nil"/>
              <w:right w:val="nil"/>
            </w:tcBorders>
            <w:shd w:val="clear" w:color="auto" w:fill="auto"/>
            <w:noWrap/>
            <w:vAlign w:val="bottom"/>
          </w:tcPr>
          <w:p w14:paraId="4900649A" w14:textId="77777777" w:rsidR="00A3647E" w:rsidRPr="00205C60" w:rsidRDefault="00A3647E" w:rsidP="00A3647E">
            <w:pPr>
              <w:jc w:val="center"/>
              <w:rPr>
                <w:rFonts w:ascii="Verdana" w:hAnsi="Verdana"/>
                <w:color w:val="000000"/>
                <w:sz w:val="22"/>
                <w:szCs w:val="22"/>
                <w:u w:val="single"/>
                <w:lang w:val="en-US"/>
              </w:rPr>
            </w:pPr>
          </w:p>
        </w:tc>
      </w:tr>
      <w:tr w:rsidR="00A3647E" w:rsidRPr="00205C60" w14:paraId="6D8D881E" w14:textId="77777777" w:rsidTr="00A446B2">
        <w:trPr>
          <w:trHeight w:val="78"/>
        </w:trPr>
        <w:tc>
          <w:tcPr>
            <w:tcW w:w="4528" w:type="dxa"/>
            <w:tcBorders>
              <w:top w:val="nil"/>
              <w:left w:val="nil"/>
              <w:bottom w:val="nil"/>
              <w:right w:val="nil"/>
            </w:tcBorders>
            <w:shd w:val="clear" w:color="auto" w:fill="auto"/>
            <w:noWrap/>
            <w:vAlign w:val="bottom"/>
            <w:hideMark/>
          </w:tcPr>
          <w:p w14:paraId="03C4EAFB" w14:textId="77777777" w:rsidR="00A3647E" w:rsidRPr="00205C60" w:rsidRDefault="00A3647E" w:rsidP="00A3647E">
            <w:pPr>
              <w:rPr>
                <w:rFonts w:ascii="Verdana" w:hAnsi="Verdana"/>
                <w:color w:val="000000"/>
                <w:sz w:val="22"/>
                <w:szCs w:val="22"/>
                <w:u w:val="single"/>
                <w:lang w:val="en-US"/>
              </w:rPr>
            </w:pPr>
            <w:r w:rsidRPr="00205C60">
              <w:rPr>
                <w:rFonts w:ascii="Verdana" w:hAnsi="Verdana"/>
                <w:color w:val="000000"/>
                <w:sz w:val="22"/>
                <w:szCs w:val="22"/>
                <w:u w:val="single"/>
                <w:lang w:val="en-US"/>
              </w:rPr>
              <w:t xml:space="preserve">Por </w:t>
            </w:r>
            <w:proofErr w:type="spellStart"/>
            <w:r w:rsidRPr="00205C60">
              <w:rPr>
                <w:rFonts w:ascii="Verdana" w:hAnsi="Verdana"/>
                <w:color w:val="000000"/>
                <w:sz w:val="22"/>
                <w:szCs w:val="22"/>
                <w:u w:val="single"/>
                <w:lang w:val="en-US"/>
              </w:rPr>
              <w:t>cobrar</w:t>
            </w:r>
            <w:proofErr w:type="spellEnd"/>
            <w:r w:rsidRPr="00205C60">
              <w:rPr>
                <w:rFonts w:ascii="Verdana" w:hAnsi="Verdana"/>
                <w:color w:val="000000"/>
                <w:sz w:val="22"/>
                <w:szCs w:val="22"/>
                <w:u w:val="single"/>
                <w:lang w:val="en-US"/>
              </w:rPr>
              <w:t xml:space="preserve"> </w:t>
            </w:r>
          </w:p>
        </w:tc>
        <w:tc>
          <w:tcPr>
            <w:tcW w:w="411" w:type="dxa"/>
            <w:gridSpan w:val="2"/>
            <w:tcBorders>
              <w:top w:val="nil"/>
              <w:left w:val="nil"/>
              <w:bottom w:val="nil"/>
              <w:right w:val="nil"/>
            </w:tcBorders>
            <w:shd w:val="clear" w:color="auto" w:fill="auto"/>
            <w:noWrap/>
            <w:vAlign w:val="bottom"/>
            <w:hideMark/>
          </w:tcPr>
          <w:p w14:paraId="34774865" w14:textId="77777777" w:rsidR="00A3647E" w:rsidRPr="00205C60" w:rsidRDefault="00A3647E" w:rsidP="00A3647E">
            <w:pPr>
              <w:rPr>
                <w:rFonts w:ascii="Verdana" w:hAnsi="Verdana"/>
                <w:color w:val="000000"/>
                <w:sz w:val="22"/>
                <w:szCs w:val="22"/>
                <w:u w:val="single"/>
                <w:lang w:val="en-US"/>
              </w:rPr>
            </w:pPr>
          </w:p>
        </w:tc>
        <w:tc>
          <w:tcPr>
            <w:tcW w:w="1741" w:type="dxa"/>
            <w:gridSpan w:val="4"/>
            <w:tcBorders>
              <w:top w:val="nil"/>
              <w:left w:val="nil"/>
              <w:bottom w:val="nil"/>
              <w:right w:val="nil"/>
            </w:tcBorders>
            <w:shd w:val="clear" w:color="auto" w:fill="auto"/>
            <w:noWrap/>
            <w:vAlign w:val="bottom"/>
          </w:tcPr>
          <w:p w14:paraId="5F2120C8" w14:textId="77777777" w:rsidR="00A3647E" w:rsidRPr="00205C60" w:rsidRDefault="00A3647E" w:rsidP="00A3647E">
            <w:pPr>
              <w:rPr>
                <w:rFonts w:ascii="Verdana" w:hAnsi="Verdana"/>
                <w:sz w:val="22"/>
                <w:szCs w:val="22"/>
                <w:lang w:val="en-US"/>
              </w:rPr>
            </w:pPr>
          </w:p>
        </w:tc>
        <w:tc>
          <w:tcPr>
            <w:tcW w:w="824" w:type="dxa"/>
            <w:gridSpan w:val="4"/>
            <w:tcBorders>
              <w:top w:val="nil"/>
              <w:left w:val="nil"/>
              <w:bottom w:val="nil"/>
              <w:right w:val="nil"/>
            </w:tcBorders>
            <w:shd w:val="clear" w:color="auto" w:fill="auto"/>
            <w:noWrap/>
            <w:vAlign w:val="bottom"/>
            <w:hideMark/>
          </w:tcPr>
          <w:p w14:paraId="14F38D8C" w14:textId="77777777" w:rsidR="00A3647E" w:rsidRPr="00205C60" w:rsidRDefault="00A3647E" w:rsidP="00A3647E">
            <w:pPr>
              <w:rPr>
                <w:rFonts w:ascii="Verdana" w:hAnsi="Verdana"/>
                <w:sz w:val="22"/>
                <w:szCs w:val="22"/>
                <w:lang w:val="en-US"/>
              </w:rPr>
            </w:pPr>
          </w:p>
        </w:tc>
        <w:tc>
          <w:tcPr>
            <w:tcW w:w="1896" w:type="dxa"/>
            <w:gridSpan w:val="4"/>
            <w:tcBorders>
              <w:top w:val="nil"/>
              <w:left w:val="nil"/>
              <w:bottom w:val="nil"/>
              <w:right w:val="nil"/>
            </w:tcBorders>
            <w:shd w:val="clear" w:color="auto" w:fill="auto"/>
            <w:noWrap/>
            <w:vAlign w:val="bottom"/>
            <w:hideMark/>
          </w:tcPr>
          <w:p w14:paraId="5E89F51F" w14:textId="77777777" w:rsidR="00A3647E" w:rsidRPr="00205C60" w:rsidRDefault="00A3647E" w:rsidP="00A3647E">
            <w:pPr>
              <w:rPr>
                <w:rFonts w:ascii="Verdana" w:hAnsi="Verdana"/>
                <w:sz w:val="22"/>
                <w:szCs w:val="22"/>
                <w:lang w:val="en-US"/>
              </w:rPr>
            </w:pPr>
          </w:p>
        </w:tc>
      </w:tr>
      <w:tr w:rsidR="00A446B2" w:rsidRPr="00205C60" w14:paraId="1488D2AF" w14:textId="77777777" w:rsidTr="00A446B2">
        <w:trPr>
          <w:trHeight w:val="78"/>
        </w:trPr>
        <w:tc>
          <w:tcPr>
            <w:tcW w:w="4528" w:type="dxa"/>
            <w:tcBorders>
              <w:top w:val="nil"/>
              <w:left w:val="nil"/>
              <w:bottom w:val="nil"/>
              <w:right w:val="nil"/>
            </w:tcBorders>
            <w:shd w:val="clear" w:color="auto" w:fill="auto"/>
            <w:noWrap/>
            <w:vAlign w:val="bottom"/>
          </w:tcPr>
          <w:p w14:paraId="69ABC947" w14:textId="77777777" w:rsidR="00A446B2" w:rsidRPr="00205C60" w:rsidRDefault="00A446B2" w:rsidP="00A446B2">
            <w:pPr>
              <w:rPr>
                <w:rFonts w:ascii="Verdana" w:hAnsi="Verdana"/>
                <w:color w:val="000000"/>
                <w:sz w:val="22"/>
                <w:szCs w:val="22"/>
                <w:lang w:val="es-CR"/>
              </w:rPr>
            </w:pPr>
            <w:r w:rsidRPr="00205C60">
              <w:rPr>
                <w:rFonts w:ascii="Verdana" w:hAnsi="Verdana"/>
                <w:color w:val="000000"/>
                <w:sz w:val="22"/>
                <w:szCs w:val="22"/>
                <w:lang w:val="es-CR"/>
              </w:rPr>
              <w:t>Instituto Costarricense de Electricidad (ICE) (a)</w:t>
            </w:r>
          </w:p>
        </w:tc>
        <w:tc>
          <w:tcPr>
            <w:tcW w:w="411" w:type="dxa"/>
            <w:gridSpan w:val="2"/>
            <w:tcBorders>
              <w:top w:val="nil"/>
              <w:left w:val="nil"/>
              <w:bottom w:val="nil"/>
              <w:right w:val="nil"/>
            </w:tcBorders>
            <w:shd w:val="clear" w:color="auto" w:fill="auto"/>
            <w:noWrap/>
            <w:vAlign w:val="center"/>
            <w:hideMark/>
          </w:tcPr>
          <w:p w14:paraId="7E5595A9" w14:textId="77777777" w:rsidR="00A446B2" w:rsidRPr="00205C60" w:rsidRDefault="00A446B2" w:rsidP="00A446B2">
            <w:pPr>
              <w:rPr>
                <w:rFonts w:ascii="Verdana" w:hAnsi="Verdana"/>
                <w:color w:val="000000"/>
                <w:sz w:val="22"/>
                <w:szCs w:val="22"/>
                <w:lang w:val="en-US"/>
              </w:rPr>
            </w:pPr>
            <w:r w:rsidRPr="00205C60">
              <w:rPr>
                <w:rFonts w:ascii="Verdana" w:hAnsi="Verdana"/>
                <w:color w:val="000000"/>
                <w:sz w:val="22"/>
                <w:szCs w:val="22"/>
                <w:lang w:val="en-US"/>
              </w:rPr>
              <w:t>¢</w:t>
            </w:r>
          </w:p>
        </w:tc>
        <w:tc>
          <w:tcPr>
            <w:tcW w:w="1741" w:type="dxa"/>
            <w:gridSpan w:val="4"/>
            <w:tcBorders>
              <w:top w:val="nil"/>
              <w:left w:val="nil"/>
              <w:bottom w:val="nil"/>
              <w:right w:val="nil"/>
            </w:tcBorders>
            <w:shd w:val="clear" w:color="auto" w:fill="auto"/>
            <w:noWrap/>
            <w:vAlign w:val="center"/>
          </w:tcPr>
          <w:p w14:paraId="345B71AD" w14:textId="01F6FB72" w:rsidR="00A446B2" w:rsidRPr="00205C60" w:rsidRDefault="005931F1" w:rsidP="00A446B2">
            <w:pPr>
              <w:jc w:val="right"/>
              <w:rPr>
                <w:rFonts w:ascii="Verdana" w:hAnsi="Verdana"/>
                <w:sz w:val="22"/>
                <w:szCs w:val="22"/>
              </w:rPr>
            </w:pPr>
            <w:r w:rsidRPr="00205C60">
              <w:rPr>
                <w:rFonts w:ascii="Verdana" w:hAnsi="Verdana"/>
                <w:sz w:val="22"/>
                <w:szCs w:val="22"/>
              </w:rPr>
              <w:t>427.447</w:t>
            </w:r>
          </w:p>
        </w:tc>
        <w:tc>
          <w:tcPr>
            <w:tcW w:w="824" w:type="dxa"/>
            <w:gridSpan w:val="4"/>
            <w:tcBorders>
              <w:top w:val="nil"/>
              <w:left w:val="nil"/>
              <w:bottom w:val="nil"/>
              <w:right w:val="nil"/>
            </w:tcBorders>
            <w:shd w:val="clear" w:color="auto" w:fill="auto"/>
            <w:noWrap/>
            <w:vAlign w:val="bottom"/>
            <w:hideMark/>
          </w:tcPr>
          <w:p w14:paraId="3324C84C" w14:textId="77777777" w:rsidR="00A446B2" w:rsidRPr="00205C60" w:rsidRDefault="00A446B2" w:rsidP="00A446B2">
            <w:pPr>
              <w:jc w:val="right"/>
              <w:rPr>
                <w:rFonts w:ascii="Verdana" w:hAnsi="Verdana"/>
                <w:color w:val="000000"/>
                <w:sz w:val="22"/>
                <w:szCs w:val="22"/>
                <w:lang w:val="en-US"/>
              </w:rPr>
            </w:pPr>
          </w:p>
        </w:tc>
        <w:tc>
          <w:tcPr>
            <w:tcW w:w="1896" w:type="dxa"/>
            <w:gridSpan w:val="4"/>
            <w:tcBorders>
              <w:top w:val="nil"/>
              <w:left w:val="nil"/>
              <w:bottom w:val="nil"/>
              <w:right w:val="nil"/>
            </w:tcBorders>
            <w:shd w:val="clear" w:color="auto" w:fill="auto"/>
            <w:noWrap/>
            <w:vAlign w:val="center"/>
          </w:tcPr>
          <w:p w14:paraId="2524EC45" w14:textId="679CED35" w:rsidR="00A446B2" w:rsidRPr="00205C60" w:rsidRDefault="00A446B2" w:rsidP="00A446B2">
            <w:pPr>
              <w:jc w:val="right"/>
              <w:rPr>
                <w:rFonts w:ascii="Verdana" w:hAnsi="Verdana"/>
                <w:sz w:val="22"/>
                <w:szCs w:val="22"/>
              </w:rPr>
            </w:pPr>
            <w:r w:rsidRPr="00205C60">
              <w:rPr>
                <w:rFonts w:ascii="Verdana" w:hAnsi="Verdana"/>
                <w:sz w:val="22"/>
                <w:szCs w:val="22"/>
              </w:rPr>
              <w:t>439.769</w:t>
            </w:r>
          </w:p>
        </w:tc>
      </w:tr>
      <w:tr w:rsidR="00A446B2" w:rsidRPr="00205C60" w14:paraId="1BD7F4D8" w14:textId="77777777" w:rsidTr="00A446B2">
        <w:trPr>
          <w:trHeight w:val="78"/>
        </w:trPr>
        <w:tc>
          <w:tcPr>
            <w:tcW w:w="4528" w:type="dxa"/>
            <w:tcBorders>
              <w:top w:val="nil"/>
              <w:left w:val="nil"/>
              <w:bottom w:val="nil"/>
              <w:right w:val="nil"/>
            </w:tcBorders>
            <w:shd w:val="clear" w:color="auto" w:fill="auto"/>
            <w:noWrap/>
            <w:vAlign w:val="bottom"/>
          </w:tcPr>
          <w:p w14:paraId="60073F37" w14:textId="77777777" w:rsidR="00A446B2" w:rsidRPr="00205C60" w:rsidRDefault="00A446B2" w:rsidP="00A446B2">
            <w:pPr>
              <w:rPr>
                <w:rFonts w:ascii="Verdana" w:hAnsi="Verdana"/>
                <w:color w:val="000000"/>
                <w:sz w:val="22"/>
                <w:szCs w:val="22"/>
                <w:lang w:val="es-CR"/>
              </w:rPr>
            </w:pPr>
            <w:r w:rsidRPr="00205C60">
              <w:rPr>
                <w:rFonts w:ascii="Verdana" w:hAnsi="Verdana"/>
                <w:color w:val="000000"/>
                <w:sz w:val="22"/>
                <w:szCs w:val="22"/>
                <w:lang w:val="es-CR"/>
              </w:rPr>
              <w:t>Radiográfica Costarricense, S.A.(b)</w:t>
            </w:r>
          </w:p>
        </w:tc>
        <w:tc>
          <w:tcPr>
            <w:tcW w:w="411" w:type="dxa"/>
            <w:gridSpan w:val="2"/>
            <w:tcBorders>
              <w:top w:val="nil"/>
              <w:left w:val="nil"/>
              <w:bottom w:val="nil"/>
              <w:right w:val="nil"/>
            </w:tcBorders>
            <w:shd w:val="clear" w:color="auto" w:fill="auto"/>
            <w:noWrap/>
            <w:vAlign w:val="center"/>
          </w:tcPr>
          <w:p w14:paraId="1111114D" w14:textId="77777777" w:rsidR="00A446B2" w:rsidRPr="00205C60" w:rsidRDefault="00A446B2" w:rsidP="00A446B2">
            <w:pPr>
              <w:rPr>
                <w:rFonts w:ascii="Verdana" w:hAnsi="Verdana"/>
                <w:color w:val="000000"/>
                <w:sz w:val="22"/>
                <w:szCs w:val="22"/>
                <w:lang w:val="es-CR"/>
              </w:rPr>
            </w:pPr>
          </w:p>
        </w:tc>
        <w:tc>
          <w:tcPr>
            <w:tcW w:w="1741" w:type="dxa"/>
            <w:gridSpan w:val="4"/>
            <w:tcBorders>
              <w:top w:val="nil"/>
              <w:left w:val="nil"/>
              <w:right w:val="nil"/>
            </w:tcBorders>
            <w:shd w:val="clear" w:color="auto" w:fill="auto"/>
            <w:noWrap/>
            <w:vAlign w:val="bottom"/>
          </w:tcPr>
          <w:p w14:paraId="56D17529" w14:textId="3994DFF3" w:rsidR="00A446B2" w:rsidRPr="00205C60" w:rsidRDefault="005931F1" w:rsidP="00A446B2">
            <w:pPr>
              <w:jc w:val="right"/>
              <w:rPr>
                <w:rFonts w:ascii="Verdana" w:hAnsi="Verdana"/>
                <w:sz w:val="22"/>
                <w:szCs w:val="22"/>
              </w:rPr>
            </w:pPr>
            <w:r w:rsidRPr="00205C60">
              <w:rPr>
                <w:rFonts w:ascii="Verdana" w:hAnsi="Verdana"/>
                <w:sz w:val="22"/>
                <w:szCs w:val="22"/>
              </w:rPr>
              <w:t>32.708</w:t>
            </w:r>
          </w:p>
        </w:tc>
        <w:tc>
          <w:tcPr>
            <w:tcW w:w="824" w:type="dxa"/>
            <w:gridSpan w:val="4"/>
            <w:tcBorders>
              <w:top w:val="nil"/>
              <w:left w:val="nil"/>
              <w:right w:val="nil"/>
            </w:tcBorders>
            <w:shd w:val="clear" w:color="auto" w:fill="auto"/>
            <w:noWrap/>
            <w:vAlign w:val="bottom"/>
          </w:tcPr>
          <w:p w14:paraId="3C889CF5" w14:textId="77777777" w:rsidR="00A446B2" w:rsidRPr="00205C60" w:rsidRDefault="00A446B2" w:rsidP="00A446B2">
            <w:pPr>
              <w:jc w:val="right"/>
              <w:rPr>
                <w:rFonts w:ascii="Verdana" w:hAnsi="Verdana"/>
                <w:color w:val="000000"/>
                <w:sz w:val="22"/>
                <w:szCs w:val="22"/>
                <w:lang w:val="es-US"/>
              </w:rPr>
            </w:pPr>
          </w:p>
        </w:tc>
        <w:tc>
          <w:tcPr>
            <w:tcW w:w="1896" w:type="dxa"/>
            <w:gridSpan w:val="4"/>
            <w:tcBorders>
              <w:top w:val="nil"/>
              <w:left w:val="nil"/>
              <w:right w:val="nil"/>
            </w:tcBorders>
            <w:shd w:val="clear" w:color="auto" w:fill="auto"/>
            <w:noWrap/>
            <w:vAlign w:val="bottom"/>
          </w:tcPr>
          <w:p w14:paraId="5FFA2E88" w14:textId="10A4563F" w:rsidR="00A446B2" w:rsidRPr="00205C60" w:rsidRDefault="00A446B2" w:rsidP="00A446B2">
            <w:pPr>
              <w:jc w:val="right"/>
              <w:rPr>
                <w:rFonts w:ascii="Verdana" w:hAnsi="Verdana"/>
                <w:sz w:val="22"/>
                <w:szCs w:val="22"/>
              </w:rPr>
            </w:pPr>
            <w:r w:rsidRPr="00205C60">
              <w:rPr>
                <w:rFonts w:ascii="Verdana" w:hAnsi="Verdana"/>
                <w:sz w:val="22"/>
                <w:szCs w:val="22"/>
              </w:rPr>
              <w:t>22.925</w:t>
            </w:r>
          </w:p>
        </w:tc>
      </w:tr>
      <w:tr w:rsidR="00A446B2" w:rsidRPr="00205C60" w14:paraId="758EAEAE" w14:textId="77777777" w:rsidTr="00A446B2">
        <w:trPr>
          <w:trHeight w:val="78"/>
        </w:trPr>
        <w:tc>
          <w:tcPr>
            <w:tcW w:w="4528" w:type="dxa"/>
            <w:tcBorders>
              <w:top w:val="nil"/>
              <w:left w:val="nil"/>
              <w:bottom w:val="nil"/>
              <w:right w:val="nil"/>
            </w:tcBorders>
            <w:shd w:val="clear" w:color="auto" w:fill="auto"/>
            <w:noWrap/>
            <w:vAlign w:val="bottom"/>
          </w:tcPr>
          <w:p w14:paraId="46D8C95A" w14:textId="77777777" w:rsidR="00A446B2" w:rsidRPr="00205C60" w:rsidRDefault="00A446B2" w:rsidP="00A446B2">
            <w:pPr>
              <w:rPr>
                <w:rFonts w:ascii="Verdana" w:hAnsi="Verdana"/>
                <w:color w:val="000000"/>
                <w:sz w:val="22"/>
                <w:szCs w:val="22"/>
                <w:lang w:val="es-CR"/>
              </w:rPr>
            </w:pPr>
            <w:r w:rsidRPr="00205C60">
              <w:rPr>
                <w:rFonts w:ascii="Verdana" w:hAnsi="Verdana"/>
                <w:color w:val="000000"/>
                <w:sz w:val="22"/>
                <w:szCs w:val="22"/>
                <w:lang w:val="es-CR"/>
              </w:rPr>
              <w:t>Gobierno de Costa Rica- venta de energía (b)</w:t>
            </w:r>
          </w:p>
        </w:tc>
        <w:tc>
          <w:tcPr>
            <w:tcW w:w="411" w:type="dxa"/>
            <w:gridSpan w:val="2"/>
            <w:tcBorders>
              <w:top w:val="nil"/>
              <w:left w:val="nil"/>
              <w:bottom w:val="nil"/>
              <w:right w:val="nil"/>
            </w:tcBorders>
            <w:shd w:val="clear" w:color="auto" w:fill="auto"/>
            <w:noWrap/>
            <w:vAlign w:val="bottom"/>
          </w:tcPr>
          <w:p w14:paraId="05B15518" w14:textId="77777777" w:rsidR="00A446B2" w:rsidRPr="00205C60" w:rsidRDefault="00A446B2" w:rsidP="00A446B2">
            <w:pPr>
              <w:rPr>
                <w:rFonts w:ascii="Verdana" w:hAnsi="Verdana"/>
                <w:color w:val="000000"/>
                <w:sz w:val="22"/>
                <w:szCs w:val="22"/>
                <w:lang w:val="es-CR"/>
              </w:rPr>
            </w:pPr>
          </w:p>
        </w:tc>
        <w:tc>
          <w:tcPr>
            <w:tcW w:w="1741" w:type="dxa"/>
            <w:gridSpan w:val="4"/>
            <w:tcBorders>
              <w:left w:val="nil"/>
              <w:bottom w:val="single" w:sz="4" w:space="0" w:color="auto"/>
              <w:right w:val="nil"/>
            </w:tcBorders>
            <w:shd w:val="clear" w:color="auto" w:fill="auto"/>
            <w:noWrap/>
            <w:vAlign w:val="bottom"/>
          </w:tcPr>
          <w:p w14:paraId="7F1A338F" w14:textId="7716A5A1" w:rsidR="00A446B2" w:rsidRPr="00205C60" w:rsidRDefault="005931F1" w:rsidP="00A446B2">
            <w:pPr>
              <w:jc w:val="right"/>
              <w:rPr>
                <w:rFonts w:ascii="Verdana" w:hAnsi="Verdana"/>
                <w:sz w:val="22"/>
                <w:szCs w:val="22"/>
              </w:rPr>
            </w:pPr>
            <w:r w:rsidRPr="00205C60">
              <w:rPr>
                <w:rFonts w:ascii="Verdana" w:hAnsi="Verdana"/>
                <w:sz w:val="22"/>
                <w:szCs w:val="22"/>
              </w:rPr>
              <w:t>634.372</w:t>
            </w:r>
          </w:p>
        </w:tc>
        <w:tc>
          <w:tcPr>
            <w:tcW w:w="824" w:type="dxa"/>
            <w:gridSpan w:val="4"/>
            <w:tcBorders>
              <w:left w:val="nil"/>
              <w:bottom w:val="nil"/>
              <w:right w:val="nil"/>
            </w:tcBorders>
            <w:shd w:val="clear" w:color="auto" w:fill="auto"/>
            <w:noWrap/>
            <w:vAlign w:val="center"/>
          </w:tcPr>
          <w:p w14:paraId="2B38FDD8" w14:textId="77777777" w:rsidR="00A446B2" w:rsidRPr="00205C60" w:rsidRDefault="00A446B2" w:rsidP="00A446B2">
            <w:pPr>
              <w:jc w:val="right"/>
              <w:rPr>
                <w:rFonts w:ascii="Verdana" w:hAnsi="Verdana"/>
                <w:color w:val="000000"/>
                <w:sz w:val="22"/>
                <w:szCs w:val="22"/>
                <w:lang w:val="es-CR"/>
              </w:rPr>
            </w:pPr>
          </w:p>
        </w:tc>
        <w:tc>
          <w:tcPr>
            <w:tcW w:w="1896" w:type="dxa"/>
            <w:gridSpan w:val="4"/>
            <w:tcBorders>
              <w:left w:val="nil"/>
              <w:bottom w:val="single" w:sz="4" w:space="0" w:color="auto"/>
              <w:right w:val="nil"/>
            </w:tcBorders>
            <w:shd w:val="clear" w:color="auto" w:fill="auto"/>
            <w:noWrap/>
            <w:vAlign w:val="bottom"/>
          </w:tcPr>
          <w:p w14:paraId="446F1BEA" w14:textId="4B482CD8" w:rsidR="00A446B2" w:rsidRPr="00205C60" w:rsidRDefault="00A446B2" w:rsidP="00A446B2">
            <w:pPr>
              <w:jc w:val="right"/>
              <w:rPr>
                <w:rFonts w:ascii="Verdana" w:hAnsi="Verdana"/>
                <w:sz w:val="22"/>
                <w:szCs w:val="22"/>
              </w:rPr>
            </w:pPr>
            <w:r w:rsidRPr="00205C60">
              <w:rPr>
                <w:rFonts w:ascii="Verdana" w:hAnsi="Verdana"/>
                <w:sz w:val="22"/>
                <w:szCs w:val="22"/>
              </w:rPr>
              <w:t>576.422</w:t>
            </w:r>
          </w:p>
        </w:tc>
      </w:tr>
      <w:tr w:rsidR="00A446B2" w:rsidRPr="00205C60" w14:paraId="7E59CEFE" w14:textId="77777777" w:rsidTr="00A446B2">
        <w:trPr>
          <w:trHeight w:val="68"/>
        </w:trPr>
        <w:tc>
          <w:tcPr>
            <w:tcW w:w="4528" w:type="dxa"/>
            <w:tcBorders>
              <w:top w:val="nil"/>
              <w:left w:val="nil"/>
              <w:bottom w:val="nil"/>
              <w:right w:val="nil"/>
            </w:tcBorders>
            <w:shd w:val="clear" w:color="auto" w:fill="auto"/>
            <w:noWrap/>
            <w:vAlign w:val="bottom"/>
            <w:hideMark/>
          </w:tcPr>
          <w:p w14:paraId="7DD03EC5" w14:textId="77777777" w:rsidR="00A446B2" w:rsidRPr="00205C60" w:rsidRDefault="00A446B2" w:rsidP="00A446B2">
            <w:pPr>
              <w:rPr>
                <w:rFonts w:ascii="Verdana" w:hAnsi="Verdana"/>
                <w:color w:val="000000"/>
                <w:sz w:val="22"/>
                <w:szCs w:val="22"/>
                <w:lang w:val="es-CR"/>
              </w:rPr>
            </w:pPr>
          </w:p>
        </w:tc>
        <w:tc>
          <w:tcPr>
            <w:tcW w:w="411" w:type="dxa"/>
            <w:gridSpan w:val="2"/>
            <w:tcBorders>
              <w:top w:val="nil"/>
              <w:left w:val="nil"/>
              <w:bottom w:val="nil"/>
              <w:right w:val="nil"/>
            </w:tcBorders>
            <w:shd w:val="clear" w:color="auto" w:fill="auto"/>
            <w:noWrap/>
            <w:vAlign w:val="bottom"/>
          </w:tcPr>
          <w:p w14:paraId="39050B9F" w14:textId="77777777" w:rsidR="00A446B2" w:rsidRPr="00205C60" w:rsidRDefault="00A446B2" w:rsidP="00A446B2">
            <w:pPr>
              <w:rPr>
                <w:rFonts w:ascii="Verdana" w:hAnsi="Verdana"/>
                <w:sz w:val="22"/>
                <w:szCs w:val="22"/>
                <w:lang w:val="en-US"/>
              </w:rPr>
            </w:pPr>
          </w:p>
        </w:tc>
        <w:tc>
          <w:tcPr>
            <w:tcW w:w="1741" w:type="dxa"/>
            <w:gridSpan w:val="4"/>
            <w:tcBorders>
              <w:top w:val="nil"/>
              <w:left w:val="nil"/>
              <w:bottom w:val="double" w:sz="6" w:space="0" w:color="auto"/>
              <w:right w:val="nil"/>
            </w:tcBorders>
            <w:shd w:val="clear" w:color="auto" w:fill="auto"/>
            <w:noWrap/>
            <w:vAlign w:val="bottom"/>
          </w:tcPr>
          <w:p w14:paraId="119B9693" w14:textId="75BEB071" w:rsidR="00A446B2" w:rsidRPr="00205C60" w:rsidRDefault="00A446B2" w:rsidP="00A446B2">
            <w:pPr>
              <w:jc w:val="right"/>
              <w:rPr>
                <w:rFonts w:ascii="Verdana" w:hAnsi="Verdana"/>
                <w:sz w:val="22"/>
                <w:szCs w:val="22"/>
              </w:rPr>
            </w:pPr>
            <w:r w:rsidRPr="00205C60">
              <w:rPr>
                <w:rFonts w:ascii="Verdana" w:hAnsi="Verdana"/>
                <w:sz w:val="22"/>
                <w:szCs w:val="22"/>
              </w:rPr>
              <w:t>1.</w:t>
            </w:r>
            <w:r w:rsidR="005931F1" w:rsidRPr="00205C60">
              <w:rPr>
                <w:rFonts w:ascii="Verdana" w:hAnsi="Verdana"/>
                <w:sz w:val="22"/>
                <w:szCs w:val="22"/>
              </w:rPr>
              <w:t>094</w:t>
            </w:r>
            <w:r w:rsidRPr="00205C60">
              <w:rPr>
                <w:rFonts w:ascii="Verdana" w:hAnsi="Verdana"/>
                <w:sz w:val="22"/>
                <w:szCs w:val="22"/>
              </w:rPr>
              <w:t>.</w:t>
            </w:r>
            <w:r w:rsidR="005931F1" w:rsidRPr="00205C60">
              <w:rPr>
                <w:rFonts w:ascii="Verdana" w:hAnsi="Verdana"/>
                <w:sz w:val="22"/>
                <w:szCs w:val="22"/>
              </w:rPr>
              <w:t>527</w:t>
            </w:r>
          </w:p>
        </w:tc>
        <w:tc>
          <w:tcPr>
            <w:tcW w:w="824" w:type="dxa"/>
            <w:gridSpan w:val="4"/>
            <w:tcBorders>
              <w:top w:val="nil"/>
              <w:left w:val="nil"/>
              <w:bottom w:val="nil"/>
              <w:right w:val="nil"/>
            </w:tcBorders>
            <w:shd w:val="clear" w:color="auto" w:fill="auto"/>
            <w:noWrap/>
            <w:vAlign w:val="bottom"/>
          </w:tcPr>
          <w:p w14:paraId="18EC47A4" w14:textId="77777777" w:rsidR="00A446B2" w:rsidRPr="00205C60" w:rsidRDefault="00A446B2" w:rsidP="00A446B2">
            <w:pPr>
              <w:jc w:val="right"/>
              <w:rPr>
                <w:rFonts w:ascii="Verdana" w:hAnsi="Verdana"/>
                <w:color w:val="000000"/>
                <w:sz w:val="22"/>
                <w:szCs w:val="22"/>
                <w:lang w:val="en-US"/>
              </w:rPr>
            </w:pPr>
          </w:p>
        </w:tc>
        <w:tc>
          <w:tcPr>
            <w:tcW w:w="1896" w:type="dxa"/>
            <w:gridSpan w:val="4"/>
            <w:tcBorders>
              <w:top w:val="nil"/>
              <w:left w:val="nil"/>
              <w:bottom w:val="double" w:sz="6" w:space="0" w:color="auto"/>
              <w:right w:val="nil"/>
            </w:tcBorders>
            <w:shd w:val="clear" w:color="auto" w:fill="auto"/>
            <w:noWrap/>
            <w:vAlign w:val="bottom"/>
          </w:tcPr>
          <w:p w14:paraId="3B8527EF" w14:textId="681F3654" w:rsidR="00A446B2" w:rsidRPr="00205C60" w:rsidRDefault="00A446B2" w:rsidP="00A446B2">
            <w:pPr>
              <w:jc w:val="right"/>
              <w:rPr>
                <w:rFonts w:ascii="Verdana" w:hAnsi="Verdana"/>
                <w:sz w:val="22"/>
                <w:szCs w:val="22"/>
              </w:rPr>
            </w:pPr>
            <w:r w:rsidRPr="00205C60">
              <w:rPr>
                <w:rFonts w:ascii="Verdana" w:hAnsi="Verdana"/>
                <w:sz w:val="22"/>
                <w:szCs w:val="22"/>
              </w:rPr>
              <w:t>1.039.116</w:t>
            </w:r>
          </w:p>
        </w:tc>
      </w:tr>
      <w:tr w:rsidR="00A3647E" w:rsidRPr="00205C60" w14:paraId="35EF0F78" w14:textId="77777777" w:rsidTr="00A446B2">
        <w:trPr>
          <w:trHeight w:val="78"/>
        </w:trPr>
        <w:tc>
          <w:tcPr>
            <w:tcW w:w="4528" w:type="dxa"/>
            <w:tcBorders>
              <w:top w:val="nil"/>
              <w:left w:val="nil"/>
              <w:bottom w:val="nil"/>
              <w:right w:val="nil"/>
            </w:tcBorders>
            <w:shd w:val="clear" w:color="auto" w:fill="auto"/>
            <w:noWrap/>
            <w:vAlign w:val="bottom"/>
          </w:tcPr>
          <w:p w14:paraId="5666D7F0" w14:textId="77777777" w:rsidR="00A3647E" w:rsidRPr="00205C60" w:rsidRDefault="00A3647E" w:rsidP="00A3647E">
            <w:pPr>
              <w:rPr>
                <w:rFonts w:ascii="Verdana" w:hAnsi="Verdana"/>
                <w:color w:val="000000"/>
                <w:sz w:val="22"/>
                <w:szCs w:val="22"/>
                <w:u w:val="single"/>
                <w:lang w:val="es-CR"/>
              </w:rPr>
            </w:pPr>
            <w:r w:rsidRPr="00205C60">
              <w:rPr>
                <w:rFonts w:ascii="Verdana" w:hAnsi="Verdana"/>
                <w:color w:val="000000"/>
                <w:sz w:val="22"/>
                <w:szCs w:val="22"/>
                <w:u w:val="single"/>
              </w:rPr>
              <w:t>Depósitos en garantía:</w:t>
            </w:r>
          </w:p>
        </w:tc>
        <w:tc>
          <w:tcPr>
            <w:tcW w:w="411" w:type="dxa"/>
            <w:gridSpan w:val="2"/>
            <w:tcBorders>
              <w:top w:val="nil"/>
              <w:left w:val="nil"/>
              <w:bottom w:val="nil"/>
              <w:right w:val="nil"/>
            </w:tcBorders>
            <w:shd w:val="clear" w:color="auto" w:fill="auto"/>
            <w:noWrap/>
            <w:vAlign w:val="bottom"/>
          </w:tcPr>
          <w:p w14:paraId="42770128" w14:textId="77777777" w:rsidR="00A3647E" w:rsidRPr="00205C60" w:rsidRDefault="00A3647E" w:rsidP="00A3647E">
            <w:pPr>
              <w:rPr>
                <w:rFonts w:ascii="Verdana" w:hAnsi="Verdana"/>
                <w:color w:val="000000"/>
                <w:sz w:val="22"/>
                <w:szCs w:val="22"/>
                <w:u w:val="single"/>
                <w:lang w:val="es-CR"/>
              </w:rPr>
            </w:pPr>
          </w:p>
        </w:tc>
        <w:tc>
          <w:tcPr>
            <w:tcW w:w="1741" w:type="dxa"/>
            <w:gridSpan w:val="4"/>
            <w:tcBorders>
              <w:left w:val="nil"/>
              <w:right w:val="nil"/>
            </w:tcBorders>
            <w:shd w:val="clear" w:color="auto" w:fill="auto"/>
            <w:noWrap/>
            <w:vAlign w:val="bottom"/>
          </w:tcPr>
          <w:p w14:paraId="6A7435BE" w14:textId="77777777" w:rsidR="00A3647E" w:rsidRPr="00205C60" w:rsidRDefault="00A3647E" w:rsidP="00A3647E">
            <w:pPr>
              <w:jc w:val="center"/>
              <w:rPr>
                <w:rFonts w:ascii="Verdana" w:hAnsi="Verdana"/>
                <w:color w:val="000000"/>
                <w:sz w:val="22"/>
                <w:szCs w:val="22"/>
                <w:u w:val="single"/>
                <w:lang w:val="es-CR"/>
              </w:rPr>
            </w:pPr>
          </w:p>
        </w:tc>
        <w:tc>
          <w:tcPr>
            <w:tcW w:w="824" w:type="dxa"/>
            <w:gridSpan w:val="4"/>
            <w:tcBorders>
              <w:left w:val="nil"/>
              <w:right w:val="nil"/>
            </w:tcBorders>
            <w:shd w:val="clear" w:color="auto" w:fill="auto"/>
            <w:vAlign w:val="bottom"/>
          </w:tcPr>
          <w:p w14:paraId="073EAE8A" w14:textId="77777777" w:rsidR="00A3647E" w:rsidRPr="00205C60" w:rsidRDefault="00A3647E" w:rsidP="00A3647E">
            <w:pPr>
              <w:jc w:val="center"/>
              <w:rPr>
                <w:rFonts w:ascii="Verdana" w:hAnsi="Verdana"/>
                <w:color w:val="000000"/>
                <w:sz w:val="22"/>
                <w:szCs w:val="22"/>
                <w:u w:val="single"/>
                <w:lang w:val="es-CR"/>
              </w:rPr>
            </w:pPr>
          </w:p>
        </w:tc>
        <w:tc>
          <w:tcPr>
            <w:tcW w:w="1896" w:type="dxa"/>
            <w:gridSpan w:val="4"/>
            <w:tcBorders>
              <w:left w:val="nil"/>
              <w:right w:val="nil"/>
            </w:tcBorders>
            <w:shd w:val="clear" w:color="auto" w:fill="auto"/>
            <w:vAlign w:val="bottom"/>
          </w:tcPr>
          <w:p w14:paraId="0ABAA8EC" w14:textId="77777777" w:rsidR="00A3647E" w:rsidRPr="00205C60" w:rsidRDefault="00A3647E" w:rsidP="00A3647E">
            <w:pPr>
              <w:jc w:val="center"/>
              <w:rPr>
                <w:rFonts w:ascii="Verdana" w:hAnsi="Verdana"/>
                <w:color w:val="000000"/>
                <w:sz w:val="22"/>
                <w:szCs w:val="22"/>
                <w:u w:val="single"/>
                <w:lang w:val="es-CR"/>
              </w:rPr>
            </w:pPr>
          </w:p>
        </w:tc>
      </w:tr>
      <w:tr w:rsidR="00A446B2" w:rsidRPr="00205C60" w14:paraId="552CCA70" w14:textId="77777777" w:rsidTr="00A446B2">
        <w:trPr>
          <w:trHeight w:val="78"/>
        </w:trPr>
        <w:tc>
          <w:tcPr>
            <w:tcW w:w="4528" w:type="dxa"/>
            <w:tcBorders>
              <w:top w:val="nil"/>
              <w:left w:val="nil"/>
              <w:bottom w:val="nil"/>
              <w:right w:val="nil"/>
            </w:tcBorders>
            <w:shd w:val="clear" w:color="auto" w:fill="auto"/>
            <w:noWrap/>
            <w:vAlign w:val="bottom"/>
          </w:tcPr>
          <w:p w14:paraId="2F314F1A" w14:textId="77777777" w:rsidR="00A446B2" w:rsidRPr="00205C60" w:rsidRDefault="00A446B2" w:rsidP="00A446B2">
            <w:pPr>
              <w:ind w:left="702" w:hanging="702"/>
              <w:rPr>
                <w:rFonts w:ascii="Verdana" w:hAnsi="Verdana"/>
                <w:color w:val="000000"/>
                <w:sz w:val="22"/>
                <w:szCs w:val="22"/>
                <w:lang w:val="es-CR"/>
              </w:rPr>
            </w:pPr>
            <w:r w:rsidRPr="00205C60">
              <w:rPr>
                <w:rFonts w:ascii="Verdana" w:hAnsi="Verdana"/>
                <w:color w:val="000000"/>
                <w:sz w:val="22"/>
                <w:szCs w:val="22"/>
                <w:lang w:val="es-CR"/>
              </w:rPr>
              <w:t>Instituto Costarricense de Electricidad (c)</w:t>
            </w:r>
          </w:p>
        </w:tc>
        <w:tc>
          <w:tcPr>
            <w:tcW w:w="411" w:type="dxa"/>
            <w:gridSpan w:val="2"/>
            <w:tcBorders>
              <w:top w:val="nil"/>
              <w:left w:val="nil"/>
              <w:bottom w:val="nil"/>
              <w:right w:val="nil"/>
            </w:tcBorders>
            <w:shd w:val="clear" w:color="auto" w:fill="auto"/>
            <w:noWrap/>
            <w:vAlign w:val="bottom"/>
          </w:tcPr>
          <w:p w14:paraId="11B4707D" w14:textId="77777777" w:rsidR="00A446B2" w:rsidRPr="00205C60" w:rsidRDefault="00A446B2" w:rsidP="00A446B2">
            <w:pPr>
              <w:rPr>
                <w:rFonts w:ascii="Verdana" w:hAnsi="Verdana"/>
                <w:color w:val="000000"/>
                <w:sz w:val="22"/>
                <w:szCs w:val="22"/>
                <w:u w:val="single"/>
                <w:lang w:val="es-CR"/>
              </w:rPr>
            </w:pPr>
          </w:p>
        </w:tc>
        <w:tc>
          <w:tcPr>
            <w:tcW w:w="1741" w:type="dxa"/>
            <w:gridSpan w:val="4"/>
            <w:tcBorders>
              <w:left w:val="nil"/>
              <w:bottom w:val="double" w:sz="4" w:space="0" w:color="auto"/>
              <w:right w:val="nil"/>
            </w:tcBorders>
            <w:shd w:val="clear" w:color="auto" w:fill="auto"/>
            <w:noWrap/>
            <w:vAlign w:val="bottom"/>
          </w:tcPr>
          <w:p w14:paraId="524C2F4B" w14:textId="4F3B3A22" w:rsidR="00A446B2" w:rsidRPr="00205C60" w:rsidRDefault="00CB5528" w:rsidP="00A446B2">
            <w:pPr>
              <w:jc w:val="right"/>
              <w:rPr>
                <w:rFonts w:ascii="Verdana" w:hAnsi="Verdana"/>
                <w:sz w:val="22"/>
                <w:szCs w:val="22"/>
              </w:rPr>
            </w:pPr>
            <w:r w:rsidRPr="00205C60">
              <w:rPr>
                <w:rFonts w:ascii="Verdana" w:hAnsi="Verdana"/>
                <w:sz w:val="22"/>
                <w:szCs w:val="22"/>
              </w:rPr>
              <w:t>8</w:t>
            </w:r>
            <w:r w:rsidR="00A446B2" w:rsidRPr="00205C60">
              <w:rPr>
                <w:rFonts w:ascii="Verdana" w:hAnsi="Verdana"/>
                <w:sz w:val="22"/>
                <w:szCs w:val="22"/>
              </w:rPr>
              <w:t>.</w:t>
            </w:r>
            <w:r w:rsidRPr="00205C60">
              <w:rPr>
                <w:rFonts w:ascii="Verdana" w:hAnsi="Verdana"/>
                <w:sz w:val="22"/>
                <w:szCs w:val="22"/>
              </w:rPr>
              <w:t>136</w:t>
            </w:r>
          </w:p>
        </w:tc>
        <w:tc>
          <w:tcPr>
            <w:tcW w:w="824" w:type="dxa"/>
            <w:gridSpan w:val="4"/>
            <w:tcBorders>
              <w:left w:val="nil"/>
              <w:right w:val="nil"/>
            </w:tcBorders>
            <w:shd w:val="clear" w:color="auto" w:fill="auto"/>
            <w:vAlign w:val="bottom"/>
          </w:tcPr>
          <w:p w14:paraId="4FBF3FD0" w14:textId="77777777" w:rsidR="00A446B2" w:rsidRPr="00205C60" w:rsidRDefault="00A446B2" w:rsidP="00A446B2">
            <w:pPr>
              <w:jc w:val="center"/>
              <w:rPr>
                <w:rFonts w:ascii="Verdana" w:hAnsi="Verdana"/>
                <w:color w:val="000000"/>
                <w:sz w:val="22"/>
                <w:szCs w:val="22"/>
                <w:u w:val="single"/>
                <w:lang w:val="es-CR"/>
              </w:rPr>
            </w:pPr>
          </w:p>
        </w:tc>
        <w:tc>
          <w:tcPr>
            <w:tcW w:w="1896" w:type="dxa"/>
            <w:gridSpan w:val="4"/>
            <w:tcBorders>
              <w:left w:val="nil"/>
              <w:bottom w:val="double" w:sz="4" w:space="0" w:color="auto"/>
              <w:right w:val="nil"/>
            </w:tcBorders>
            <w:shd w:val="clear" w:color="auto" w:fill="auto"/>
            <w:vAlign w:val="bottom"/>
          </w:tcPr>
          <w:p w14:paraId="76FFFA28" w14:textId="1CBA93F3" w:rsidR="00A446B2" w:rsidRPr="00205C60" w:rsidRDefault="00A446B2" w:rsidP="00A446B2">
            <w:pPr>
              <w:jc w:val="right"/>
              <w:rPr>
                <w:rFonts w:ascii="Verdana" w:hAnsi="Verdana"/>
                <w:sz w:val="22"/>
                <w:szCs w:val="22"/>
              </w:rPr>
            </w:pPr>
            <w:r w:rsidRPr="00205C60">
              <w:rPr>
                <w:rFonts w:ascii="Verdana" w:hAnsi="Verdana"/>
                <w:sz w:val="22"/>
                <w:szCs w:val="22"/>
              </w:rPr>
              <w:t>7.758</w:t>
            </w:r>
          </w:p>
        </w:tc>
      </w:tr>
      <w:tr w:rsidR="00A446B2" w:rsidRPr="00205C60" w14:paraId="0E0F608A" w14:textId="77777777" w:rsidTr="00A446B2">
        <w:trPr>
          <w:trHeight w:val="78"/>
        </w:trPr>
        <w:tc>
          <w:tcPr>
            <w:tcW w:w="4733" w:type="dxa"/>
            <w:gridSpan w:val="2"/>
            <w:tcBorders>
              <w:top w:val="nil"/>
              <w:left w:val="nil"/>
              <w:bottom w:val="nil"/>
              <w:right w:val="nil"/>
            </w:tcBorders>
            <w:shd w:val="clear" w:color="auto" w:fill="auto"/>
            <w:noWrap/>
            <w:vAlign w:val="bottom"/>
            <w:hideMark/>
          </w:tcPr>
          <w:p w14:paraId="325F18E8" w14:textId="77777777" w:rsidR="00A446B2" w:rsidRPr="00205C60" w:rsidRDefault="00A446B2" w:rsidP="00A446B2">
            <w:pPr>
              <w:ind w:left="702" w:right="-118" w:hanging="702"/>
              <w:rPr>
                <w:rFonts w:ascii="Verdana" w:hAnsi="Verdana"/>
                <w:color w:val="000000"/>
                <w:sz w:val="22"/>
                <w:szCs w:val="22"/>
                <w:u w:val="single"/>
                <w:lang w:val="es-CR"/>
              </w:rPr>
            </w:pPr>
            <w:r w:rsidRPr="00205C60">
              <w:rPr>
                <w:rFonts w:ascii="Verdana" w:hAnsi="Verdana"/>
                <w:color w:val="000000"/>
                <w:sz w:val="22"/>
                <w:szCs w:val="22"/>
                <w:u w:val="single"/>
                <w:lang w:val="es-CR"/>
              </w:rPr>
              <w:t>Cuentas por pagar</w:t>
            </w:r>
          </w:p>
        </w:tc>
        <w:tc>
          <w:tcPr>
            <w:tcW w:w="411" w:type="dxa"/>
            <w:gridSpan w:val="2"/>
            <w:tcBorders>
              <w:top w:val="nil"/>
              <w:left w:val="nil"/>
              <w:bottom w:val="nil"/>
              <w:right w:val="nil"/>
            </w:tcBorders>
            <w:shd w:val="clear" w:color="auto" w:fill="auto"/>
            <w:noWrap/>
            <w:vAlign w:val="bottom"/>
            <w:hideMark/>
          </w:tcPr>
          <w:p w14:paraId="054B5D8B" w14:textId="77777777" w:rsidR="00A446B2" w:rsidRPr="00205C60" w:rsidRDefault="00A446B2" w:rsidP="00A446B2">
            <w:pPr>
              <w:rPr>
                <w:rFonts w:ascii="Verdana" w:hAnsi="Verdana"/>
                <w:color w:val="000000"/>
                <w:sz w:val="22"/>
                <w:szCs w:val="22"/>
                <w:u w:val="single"/>
                <w:lang w:val="es-CR"/>
              </w:rPr>
            </w:pPr>
          </w:p>
        </w:tc>
        <w:tc>
          <w:tcPr>
            <w:tcW w:w="1741" w:type="dxa"/>
            <w:gridSpan w:val="4"/>
            <w:tcBorders>
              <w:top w:val="nil"/>
              <w:left w:val="nil"/>
              <w:bottom w:val="nil"/>
              <w:right w:val="nil"/>
            </w:tcBorders>
            <w:shd w:val="clear" w:color="auto" w:fill="auto"/>
            <w:noWrap/>
            <w:vAlign w:val="bottom"/>
          </w:tcPr>
          <w:p w14:paraId="37504822" w14:textId="77777777" w:rsidR="00A446B2" w:rsidRPr="00205C60" w:rsidRDefault="00A446B2" w:rsidP="00A446B2">
            <w:pPr>
              <w:jc w:val="right"/>
              <w:rPr>
                <w:rFonts w:ascii="Verdana" w:hAnsi="Verdana"/>
                <w:sz w:val="22"/>
                <w:szCs w:val="22"/>
                <w:lang w:val="es-CR"/>
              </w:rPr>
            </w:pPr>
          </w:p>
        </w:tc>
        <w:tc>
          <w:tcPr>
            <w:tcW w:w="1019" w:type="dxa"/>
            <w:gridSpan w:val="4"/>
            <w:tcBorders>
              <w:top w:val="nil"/>
              <w:left w:val="nil"/>
              <w:bottom w:val="nil"/>
              <w:right w:val="nil"/>
            </w:tcBorders>
            <w:shd w:val="clear" w:color="auto" w:fill="auto"/>
            <w:noWrap/>
            <w:vAlign w:val="bottom"/>
            <w:hideMark/>
          </w:tcPr>
          <w:p w14:paraId="1DEC0164" w14:textId="77777777" w:rsidR="00A446B2" w:rsidRPr="00205C60" w:rsidRDefault="00A446B2" w:rsidP="00A446B2">
            <w:pPr>
              <w:jc w:val="right"/>
              <w:rPr>
                <w:rFonts w:ascii="Verdana" w:hAnsi="Verdana"/>
                <w:sz w:val="22"/>
                <w:szCs w:val="22"/>
                <w:lang w:val="es-CR"/>
              </w:rPr>
            </w:pPr>
          </w:p>
        </w:tc>
        <w:tc>
          <w:tcPr>
            <w:tcW w:w="1496" w:type="dxa"/>
            <w:gridSpan w:val="3"/>
            <w:tcBorders>
              <w:top w:val="nil"/>
              <w:left w:val="nil"/>
              <w:bottom w:val="nil"/>
              <w:right w:val="nil"/>
            </w:tcBorders>
            <w:shd w:val="clear" w:color="auto" w:fill="auto"/>
            <w:noWrap/>
            <w:vAlign w:val="bottom"/>
            <w:hideMark/>
          </w:tcPr>
          <w:p w14:paraId="01FE2649" w14:textId="77777777" w:rsidR="00A446B2" w:rsidRPr="00205C60" w:rsidRDefault="00A446B2" w:rsidP="00A446B2">
            <w:pPr>
              <w:jc w:val="right"/>
              <w:rPr>
                <w:rFonts w:ascii="Verdana" w:hAnsi="Verdana"/>
                <w:sz w:val="22"/>
                <w:szCs w:val="22"/>
                <w:lang w:val="es-CR"/>
              </w:rPr>
            </w:pPr>
          </w:p>
        </w:tc>
      </w:tr>
      <w:tr w:rsidR="00A446B2" w:rsidRPr="00205C60" w14:paraId="64017688" w14:textId="77777777" w:rsidTr="00A446B2">
        <w:trPr>
          <w:trHeight w:val="78"/>
        </w:trPr>
        <w:tc>
          <w:tcPr>
            <w:tcW w:w="4733" w:type="dxa"/>
            <w:gridSpan w:val="2"/>
            <w:tcBorders>
              <w:top w:val="nil"/>
              <w:left w:val="nil"/>
              <w:bottom w:val="nil"/>
              <w:right w:val="nil"/>
            </w:tcBorders>
            <w:shd w:val="clear" w:color="auto" w:fill="auto"/>
            <w:noWrap/>
            <w:vAlign w:val="bottom"/>
          </w:tcPr>
          <w:p w14:paraId="7EF75371" w14:textId="77777777" w:rsidR="00A446B2" w:rsidRPr="00205C60" w:rsidRDefault="00A446B2" w:rsidP="00A446B2">
            <w:pPr>
              <w:ind w:left="702" w:right="-118" w:hanging="702"/>
              <w:rPr>
                <w:rFonts w:ascii="Verdana" w:hAnsi="Verdana"/>
                <w:color w:val="000000"/>
                <w:sz w:val="22"/>
                <w:szCs w:val="22"/>
                <w:lang w:val="es-CR"/>
              </w:rPr>
            </w:pPr>
            <w:r w:rsidRPr="00205C60">
              <w:rPr>
                <w:rFonts w:ascii="Verdana" w:hAnsi="Verdana"/>
                <w:color w:val="000000"/>
                <w:sz w:val="22"/>
                <w:szCs w:val="22"/>
                <w:lang w:val="es-CR"/>
              </w:rPr>
              <w:t>Instituto Costarricense de Electricidad (ICE) (d)</w:t>
            </w:r>
          </w:p>
        </w:tc>
        <w:tc>
          <w:tcPr>
            <w:tcW w:w="411" w:type="dxa"/>
            <w:gridSpan w:val="2"/>
            <w:tcBorders>
              <w:top w:val="nil"/>
              <w:left w:val="nil"/>
              <w:bottom w:val="nil"/>
              <w:right w:val="nil"/>
            </w:tcBorders>
            <w:shd w:val="clear" w:color="auto" w:fill="auto"/>
            <w:noWrap/>
            <w:vAlign w:val="bottom"/>
            <w:hideMark/>
          </w:tcPr>
          <w:p w14:paraId="71490791" w14:textId="77777777" w:rsidR="00A446B2" w:rsidRPr="00205C60" w:rsidRDefault="00A446B2" w:rsidP="00A446B2">
            <w:pPr>
              <w:rPr>
                <w:rFonts w:ascii="Verdana" w:hAnsi="Verdana"/>
                <w:color w:val="000000"/>
                <w:sz w:val="22"/>
                <w:szCs w:val="22"/>
                <w:lang w:val="es-CR"/>
              </w:rPr>
            </w:pPr>
          </w:p>
        </w:tc>
        <w:tc>
          <w:tcPr>
            <w:tcW w:w="1741" w:type="dxa"/>
            <w:gridSpan w:val="4"/>
            <w:tcBorders>
              <w:top w:val="nil"/>
              <w:left w:val="nil"/>
              <w:bottom w:val="double" w:sz="4" w:space="0" w:color="auto"/>
              <w:right w:val="nil"/>
            </w:tcBorders>
            <w:shd w:val="clear" w:color="auto" w:fill="auto"/>
            <w:noWrap/>
            <w:vAlign w:val="bottom"/>
          </w:tcPr>
          <w:p w14:paraId="19B426B6" w14:textId="3ACA50C7" w:rsidR="00A446B2" w:rsidRPr="00205C60" w:rsidRDefault="00A446B2" w:rsidP="00A446B2">
            <w:pPr>
              <w:ind w:left="-165"/>
              <w:jc w:val="right"/>
              <w:rPr>
                <w:rFonts w:ascii="Verdana" w:hAnsi="Verdana"/>
                <w:sz w:val="22"/>
                <w:szCs w:val="22"/>
              </w:rPr>
            </w:pPr>
            <w:r w:rsidRPr="00205C60">
              <w:rPr>
                <w:rFonts w:ascii="Verdana" w:hAnsi="Verdana"/>
                <w:sz w:val="22"/>
                <w:szCs w:val="22"/>
              </w:rPr>
              <w:t>1</w:t>
            </w:r>
            <w:r w:rsidR="00CB5528" w:rsidRPr="00205C60">
              <w:rPr>
                <w:rFonts w:ascii="Verdana" w:hAnsi="Verdana"/>
                <w:sz w:val="22"/>
                <w:szCs w:val="22"/>
              </w:rPr>
              <w:t>3</w:t>
            </w:r>
            <w:r w:rsidRPr="00205C60">
              <w:rPr>
                <w:rFonts w:ascii="Verdana" w:hAnsi="Verdana"/>
                <w:sz w:val="22"/>
                <w:szCs w:val="22"/>
              </w:rPr>
              <w:t>.</w:t>
            </w:r>
            <w:r w:rsidR="00CB5528" w:rsidRPr="00205C60">
              <w:rPr>
                <w:rFonts w:ascii="Verdana" w:hAnsi="Verdana"/>
                <w:sz w:val="22"/>
                <w:szCs w:val="22"/>
              </w:rPr>
              <w:t>003</w:t>
            </w:r>
            <w:r w:rsidRPr="00205C60">
              <w:rPr>
                <w:rFonts w:ascii="Verdana" w:hAnsi="Verdana"/>
                <w:sz w:val="22"/>
                <w:szCs w:val="22"/>
              </w:rPr>
              <w:t>.</w:t>
            </w:r>
            <w:r w:rsidR="00CB5528" w:rsidRPr="00205C60">
              <w:rPr>
                <w:rFonts w:ascii="Verdana" w:hAnsi="Verdana"/>
                <w:sz w:val="22"/>
                <w:szCs w:val="22"/>
              </w:rPr>
              <w:t>252</w:t>
            </w:r>
          </w:p>
        </w:tc>
        <w:tc>
          <w:tcPr>
            <w:tcW w:w="1019" w:type="dxa"/>
            <w:gridSpan w:val="4"/>
            <w:tcBorders>
              <w:top w:val="nil"/>
              <w:left w:val="nil"/>
              <w:bottom w:val="nil"/>
              <w:right w:val="nil"/>
            </w:tcBorders>
            <w:shd w:val="clear" w:color="auto" w:fill="auto"/>
            <w:noWrap/>
            <w:vAlign w:val="bottom"/>
          </w:tcPr>
          <w:p w14:paraId="2F3DD049" w14:textId="77777777" w:rsidR="00A446B2" w:rsidRPr="00205C60" w:rsidRDefault="00A446B2" w:rsidP="00A446B2">
            <w:pPr>
              <w:jc w:val="right"/>
              <w:rPr>
                <w:rFonts w:ascii="Verdana" w:hAnsi="Verdana"/>
                <w:color w:val="000000"/>
                <w:sz w:val="22"/>
                <w:szCs w:val="22"/>
                <w:lang w:val="es-419"/>
              </w:rPr>
            </w:pPr>
          </w:p>
        </w:tc>
        <w:tc>
          <w:tcPr>
            <w:tcW w:w="1496" w:type="dxa"/>
            <w:gridSpan w:val="3"/>
            <w:tcBorders>
              <w:top w:val="nil"/>
              <w:left w:val="nil"/>
              <w:bottom w:val="double" w:sz="4" w:space="0" w:color="auto"/>
              <w:right w:val="nil"/>
            </w:tcBorders>
            <w:shd w:val="clear" w:color="auto" w:fill="auto"/>
            <w:noWrap/>
            <w:vAlign w:val="bottom"/>
          </w:tcPr>
          <w:p w14:paraId="716C54E3" w14:textId="51BF1FA4" w:rsidR="00A446B2" w:rsidRPr="00205C60" w:rsidRDefault="00A446B2" w:rsidP="00A446B2">
            <w:pPr>
              <w:jc w:val="right"/>
              <w:rPr>
                <w:rFonts w:ascii="Verdana" w:hAnsi="Verdana"/>
                <w:sz w:val="22"/>
                <w:szCs w:val="22"/>
              </w:rPr>
            </w:pPr>
            <w:r w:rsidRPr="00205C60">
              <w:rPr>
                <w:rFonts w:ascii="Verdana" w:hAnsi="Verdana"/>
                <w:sz w:val="22"/>
                <w:szCs w:val="22"/>
              </w:rPr>
              <w:t>15.861.614</w:t>
            </w:r>
          </w:p>
        </w:tc>
      </w:tr>
      <w:tr w:rsidR="00A3647E" w:rsidRPr="00205C60" w14:paraId="62A9AE36" w14:textId="77777777" w:rsidTr="00A446B2">
        <w:trPr>
          <w:gridAfter w:val="1"/>
          <w:wAfter w:w="104" w:type="dxa"/>
          <w:trHeight w:val="19"/>
        </w:trPr>
        <w:tc>
          <w:tcPr>
            <w:tcW w:w="4528" w:type="dxa"/>
            <w:tcBorders>
              <w:top w:val="nil"/>
              <w:left w:val="nil"/>
              <w:bottom w:val="nil"/>
              <w:right w:val="nil"/>
            </w:tcBorders>
            <w:shd w:val="clear" w:color="auto" w:fill="auto"/>
            <w:noWrap/>
            <w:vAlign w:val="bottom"/>
            <w:hideMark/>
          </w:tcPr>
          <w:p w14:paraId="272D392B" w14:textId="77777777" w:rsidR="00A3647E" w:rsidRPr="00205C60" w:rsidRDefault="00A3647E" w:rsidP="00A3647E">
            <w:pPr>
              <w:ind w:left="702" w:right="-118" w:hanging="702"/>
              <w:rPr>
                <w:rFonts w:ascii="Verdana" w:hAnsi="Verdana"/>
                <w:color w:val="000000"/>
                <w:sz w:val="22"/>
                <w:szCs w:val="22"/>
                <w:u w:val="single"/>
                <w:lang w:val="es-CR"/>
              </w:rPr>
            </w:pPr>
            <w:r w:rsidRPr="00205C60">
              <w:rPr>
                <w:rFonts w:ascii="Verdana" w:hAnsi="Verdana"/>
                <w:color w:val="000000"/>
                <w:sz w:val="22"/>
                <w:szCs w:val="22"/>
                <w:u w:val="single"/>
                <w:lang w:val="es-CR"/>
              </w:rPr>
              <w:t>Intereses por pagar:</w:t>
            </w:r>
          </w:p>
        </w:tc>
        <w:tc>
          <w:tcPr>
            <w:tcW w:w="411" w:type="dxa"/>
            <w:gridSpan w:val="2"/>
            <w:tcBorders>
              <w:top w:val="nil"/>
              <w:left w:val="nil"/>
              <w:bottom w:val="nil"/>
              <w:right w:val="nil"/>
            </w:tcBorders>
            <w:shd w:val="clear" w:color="auto" w:fill="auto"/>
            <w:noWrap/>
            <w:vAlign w:val="bottom"/>
            <w:hideMark/>
          </w:tcPr>
          <w:p w14:paraId="0CF6E078" w14:textId="77777777" w:rsidR="00A3647E" w:rsidRPr="00205C60" w:rsidRDefault="00A3647E" w:rsidP="00A3647E">
            <w:pPr>
              <w:rPr>
                <w:rFonts w:ascii="Verdana" w:hAnsi="Verdana"/>
                <w:color w:val="000000"/>
                <w:sz w:val="22"/>
                <w:szCs w:val="22"/>
                <w:u w:val="single"/>
                <w:lang w:val="es-CR"/>
              </w:rPr>
            </w:pPr>
          </w:p>
        </w:tc>
        <w:tc>
          <w:tcPr>
            <w:tcW w:w="1535" w:type="dxa"/>
            <w:gridSpan w:val="3"/>
            <w:tcBorders>
              <w:top w:val="nil"/>
              <w:left w:val="nil"/>
              <w:right w:val="nil"/>
            </w:tcBorders>
            <w:shd w:val="clear" w:color="auto" w:fill="auto"/>
            <w:noWrap/>
            <w:vAlign w:val="bottom"/>
          </w:tcPr>
          <w:p w14:paraId="760E17C2" w14:textId="77777777" w:rsidR="00A3647E" w:rsidRPr="00205C60" w:rsidRDefault="00A3647E" w:rsidP="00A3647E">
            <w:pPr>
              <w:jc w:val="right"/>
              <w:rPr>
                <w:rFonts w:ascii="Verdana" w:hAnsi="Verdana"/>
                <w:sz w:val="22"/>
                <w:szCs w:val="22"/>
                <w:lang w:val="es-CR"/>
              </w:rPr>
            </w:pPr>
          </w:p>
        </w:tc>
        <w:tc>
          <w:tcPr>
            <w:tcW w:w="824" w:type="dxa"/>
            <w:gridSpan w:val="4"/>
            <w:tcBorders>
              <w:top w:val="nil"/>
              <w:left w:val="nil"/>
              <w:bottom w:val="nil"/>
              <w:right w:val="nil"/>
            </w:tcBorders>
            <w:shd w:val="clear" w:color="auto" w:fill="auto"/>
            <w:noWrap/>
            <w:vAlign w:val="bottom"/>
            <w:hideMark/>
          </w:tcPr>
          <w:p w14:paraId="15B26836" w14:textId="77777777" w:rsidR="00A3647E" w:rsidRPr="00205C60" w:rsidRDefault="00A3647E" w:rsidP="00A3647E">
            <w:pPr>
              <w:jc w:val="right"/>
              <w:rPr>
                <w:rFonts w:ascii="Verdana" w:hAnsi="Verdana"/>
                <w:sz w:val="22"/>
                <w:szCs w:val="22"/>
                <w:lang w:val="es-CR"/>
              </w:rPr>
            </w:pPr>
          </w:p>
        </w:tc>
        <w:tc>
          <w:tcPr>
            <w:tcW w:w="1998" w:type="dxa"/>
            <w:gridSpan w:val="4"/>
            <w:tcBorders>
              <w:top w:val="nil"/>
              <w:left w:val="nil"/>
              <w:right w:val="nil"/>
            </w:tcBorders>
            <w:shd w:val="clear" w:color="auto" w:fill="auto"/>
            <w:noWrap/>
            <w:vAlign w:val="bottom"/>
            <w:hideMark/>
          </w:tcPr>
          <w:p w14:paraId="7854A778" w14:textId="77777777" w:rsidR="00A3647E" w:rsidRPr="00205C60" w:rsidRDefault="00A3647E" w:rsidP="00A3647E">
            <w:pPr>
              <w:jc w:val="right"/>
              <w:rPr>
                <w:rFonts w:ascii="Verdana" w:hAnsi="Verdana"/>
                <w:sz w:val="22"/>
                <w:szCs w:val="22"/>
                <w:lang w:val="es-CR"/>
              </w:rPr>
            </w:pPr>
          </w:p>
        </w:tc>
      </w:tr>
      <w:tr w:rsidR="00A3647E" w:rsidRPr="00205C60" w14:paraId="07B8E746" w14:textId="77777777" w:rsidTr="00A446B2">
        <w:trPr>
          <w:gridAfter w:val="1"/>
          <w:wAfter w:w="104" w:type="dxa"/>
          <w:trHeight w:val="19"/>
        </w:trPr>
        <w:tc>
          <w:tcPr>
            <w:tcW w:w="4528" w:type="dxa"/>
            <w:tcBorders>
              <w:top w:val="nil"/>
              <w:left w:val="nil"/>
              <w:bottom w:val="nil"/>
              <w:right w:val="nil"/>
            </w:tcBorders>
            <w:shd w:val="clear" w:color="auto" w:fill="auto"/>
            <w:noWrap/>
            <w:vAlign w:val="bottom"/>
          </w:tcPr>
          <w:p w14:paraId="228D4521" w14:textId="77777777" w:rsidR="00A3647E" w:rsidRPr="00205C60" w:rsidRDefault="00A3647E" w:rsidP="00A3647E">
            <w:pPr>
              <w:ind w:left="702" w:right="-118" w:hanging="702"/>
              <w:rPr>
                <w:rFonts w:ascii="Verdana" w:hAnsi="Verdana"/>
                <w:color w:val="000000"/>
                <w:sz w:val="22"/>
                <w:szCs w:val="22"/>
                <w:lang w:val="es-CR"/>
              </w:rPr>
            </w:pPr>
            <w:r w:rsidRPr="00205C60">
              <w:rPr>
                <w:rFonts w:ascii="Verdana" w:hAnsi="Verdana"/>
                <w:color w:val="000000"/>
                <w:sz w:val="22"/>
                <w:szCs w:val="22"/>
                <w:lang w:val="es-CR"/>
              </w:rPr>
              <w:t>Instituto Costarricense de Electricidad (ICE) (e)</w:t>
            </w:r>
          </w:p>
        </w:tc>
        <w:tc>
          <w:tcPr>
            <w:tcW w:w="411" w:type="dxa"/>
            <w:gridSpan w:val="2"/>
            <w:tcBorders>
              <w:top w:val="nil"/>
              <w:left w:val="nil"/>
              <w:bottom w:val="nil"/>
              <w:right w:val="nil"/>
            </w:tcBorders>
            <w:shd w:val="clear" w:color="auto" w:fill="auto"/>
            <w:noWrap/>
            <w:vAlign w:val="bottom"/>
            <w:hideMark/>
          </w:tcPr>
          <w:p w14:paraId="20A1D1F7" w14:textId="77777777" w:rsidR="00A3647E" w:rsidRPr="00205C60" w:rsidRDefault="00A3647E" w:rsidP="00A3647E">
            <w:pPr>
              <w:rPr>
                <w:rFonts w:ascii="Verdana" w:hAnsi="Verdana"/>
                <w:color w:val="000000"/>
                <w:sz w:val="22"/>
                <w:szCs w:val="22"/>
                <w:lang w:val="es-CR"/>
              </w:rPr>
            </w:pPr>
          </w:p>
        </w:tc>
        <w:tc>
          <w:tcPr>
            <w:tcW w:w="1535" w:type="dxa"/>
            <w:gridSpan w:val="3"/>
            <w:tcBorders>
              <w:top w:val="nil"/>
              <w:left w:val="nil"/>
              <w:bottom w:val="double" w:sz="4" w:space="0" w:color="auto"/>
              <w:right w:val="nil"/>
            </w:tcBorders>
            <w:shd w:val="clear" w:color="auto" w:fill="auto"/>
            <w:noWrap/>
            <w:vAlign w:val="bottom"/>
          </w:tcPr>
          <w:p w14:paraId="7B00B570" w14:textId="7E59F2ED" w:rsidR="00A3647E" w:rsidRPr="00205C60" w:rsidRDefault="006B1E31" w:rsidP="00316B62">
            <w:pPr>
              <w:jc w:val="center"/>
              <w:rPr>
                <w:rFonts w:ascii="Verdana" w:hAnsi="Verdana"/>
                <w:color w:val="000000"/>
                <w:sz w:val="22"/>
                <w:szCs w:val="22"/>
                <w:lang w:val="es-419"/>
              </w:rPr>
            </w:pPr>
            <w:r w:rsidRPr="00205C60">
              <w:rPr>
                <w:rFonts w:ascii="Verdana" w:hAnsi="Verdana"/>
                <w:color w:val="000000"/>
                <w:sz w:val="22"/>
                <w:szCs w:val="22"/>
                <w:lang w:val="es-419"/>
              </w:rPr>
              <w:t>-</w:t>
            </w:r>
          </w:p>
        </w:tc>
        <w:tc>
          <w:tcPr>
            <w:tcW w:w="824" w:type="dxa"/>
            <w:gridSpan w:val="4"/>
            <w:tcBorders>
              <w:top w:val="nil"/>
              <w:left w:val="nil"/>
              <w:right w:val="nil"/>
            </w:tcBorders>
            <w:shd w:val="clear" w:color="auto" w:fill="auto"/>
            <w:noWrap/>
            <w:vAlign w:val="bottom"/>
          </w:tcPr>
          <w:p w14:paraId="653D792E" w14:textId="77777777" w:rsidR="00A3647E" w:rsidRPr="00205C60" w:rsidRDefault="00A3647E" w:rsidP="00316B62">
            <w:pPr>
              <w:jc w:val="center"/>
              <w:rPr>
                <w:rFonts w:ascii="Verdana" w:hAnsi="Verdana"/>
                <w:color w:val="000000"/>
                <w:sz w:val="22"/>
                <w:szCs w:val="22"/>
                <w:lang w:val="es-419"/>
              </w:rPr>
            </w:pPr>
          </w:p>
        </w:tc>
        <w:tc>
          <w:tcPr>
            <w:tcW w:w="1998" w:type="dxa"/>
            <w:gridSpan w:val="4"/>
            <w:tcBorders>
              <w:top w:val="nil"/>
              <w:left w:val="nil"/>
              <w:bottom w:val="double" w:sz="4" w:space="0" w:color="auto"/>
              <w:right w:val="nil"/>
            </w:tcBorders>
            <w:shd w:val="clear" w:color="auto" w:fill="auto"/>
            <w:noWrap/>
            <w:vAlign w:val="bottom"/>
          </w:tcPr>
          <w:p w14:paraId="025EBE58" w14:textId="1AB58DFA" w:rsidR="00A3647E" w:rsidRPr="00205C60" w:rsidRDefault="005931F1" w:rsidP="00A3647E">
            <w:pPr>
              <w:jc w:val="right"/>
              <w:rPr>
                <w:rFonts w:ascii="Verdana" w:hAnsi="Verdana"/>
                <w:color w:val="000000"/>
                <w:sz w:val="22"/>
                <w:szCs w:val="22"/>
                <w:lang w:val="en-US"/>
              </w:rPr>
            </w:pPr>
            <w:r w:rsidRPr="00205C60">
              <w:rPr>
                <w:rFonts w:ascii="Verdana" w:hAnsi="Verdana"/>
                <w:color w:val="000000"/>
                <w:sz w:val="22"/>
                <w:szCs w:val="22"/>
                <w:lang w:val="en-US"/>
              </w:rPr>
              <w:t>-</w:t>
            </w:r>
          </w:p>
        </w:tc>
      </w:tr>
      <w:tr w:rsidR="00A3647E" w:rsidRPr="00205C60" w14:paraId="5BE67850" w14:textId="77777777" w:rsidTr="00A446B2">
        <w:trPr>
          <w:gridAfter w:val="2"/>
          <w:wAfter w:w="317" w:type="dxa"/>
          <w:trHeight w:val="78"/>
        </w:trPr>
        <w:tc>
          <w:tcPr>
            <w:tcW w:w="4528" w:type="dxa"/>
            <w:tcBorders>
              <w:top w:val="nil"/>
              <w:left w:val="nil"/>
              <w:bottom w:val="nil"/>
              <w:right w:val="nil"/>
            </w:tcBorders>
            <w:shd w:val="clear" w:color="auto" w:fill="auto"/>
            <w:noWrap/>
            <w:vAlign w:val="bottom"/>
            <w:hideMark/>
          </w:tcPr>
          <w:p w14:paraId="5B8D2FD6" w14:textId="77777777" w:rsidR="00A3647E" w:rsidRPr="00205C60" w:rsidRDefault="00A3647E" w:rsidP="00A3647E">
            <w:pPr>
              <w:rPr>
                <w:rFonts w:ascii="Verdana" w:hAnsi="Verdana"/>
                <w:sz w:val="22"/>
                <w:szCs w:val="22"/>
                <w:lang w:val="es-CR"/>
              </w:rPr>
            </w:pPr>
          </w:p>
        </w:tc>
        <w:tc>
          <w:tcPr>
            <w:tcW w:w="411" w:type="dxa"/>
            <w:gridSpan w:val="2"/>
            <w:tcBorders>
              <w:top w:val="nil"/>
              <w:left w:val="nil"/>
              <w:bottom w:val="nil"/>
              <w:right w:val="nil"/>
            </w:tcBorders>
            <w:shd w:val="clear" w:color="auto" w:fill="auto"/>
            <w:noWrap/>
            <w:vAlign w:val="bottom"/>
            <w:hideMark/>
          </w:tcPr>
          <w:p w14:paraId="5271198C" w14:textId="77777777" w:rsidR="00A3647E" w:rsidRPr="00205C60" w:rsidRDefault="00A3647E" w:rsidP="00A3647E">
            <w:pPr>
              <w:rPr>
                <w:rFonts w:ascii="Verdana" w:hAnsi="Verdana"/>
                <w:sz w:val="22"/>
                <w:szCs w:val="22"/>
                <w:lang w:val="es-CR"/>
              </w:rPr>
            </w:pPr>
          </w:p>
        </w:tc>
        <w:tc>
          <w:tcPr>
            <w:tcW w:w="4144" w:type="dxa"/>
            <w:gridSpan w:val="10"/>
            <w:tcBorders>
              <w:top w:val="nil"/>
              <w:left w:val="nil"/>
              <w:right w:val="nil"/>
            </w:tcBorders>
            <w:shd w:val="clear" w:color="auto" w:fill="auto"/>
            <w:noWrap/>
            <w:vAlign w:val="bottom"/>
          </w:tcPr>
          <w:p w14:paraId="57EDE13B" w14:textId="77777777" w:rsidR="00A3647E" w:rsidRPr="00205C60" w:rsidRDefault="00A3647E" w:rsidP="00A3647E">
            <w:pPr>
              <w:jc w:val="center"/>
              <w:rPr>
                <w:rFonts w:ascii="Verdana" w:hAnsi="Verdana"/>
                <w:color w:val="000000"/>
                <w:sz w:val="22"/>
                <w:szCs w:val="22"/>
                <w:u w:val="single"/>
                <w:lang w:val="en-US"/>
              </w:rPr>
            </w:pPr>
          </w:p>
        </w:tc>
      </w:tr>
      <w:tr w:rsidR="00A3647E" w:rsidRPr="00205C60" w14:paraId="3AB41590" w14:textId="77777777" w:rsidTr="00A446B2">
        <w:trPr>
          <w:trHeight w:val="32"/>
        </w:trPr>
        <w:tc>
          <w:tcPr>
            <w:tcW w:w="4528" w:type="dxa"/>
            <w:tcBorders>
              <w:top w:val="nil"/>
              <w:left w:val="nil"/>
              <w:bottom w:val="nil"/>
              <w:right w:val="nil"/>
            </w:tcBorders>
            <w:shd w:val="clear" w:color="auto" w:fill="auto"/>
            <w:noWrap/>
            <w:vAlign w:val="bottom"/>
          </w:tcPr>
          <w:p w14:paraId="02ECC230" w14:textId="77777777" w:rsidR="004E5327" w:rsidRPr="00205C60" w:rsidRDefault="004E5327" w:rsidP="00A3647E">
            <w:pPr>
              <w:ind w:left="702" w:right="-118" w:hanging="702"/>
              <w:rPr>
                <w:rFonts w:ascii="Verdana" w:hAnsi="Verdana"/>
                <w:color w:val="000000"/>
                <w:sz w:val="22"/>
                <w:szCs w:val="22"/>
                <w:u w:val="single"/>
              </w:rPr>
            </w:pPr>
          </w:p>
          <w:p w14:paraId="38BF49CF" w14:textId="77777777" w:rsidR="004E5327" w:rsidRPr="00205C60" w:rsidRDefault="004E5327" w:rsidP="00A3647E">
            <w:pPr>
              <w:ind w:left="702" w:right="-118" w:hanging="702"/>
              <w:rPr>
                <w:rFonts w:ascii="Verdana" w:hAnsi="Verdana"/>
                <w:color w:val="000000"/>
                <w:sz w:val="22"/>
                <w:szCs w:val="22"/>
                <w:u w:val="single"/>
              </w:rPr>
            </w:pPr>
          </w:p>
          <w:p w14:paraId="37F78A4B" w14:textId="77777777" w:rsidR="004E5327" w:rsidRPr="00205C60" w:rsidRDefault="004E5327" w:rsidP="00A3647E">
            <w:pPr>
              <w:ind w:left="702" w:right="-118" w:hanging="702"/>
              <w:rPr>
                <w:rFonts w:ascii="Verdana" w:hAnsi="Verdana"/>
                <w:color w:val="000000"/>
                <w:sz w:val="22"/>
                <w:szCs w:val="22"/>
                <w:u w:val="single"/>
              </w:rPr>
            </w:pPr>
          </w:p>
          <w:p w14:paraId="2CCE65CE" w14:textId="77777777" w:rsidR="004E5327" w:rsidRPr="00205C60" w:rsidRDefault="004E5327" w:rsidP="00A3647E">
            <w:pPr>
              <w:ind w:left="702" w:right="-118" w:hanging="702"/>
              <w:rPr>
                <w:rFonts w:ascii="Verdana" w:hAnsi="Verdana"/>
                <w:color w:val="000000"/>
                <w:sz w:val="22"/>
                <w:szCs w:val="22"/>
                <w:u w:val="single"/>
              </w:rPr>
            </w:pPr>
          </w:p>
          <w:p w14:paraId="33A273C6" w14:textId="2E812DFF" w:rsidR="00A3647E" w:rsidRPr="00205C60" w:rsidRDefault="00A3647E" w:rsidP="00A3647E">
            <w:pPr>
              <w:ind w:left="702" w:right="-118" w:hanging="702"/>
              <w:rPr>
                <w:rFonts w:ascii="Verdana" w:hAnsi="Verdana"/>
                <w:color w:val="000000"/>
                <w:sz w:val="22"/>
                <w:szCs w:val="22"/>
                <w:u w:val="single"/>
                <w:lang w:val="es-CR"/>
              </w:rPr>
            </w:pPr>
            <w:r w:rsidRPr="00205C60">
              <w:rPr>
                <w:rFonts w:ascii="Verdana" w:hAnsi="Verdana"/>
                <w:color w:val="000000"/>
                <w:sz w:val="22"/>
                <w:szCs w:val="22"/>
                <w:u w:val="single"/>
              </w:rPr>
              <w:t>Depósitos de garantía por pagar:</w:t>
            </w:r>
          </w:p>
        </w:tc>
        <w:tc>
          <w:tcPr>
            <w:tcW w:w="411" w:type="dxa"/>
            <w:gridSpan w:val="2"/>
            <w:tcBorders>
              <w:left w:val="nil"/>
              <w:bottom w:val="nil"/>
              <w:right w:val="nil"/>
            </w:tcBorders>
            <w:shd w:val="clear" w:color="auto" w:fill="auto"/>
            <w:noWrap/>
            <w:vAlign w:val="bottom"/>
          </w:tcPr>
          <w:p w14:paraId="7A403D2E" w14:textId="77777777" w:rsidR="00A3647E" w:rsidRPr="00205C60" w:rsidRDefault="00A3647E" w:rsidP="00A3647E">
            <w:pPr>
              <w:rPr>
                <w:rFonts w:ascii="Verdana" w:hAnsi="Verdana"/>
                <w:color w:val="000000"/>
                <w:sz w:val="22"/>
                <w:szCs w:val="22"/>
                <w:lang w:val="es-CR"/>
              </w:rPr>
            </w:pPr>
          </w:p>
        </w:tc>
        <w:tc>
          <w:tcPr>
            <w:tcW w:w="1329" w:type="dxa"/>
            <w:gridSpan w:val="2"/>
            <w:tcBorders>
              <w:left w:val="nil"/>
              <w:right w:val="nil"/>
            </w:tcBorders>
            <w:shd w:val="clear" w:color="auto" w:fill="auto"/>
            <w:noWrap/>
            <w:vAlign w:val="bottom"/>
          </w:tcPr>
          <w:p w14:paraId="0D780E24" w14:textId="77777777" w:rsidR="00A3647E" w:rsidRPr="00205C60" w:rsidRDefault="00A3647E" w:rsidP="00A3647E">
            <w:pPr>
              <w:ind w:left="-74"/>
              <w:jc w:val="right"/>
              <w:rPr>
                <w:rFonts w:ascii="Verdana" w:hAnsi="Verdana"/>
                <w:color w:val="000000"/>
                <w:sz w:val="22"/>
                <w:szCs w:val="22"/>
                <w:lang w:val="es-CR"/>
              </w:rPr>
            </w:pPr>
          </w:p>
        </w:tc>
        <w:tc>
          <w:tcPr>
            <w:tcW w:w="824" w:type="dxa"/>
            <w:gridSpan w:val="4"/>
            <w:tcBorders>
              <w:left w:val="nil"/>
              <w:right w:val="nil"/>
            </w:tcBorders>
            <w:shd w:val="clear" w:color="auto" w:fill="auto"/>
            <w:noWrap/>
            <w:vAlign w:val="bottom"/>
          </w:tcPr>
          <w:p w14:paraId="51C33B71" w14:textId="77777777" w:rsidR="00A3647E" w:rsidRPr="00205C60" w:rsidRDefault="00A3647E" w:rsidP="00A3647E">
            <w:pPr>
              <w:jc w:val="right"/>
              <w:rPr>
                <w:rFonts w:ascii="Verdana" w:hAnsi="Verdana"/>
                <w:color w:val="000000"/>
                <w:sz w:val="22"/>
                <w:szCs w:val="22"/>
                <w:lang w:val="es-CR"/>
              </w:rPr>
            </w:pPr>
          </w:p>
        </w:tc>
        <w:tc>
          <w:tcPr>
            <w:tcW w:w="2308" w:type="dxa"/>
            <w:gridSpan w:val="6"/>
            <w:tcBorders>
              <w:left w:val="nil"/>
              <w:right w:val="nil"/>
            </w:tcBorders>
            <w:shd w:val="clear" w:color="auto" w:fill="auto"/>
            <w:noWrap/>
            <w:vAlign w:val="bottom"/>
          </w:tcPr>
          <w:p w14:paraId="49CC3903" w14:textId="77777777" w:rsidR="00A3647E" w:rsidRPr="00205C60" w:rsidRDefault="00A3647E" w:rsidP="00A3647E">
            <w:pPr>
              <w:ind w:left="-74"/>
              <w:jc w:val="right"/>
              <w:rPr>
                <w:rFonts w:ascii="Verdana" w:hAnsi="Verdana"/>
                <w:color w:val="000000"/>
                <w:sz w:val="22"/>
                <w:szCs w:val="22"/>
                <w:lang w:val="es-CR"/>
              </w:rPr>
            </w:pPr>
          </w:p>
        </w:tc>
      </w:tr>
      <w:tr w:rsidR="005931F1" w:rsidRPr="00205C60" w14:paraId="48DB40F5" w14:textId="77777777" w:rsidTr="00A446B2">
        <w:trPr>
          <w:trHeight w:val="19"/>
        </w:trPr>
        <w:tc>
          <w:tcPr>
            <w:tcW w:w="4528" w:type="dxa"/>
            <w:tcBorders>
              <w:top w:val="nil"/>
              <w:left w:val="nil"/>
              <w:bottom w:val="nil"/>
              <w:right w:val="nil"/>
            </w:tcBorders>
            <w:shd w:val="clear" w:color="auto" w:fill="auto"/>
            <w:noWrap/>
            <w:vAlign w:val="bottom"/>
          </w:tcPr>
          <w:p w14:paraId="29ABF740" w14:textId="77777777" w:rsidR="005931F1" w:rsidRPr="00205C60" w:rsidRDefault="005931F1" w:rsidP="005931F1">
            <w:pPr>
              <w:ind w:left="702" w:right="-118" w:hanging="702"/>
              <w:rPr>
                <w:rFonts w:ascii="Verdana" w:hAnsi="Verdana"/>
                <w:color w:val="000000"/>
                <w:sz w:val="22"/>
                <w:szCs w:val="22"/>
                <w:u w:val="single"/>
              </w:rPr>
            </w:pPr>
            <w:r w:rsidRPr="00205C60">
              <w:rPr>
                <w:rFonts w:ascii="Verdana" w:hAnsi="Verdana"/>
                <w:color w:val="000000"/>
                <w:sz w:val="22"/>
                <w:szCs w:val="22"/>
                <w:lang w:val="es-CR"/>
              </w:rPr>
              <w:t>Instituto Costarricense de Electricidad (ICE) (c)</w:t>
            </w:r>
          </w:p>
        </w:tc>
        <w:tc>
          <w:tcPr>
            <w:tcW w:w="411" w:type="dxa"/>
            <w:gridSpan w:val="2"/>
            <w:tcBorders>
              <w:top w:val="nil"/>
              <w:left w:val="nil"/>
              <w:bottom w:val="nil"/>
              <w:right w:val="nil"/>
            </w:tcBorders>
            <w:shd w:val="clear" w:color="auto" w:fill="auto"/>
            <w:noWrap/>
            <w:vAlign w:val="bottom"/>
          </w:tcPr>
          <w:p w14:paraId="45392618" w14:textId="77777777" w:rsidR="005931F1" w:rsidRPr="00205C60" w:rsidRDefault="005931F1" w:rsidP="005931F1">
            <w:pPr>
              <w:rPr>
                <w:rFonts w:ascii="Verdana" w:hAnsi="Verdana"/>
                <w:color w:val="000000"/>
                <w:sz w:val="22"/>
                <w:szCs w:val="22"/>
                <w:lang w:val="es-CR"/>
              </w:rPr>
            </w:pPr>
          </w:p>
        </w:tc>
        <w:tc>
          <w:tcPr>
            <w:tcW w:w="1329" w:type="dxa"/>
            <w:gridSpan w:val="2"/>
            <w:tcBorders>
              <w:left w:val="nil"/>
              <w:right w:val="nil"/>
            </w:tcBorders>
            <w:shd w:val="clear" w:color="auto" w:fill="auto"/>
            <w:noWrap/>
            <w:vAlign w:val="bottom"/>
          </w:tcPr>
          <w:p w14:paraId="3C774A60" w14:textId="54D6092F" w:rsidR="005931F1" w:rsidRPr="00205C60" w:rsidRDefault="005931F1" w:rsidP="005931F1">
            <w:pPr>
              <w:ind w:left="-74"/>
              <w:jc w:val="right"/>
              <w:rPr>
                <w:rFonts w:ascii="Verdana" w:hAnsi="Verdana"/>
                <w:color w:val="000000"/>
                <w:sz w:val="22"/>
                <w:szCs w:val="22"/>
                <w:lang w:val="es-CR"/>
              </w:rPr>
            </w:pPr>
            <w:r w:rsidRPr="00205C60">
              <w:rPr>
                <w:rFonts w:ascii="Verdana" w:hAnsi="Verdana"/>
                <w:color w:val="000000"/>
                <w:sz w:val="22"/>
                <w:szCs w:val="22"/>
                <w:lang w:val="es-CR"/>
              </w:rPr>
              <w:t>15.075</w:t>
            </w:r>
          </w:p>
        </w:tc>
        <w:tc>
          <w:tcPr>
            <w:tcW w:w="824" w:type="dxa"/>
            <w:gridSpan w:val="4"/>
            <w:tcBorders>
              <w:left w:val="nil"/>
              <w:right w:val="nil"/>
            </w:tcBorders>
            <w:shd w:val="clear" w:color="auto" w:fill="auto"/>
            <w:noWrap/>
            <w:vAlign w:val="bottom"/>
          </w:tcPr>
          <w:p w14:paraId="476D0EAE" w14:textId="77777777" w:rsidR="005931F1" w:rsidRPr="00205C60" w:rsidRDefault="005931F1" w:rsidP="005931F1">
            <w:pPr>
              <w:jc w:val="right"/>
              <w:rPr>
                <w:rFonts w:ascii="Verdana" w:hAnsi="Verdana"/>
                <w:color w:val="000000"/>
                <w:sz w:val="22"/>
                <w:szCs w:val="22"/>
                <w:lang w:val="es-CR"/>
              </w:rPr>
            </w:pPr>
          </w:p>
        </w:tc>
        <w:tc>
          <w:tcPr>
            <w:tcW w:w="2308" w:type="dxa"/>
            <w:gridSpan w:val="6"/>
            <w:tcBorders>
              <w:left w:val="nil"/>
              <w:right w:val="nil"/>
            </w:tcBorders>
            <w:shd w:val="clear" w:color="auto" w:fill="auto"/>
            <w:noWrap/>
            <w:vAlign w:val="bottom"/>
          </w:tcPr>
          <w:p w14:paraId="3DD8FFD4" w14:textId="2DB698EC" w:rsidR="005931F1" w:rsidRPr="00205C60" w:rsidRDefault="005931F1" w:rsidP="005931F1">
            <w:pPr>
              <w:ind w:left="-74"/>
              <w:jc w:val="right"/>
              <w:rPr>
                <w:rFonts w:ascii="Verdana" w:hAnsi="Verdana"/>
                <w:color w:val="000000"/>
                <w:sz w:val="22"/>
                <w:szCs w:val="22"/>
                <w:lang w:val="es-CR"/>
              </w:rPr>
            </w:pPr>
            <w:r w:rsidRPr="00205C60">
              <w:rPr>
                <w:rFonts w:ascii="Verdana" w:hAnsi="Verdana"/>
                <w:color w:val="000000"/>
                <w:sz w:val="22"/>
                <w:szCs w:val="22"/>
                <w:lang w:val="es-CR"/>
              </w:rPr>
              <w:t>15.075</w:t>
            </w:r>
          </w:p>
        </w:tc>
      </w:tr>
      <w:tr w:rsidR="005931F1" w:rsidRPr="00205C60" w14:paraId="648F44A6" w14:textId="77777777" w:rsidTr="00A446B2">
        <w:trPr>
          <w:trHeight w:val="19"/>
        </w:trPr>
        <w:tc>
          <w:tcPr>
            <w:tcW w:w="4528" w:type="dxa"/>
            <w:tcBorders>
              <w:top w:val="nil"/>
              <w:left w:val="nil"/>
              <w:bottom w:val="nil"/>
              <w:right w:val="nil"/>
            </w:tcBorders>
            <w:shd w:val="clear" w:color="auto" w:fill="auto"/>
            <w:noWrap/>
            <w:vAlign w:val="bottom"/>
          </w:tcPr>
          <w:p w14:paraId="1E57C1C9" w14:textId="77777777" w:rsidR="005931F1" w:rsidRPr="00205C60" w:rsidRDefault="005931F1" w:rsidP="005931F1">
            <w:pPr>
              <w:ind w:left="702" w:right="-118" w:hanging="702"/>
              <w:rPr>
                <w:rFonts w:ascii="Verdana" w:hAnsi="Verdana"/>
                <w:color w:val="000000"/>
                <w:sz w:val="22"/>
                <w:szCs w:val="22"/>
                <w:lang w:val="es-CR"/>
              </w:rPr>
            </w:pPr>
            <w:r w:rsidRPr="00205C60">
              <w:rPr>
                <w:rFonts w:ascii="Verdana" w:hAnsi="Verdana"/>
                <w:color w:val="000000"/>
                <w:sz w:val="22"/>
                <w:szCs w:val="22"/>
                <w:lang w:val="es-CR"/>
              </w:rPr>
              <w:t>Radiográfica Costarricense, S.A. (RACSA) (c)</w:t>
            </w:r>
          </w:p>
        </w:tc>
        <w:tc>
          <w:tcPr>
            <w:tcW w:w="411" w:type="dxa"/>
            <w:gridSpan w:val="2"/>
            <w:tcBorders>
              <w:top w:val="nil"/>
              <w:left w:val="nil"/>
              <w:bottom w:val="nil"/>
              <w:right w:val="nil"/>
            </w:tcBorders>
            <w:shd w:val="clear" w:color="auto" w:fill="auto"/>
            <w:noWrap/>
            <w:vAlign w:val="bottom"/>
          </w:tcPr>
          <w:p w14:paraId="27B1FA23" w14:textId="77777777" w:rsidR="005931F1" w:rsidRPr="00205C60" w:rsidRDefault="005931F1" w:rsidP="005931F1">
            <w:pPr>
              <w:rPr>
                <w:rFonts w:ascii="Verdana" w:hAnsi="Verdana"/>
                <w:color w:val="000000"/>
                <w:sz w:val="22"/>
                <w:szCs w:val="22"/>
                <w:lang w:val="es-CR"/>
              </w:rPr>
            </w:pPr>
          </w:p>
        </w:tc>
        <w:tc>
          <w:tcPr>
            <w:tcW w:w="1329" w:type="dxa"/>
            <w:gridSpan w:val="2"/>
            <w:tcBorders>
              <w:left w:val="nil"/>
              <w:right w:val="nil"/>
            </w:tcBorders>
            <w:shd w:val="clear" w:color="auto" w:fill="auto"/>
            <w:noWrap/>
            <w:vAlign w:val="bottom"/>
          </w:tcPr>
          <w:p w14:paraId="71D5DA71" w14:textId="6E7DBD79" w:rsidR="005931F1" w:rsidRPr="00205C60" w:rsidRDefault="005931F1" w:rsidP="005931F1">
            <w:pPr>
              <w:jc w:val="right"/>
              <w:rPr>
                <w:rFonts w:ascii="Verdana" w:hAnsi="Verdana"/>
                <w:sz w:val="22"/>
                <w:szCs w:val="22"/>
              </w:rPr>
            </w:pPr>
            <w:r w:rsidRPr="00205C60">
              <w:rPr>
                <w:rFonts w:ascii="Verdana" w:hAnsi="Verdana"/>
                <w:sz w:val="22"/>
                <w:szCs w:val="22"/>
              </w:rPr>
              <w:t>8.</w:t>
            </w:r>
            <w:r w:rsidR="003A7C53" w:rsidRPr="00205C60">
              <w:rPr>
                <w:rFonts w:ascii="Verdana" w:hAnsi="Verdana"/>
                <w:sz w:val="22"/>
                <w:szCs w:val="22"/>
              </w:rPr>
              <w:t>970</w:t>
            </w:r>
          </w:p>
        </w:tc>
        <w:tc>
          <w:tcPr>
            <w:tcW w:w="824" w:type="dxa"/>
            <w:gridSpan w:val="4"/>
            <w:tcBorders>
              <w:left w:val="nil"/>
              <w:right w:val="nil"/>
            </w:tcBorders>
            <w:shd w:val="clear" w:color="auto" w:fill="auto"/>
            <w:noWrap/>
            <w:vAlign w:val="bottom"/>
          </w:tcPr>
          <w:p w14:paraId="342A1710" w14:textId="77777777" w:rsidR="005931F1" w:rsidRPr="00205C60" w:rsidRDefault="005931F1" w:rsidP="005931F1">
            <w:pPr>
              <w:jc w:val="right"/>
              <w:rPr>
                <w:rFonts w:ascii="Verdana" w:hAnsi="Verdana"/>
                <w:color w:val="000000"/>
                <w:sz w:val="22"/>
                <w:szCs w:val="22"/>
                <w:lang w:val="es-CR"/>
              </w:rPr>
            </w:pPr>
          </w:p>
        </w:tc>
        <w:tc>
          <w:tcPr>
            <w:tcW w:w="2308" w:type="dxa"/>
            <w:gridSpan w:val="6"/>
            <w:tcBorders>
              <w:left w:val="nil"/>
              <w:right w:val="nil"/>
            </w:tcBorders>
            <w:shd w:val="clear" w:color="auto" w:fill="auto"/>
            <w:noWrap/>
            <w:vAlign w:val="bottom"/>
          </w:tcPr>
          <w:p w14:paraId="4DC39DF3" w14:textId="3CB13FBB" w:rsidR="005931F1" w:rsidRPr="00205C60" w:rsidRDefault="005931F1" w:rsidP="005931F1">
            <w:pPr>
              <w:jc w:val="right"/>
              <w:rPr>
                <w:rFonts w:ascii="Verdana" w:hAnsi="Verdana"/>
                <w:sz w:val="22"/>
                <w:szCs w:val="22"/>
              </w:rPr>
            </w:pPr>
            <w:r w:rsidRPr="00205C60">
              <w:rPr>
                <w:rFonts w:ascii="Verdana" w:hAnsi="Verdana"/>
                <w:sz w:val="22"/>
                <w:szCs w:val="22"/>
              </w:rPr>
              <w:t>8.706</w:t>
            </w:r>
          </w:p>
        </w:tc>
      </w:tr>
      <w:tr w:rsidR="005931F1" w:rsidRPr="00205C60" w14:paraId="10E71ECD" w14:textId="77777777" w:rsidTr="00A446B2">
        <w:trPr>
          <w:trHeight w:val="19"/>
        </w:trPr>
        <w:tc>
          <w:tcPr>
            <w:tcW w:w="4528" w:type="dxa"/>
            <w:tcBorders>
              <w:top w:val="nil"/>
              <w:left w:val="nil"/>
              <w:bottom w:val="nil"/>
              <w:right w:val="nil"/>
            </w:tcBorders>
            <w:shd w:val="clear" w:color="auto" w:fill="auto"/>
            <w:noWrap/>
            <w:vAlign w:val="bottom"/>
          </w:tcPr>
          <w:p w14:paraId="6749782F" w14:textId="77777777" w:rsidR="005931F1" w:rsidRPr="00205C60" w:rsidRDefault="005931F1" w:rsidP="005931F1">
            <w:pPr>
              <w:ind w:left="702" w:right="-118" w:hanging="702"/>
              <w:rPr>
                <w:rFonts w:ascii="Verdana" w:hAnsi="Verdana"/>
                <w:color w:val="000000"/>
                <w:sz w:val="22"/>
                <w:szCs w:val="22"/>
              </w:rPr>
            </w:pPr>
          </w:p>
        </w:tc>
        <w:tc>
          <w:tcPr>
            <w:tcW w:w="411" w:type="dxa"/>
            <w:gridSpan w:val="2"/>
            <w:tcBorders>
              <w:top w:val="nil"/>
              <w:left w:val="nil"/>
              <w:bottom w:val="nil"/>
              <w:right w:val="nil"/>
            </w:tcBorders>
            <w:shd w:val="clear" w:color="auto" w:fill="auto"/>
            <w:noWrap/>
            <w:vAlign w:val="bottom"/>
          </w:tcPr>
          <w:p w14:paraId="089481CA" w14:textId="77777777" w:rsidR="005931F1" w:rsidRPr="00205C60" w:rsidRDefault="005931F1" w:rsidP="005931F1">
            <w:pPr>
              <w:rPr>
                <w:rFonts w:ascii="Verdana" w:hAnsi="Verdana"/>
                <w:color w:val="000000"/>
                <w:sz w:val="22"/>
                <w:szCs w:val="22"/>
                <w:lang w:val="es-CR"/>
              </w:rPr>
            </w:pPr>
          </w:p>
        </w:tc>
        <w:tc>
          <w:tcPr>
            <w:tcW w:w="1329" w:type="dxa"/>
            <w:gridSpan w:val="2"/>
            <w:tcBorders>
              <w:top w:val="single" w:sz="4" w:space="0" w:color="auto"/>
              <w:left w:val="nil"/>
              <w:right w:val="nil"/>
            </w:tcBorders>
            <w:shd w:val="clear" w:color="auto" w:fill="auto"/>
            <w:noWrap/>
            <w:vAlign w:val="bottom"/>
          </w:tcPr>
          <w:p w14:paraId="4443C646" w14:textId="65579FD5" w:rsidR="005931F1" w:rsidRPr="00205C60" w:rsidRDefault="005931F1" w:rsidP="005931F1">
            <w:pPr>
              <w:jc w:val="right"/>
              <w:rPr>
                <w:rFonts w:ascii="Verdana" w:hAnsi="Verdana"/>
                <w:sz w:val="22"/>
                <w:szCs w:val="22"/>
              </w:rPr>
            </w:pPr>
            <w:r w:rsidRPr="00205C60">
              <w:rPr>
                <w:rFonts w:ascii="Verdana" w:hAnsi="Verdana"/>
                <w:sz w:val="22"/>
                <w:szCs w:val="22"/>
              </w:rPr>
              <w:t>2</w:t>
            </w:r>
            <w:r w:rsidR="003A7C53" w:rsidRPr="00205C60">
              <w:rPr>
                <w:rFonts w:ascii="Verdana" w:hAnsi="Verdana"/>
                <w:sz w:val="22"/>
                <w:szCs w:val="22"/>
              </w:rPr>
              <w:t>4</w:t>
            </w:r>
            <w:r w:rsidRPr="00205C60">
              <w:rPr>
                <w:rFonts w:ascii="Verdana" w:hAnsi="Verdana"/>
                <w:sz w:val="22"/>
                <w:szCs w:val="22"/>
              </w:rPr>
              <w:t>.</w:t>
            </w:r>
            <w:r w:rsidR="003A7C53" w:rsidRPr="00205C60">
              <w:rPr>
                <w:rFonts w:ascii="Verdana" w:hAnsi="Verdana"/>
                <w:sz w:val="22"/>
                <w:szCs w:val="22"/>
              </w:rPr>
              <w:t>045</w:t>
            </w:r>
          </w:p>
        </w:tc>
        <w:tc>
          <w:tcPr>
            <w:tcW w:w="824" w:type="dxa"/>
            <w:gridSpan w:val="4"/>
            <w:tcBorders>
              <w:left w:val="nil"/>
              <w:right w:val="nil"/>
            </w:tcBorders>
            <w:shd w:val="clear" w:color="auto" w:fill="auto"/>
            <w:noWrap/>
            <w:vAlign w:val="bottom"/>
          </w:tcPr>
          <w:p w14:paraId="771A457E" w14:textId="77777777" w:rsidR="005931F1" w:rsidRPr="00205C60" w:rsidRDefault="005931F1" w:rsidP="005931F1">
            <w:pPr>
              <w:jc w:val="right"/>
              <w:rPr>
                <w:rFonts w:ascii="Verdana" w:hAnsi="Verdana"/>
                <w:color w:val="000000"/>
                <w:sz w:val="22"/>
                <w:szCs w:val="22"/>
                <w:lang w:val="es-CR"/>
              </w:rPr>
            </w:pPr>
          </w:p>
        </w:tc>
        <w:tc>
          <w:tcPr>
            <w:tcW w:w="2308" w:type="dxa"/>
            <w:gridSpan w:val="6"/>
            <w:tcBorders>
              <w:top w:val="single" w:sz="4" w:space="0" w:color="auto"/>
              <w:left w:val="nil"/>
              <w:right w:val="nil"/>
            </w:tcBorders>
            <w:shd w:val="clear" w:color="auto" w:fill="auto"/>
            <w:noWrap/>
            <w:vAlign w:val="bottom"/>
          </w:tcPr>
          <w:p w14:paraId="45E8D95A" w14:textId="0F9CA2A7" w:rsidR="005931F1" w:rsidRPr="00205C60" w:rsidRDefault="005931F1" w:rsidP="005931F1">
            <w:pPr>
              <w:jc w:val="right"/>
              <w:rPr>
                <w:rFonts w:ascii="Verdana" w:hAnsi="Verdana"/>
                <w:sz w:val="22"/>
                <w:szCs w:val="22"/>
              </w:rPr>
            </w:pPr>
            <w:r w:rsidRPr="00205C60">
              <w:rPr>
                <w:rFonts w:ascii="Verdana" w:hAnsi="Verdana"/>
                <w:sz w:val="22"/>
                <w:szCs w:val="22"/>
              </w:rPr>
              <w:t>23.781</w:t>
            </w:r>
          </w:p>
        </w:tc>
      </w:tr>
      <w:tr w:rsidR="00A3647E" w:rsidRPr="00205C60" w14:paraId="342AFE5E" w14:textId="77777777" w:rsidTr="00A446B2">
        <w:trPr>
          <w:trHeight w:val="400"/>
        </w:trPr>
        <w:tc>
          <w:tcPr>
            <w:tcW w:w="4528" w:type="dxa"/>
            <w:tcBorders>
              <w:top w:val="nil"/>
              <w:left w:val="nil"/>
              <w:bottom w:val="nil"/>
              <w:right w:val="nil"/>
            </w:tcBorders>
            <w:shd w:val="clear" w:color="auto" w:fill="auto"/>
            <w:noWrap/>
            <w:vAlign w:val="bottom"/>
          </w:tcPr>
          <w:p w14:paraId="0D954E6E" w14:textId="77777777" w:rsidR="00A3647E" w:rsidRPr="00205C60" w:rsidRDefault="00A3647E" w:rsidP="00A3647E">
            <w:pPr>
              <w:ind w:left="702" w:right="-118" w:hanging="702"/>
              <w:rPr>
                <w:rFonts w:ascii="Verdana" w:hAnsi="Verdana"/>
                <w:color w:val="000000"/>
                <w:sz w:val="22"/>
                <w:szCs w:val="22"/>
                <w:u w:val="single"/>
                <w:lang w:val="es-CR"/>
              </w:rPr>
            </w:pPr>
            <w:r w:rsidRPr="00205C60">
              <w:rPr>
                <w:rFonts w:ascii="Verdana" w:hAnsi="Verdana"/>
                <w:color w:val="000000"/>
                <w:sz w:val="22"/>
                <w:szCs w:val="22"/>
                <w:u w:val="single"/>
              </w:rPr>
              <w:t>Deuda</w:t>
            </w:r>
          </w:p>
        </w:tc>
        <w:tc>
          <w:tcPr>
            <w:tcW w:w="411" w:type="dxa"/>
            <w:gridSpan w:val="2"/>
            <w:tcBorders>
              <w:top w:val="nil"/>
              <w:left w:val="nil"/>
              <w:bottom w:val="nil"/>
              <w:right w:val="nil"/>
            </w:tcBorders>
            <w:shd w:val="clear" w:color="auto" w:fill="auto"/>
            <w:noWrap/>
            <w:vAlign w:val="bottom"/>
          </w:tcPr>
          <w:p w14:paraId="33EE8F07" w14:textId="77777777" w:rsidR="00A3647E" w:rsidRPr="00205C60" w:rsidRDefault="00A3647E" w:rsidP="00A3647E">
            <w:pPr>
              <w:rPr>
                <w:rFonts w:ascii="Verdana" w:hAnsi="Verdana"/>
                <w:color w:val="000000"/>
                <w:sz w:val="22"/>
                <w:szCs w:val="22"/>
                <w:lang w:val="es-CR"/>
              </w:rPr>
            </w:pPr>
          </w:p>
        </w:tc>
        <w:tc>
          <w:tcPr>
            <w:tcW w:w="1329" w:type="dxa"/>
            <w:gridSpan w:val="2"/>
            <w:tcBorders>
              <w:top w:val="double" w:sz="4" w:space="0" w:color="auto"/>
              <w:left w:val="nil"/>
              <w:right w:val="nil"/>
            </w:tcBorders>
            <w:shd w:val="clear" w:color="auto" w:fill="auto"/>
            <w:noWrap/>
            <w:vAlign w:val="bottom"/>
          </w:tcPr>
          <w:p w14:paraId="61F1DACE" w14:textId="77777777" w:rsidR="00A3647E" w:rsidRPr="00205C60" w:rsidRDefault="00A3647E" w:rsidP="00A3647E">
            <w:pPr>
              <w:ind w:left="-74"/>
              <w:jc w:val="right"/>
              <w:rPr>
                <w:rFonts w:ascii="Verdana" w:hAnsi="Verdana"/>
                <w:color w:val="000000"/>
                <w:sz w:val="22"/>
                <w:szCs w:val="22"/>
                <w:lang w:val="es-CR"/>
              </w:rPr>
            </w:pPr>
          </w:p>
        </w:tc>
        <w:tc>
          <w:tcPr>
            <w:tcW w:w="824" w:type="dxa"/>
            <w:gridSpan w:val="4"/>
            <w:tcBorders>
              <w:left w:val="nil"/>
              <w:right w:val="nil"/>
            </w:tcBorders>
            <w:shd w:val="clear" w:color="auto" w:fill="auto"/>
            <w:noWrap/>
            <w:vAlign w:val="bottom"/>
          </w:tcPr>
          <w:p w14:paraId="1663F3D2" w14:textId="77777777" w:rsidR="00A3647E" w:rsidRPr="00205C60" w:rsidRDefault="00A3647E" w:rsidP="00A3647E">
            <w:pPr>
              <w:jc w:val="right"/>
              <w:rPr>
                <w:rFonts w:ascii="Verdana" w:hAnsi="Verdana"/>
                <w:color w:val="000000"/>
                <w:sz w:val="22"/>
                <w:szCs w:val="22"/>
                <w:lang w:val="es-CR"/>
              </w:rPr>
            </w:pPr>
          </w:p>
        </w:tc>
        <w:tc>
          <w:tcPr>
            <w:tcW w:w="2308" w:type="dxa"/>
            <w:gridSpan w:val="6"/>
            <w:tcBorders>
              <w:top w:val="double" w:sz="4" w:space="0" w:color="auto"/>
              <w:left w:val="nil"/>
              <w:right w:val="nil"/>
            </w:tcBorders>
            <w:shd w:val="clear" w:color="auto" w:fill="auto"/>
            <w:noWrap/>
            <w:vAlign w:val="bottom"/>
          </w:tcPr>
          <w:p w14:paraId="138D70BF" w14:textId="77777777" w:rsidR="00A3647E" w:rsidRPr="00205C60" w:rsidRDefault="00A3647E" w:rsidP="00A3647E">
            <w:pPr>
              <w:ind w:left="-74"/>
              <w:jc w:val="right"/>
              <w:rPr>
                <w:rFonts w:ascii="Verdana" w:hAnsi="Verdana"/>
                <w:color w:val="000000"/>
                <w:sz w:val="22"/>
                <w:szCs w:val="22"/>
                <w:lang w:val="es-CR"/>
              </w:rPr>
            </w:pPr>
          </w:p>
        </w:tc>
      </w:tr>
      <w:tr w:rsidR="00A3647E" w:rsidRPr="00205C60" w14:paraId="799A26D6" w14:textId="77777777" w:rsidTr="00A446B2">
        <w:trPr>
          <w:trHeight w:val="68"/>
        </w:trPr>
        <w:tc>
          <w:tcPr>
            <w:tcW w:w="4528" w:type="dxa"/>
            <w:tcBorders>
              <w:top w:val="nil"/>
              <w:left w:val="nil"/>
              <w:bottom w:val="nil"/>
              <w:right w:val="nil"/>
            </w:tcBorders>
            <w:shd w:val="clear" w:color="auto" w:fill="auto"/>
            <w:noWrap/>
            <w:vAlign w:val="bottom"/>
          </w:tcPr>
          <w:p w14:paraId="706D31B7" w14:textId="77777777" w:rsidR="00A3647E" w:rsidRPr="00205C60" w:rsidRDefault="00A3647E" w:rsidP="00A3647E">
            <w:pPr>
              <w:ind w:left="702" w:right="-118" w:hanging="702"/>
              <w:rPr>
                <w:rFonts w:ascii="Verdana" w:hAnsi="Verdana"/>
                <w:color w:val="000000"/>
                <w:sz w:val="22"/>
                <w:szCs w:val="22"/>
                <w:lang w:val="es-CR"/>
              </w:rPr>
            </w:pPr>
            <w:r w:rsidRPr="00205C60">
              <w:rPr>
                <w:rFonts w:ascii="Verdana" w:hAnsi="Verdana"/>
                <w:color w:val="000000"/>
                <w:sz w:val="22"/>
                <w:szCs w:val="22"/>
                <w:lang w:val="es-CR"/>
              </w:rPr>
              <w:t>Instituto Costarricense de Electricidad (e)</w:t>
            </w:r>
          </w:p>
        </w:tc>
        <w:tc>
          <w:tcPr>
            <w:tcW w:w="411" w:type="dxa"/>
            <w:gridSpan w:val="2"/>
            <w:tcBorders>
              <w:top w:val="nil"/>
              <w:left w:val="nil"/>
              <w:bottom w:val="nil"/>
              <w:right w:val="nil"/>
            </w:tcBorders>
            <w:shd w:val="clear" w:color="auto" w:fill="auto"/>
            <w:noWrap/>
            <w:vAlign w:val="bottom"/>
          </w:tcPr>
          <w:p w14:paraId="281923F5" w14:textId="77777777" w:rsidR="00A3647E" w:rsidRPr="00205C60" w:rsidRDefault="00A3647E" w:rsidP="00A3647E">
            <w:pPr>
              <w:rPr>
                <w:rFonts w:ascii="Verdana" w:hAnsi="Verdana"/>
                <w:color w:val="000000"/>
                <w:sz w:val="22"/>
                <w:szCs w:val="22"/>
                <w:lang w:val="es-CR"/>
              </w:rPr>
            </w:pPr>
          </w:p>
        </w:tc>
        <w:tc>
          <w:tcPr>
            <w:tcW w:w="1329" w:type="dxa"/>
            <w:gridSpan w:val="2"/>
            <w:tcBorders>
              <w:left w:val="nil"/>
              <w:right w:val="nil"/>
            </w:tcBorders>
            <w:shd w:val="clear" w:color="auto" w:fill="auto"/>
            <w:noWrap/>
            <w:vAlign w:val="bottom"/>
          </w:tcPr>
          <w:p w14:paraId="678525D3" w14:textId="5BA69728" w:rsidR="00A3647E" w:rsidRPr="00205C60" w:rsidRDefault="00145D08" w:rsidP="00145D08">
            <w:pPr>
              <w:jc w:val="center"/>
              <w:rPr>
                <w:rFonts w:ascii="Verdana" w:hAnsi="Verdana"/>
                <w:sz w:val="22"/>
                <w:szCs w:val="22"/>
              </w:rPr>
            </w:pPr>
            <w:r w:rsidRPr="00205C60">
              <w:rPr>
                <w:rFonts w:ascii="Verdana" w:hAnsi="Verdana"/>
                <w:sz w:val="22"/>
                <w:szCs w:val="22"/>
              </w:rPr>
              <w:t>-</w:t>
            </w:r>
          </w:p>
        </w:tc>
        <w:tc>
          <w:tcPr>
            <w:tcW w:w="824" w:type="dxa"/>
            <w:gridSpan w:val="4"/>
            <w:tcBorders>
              <w:left w:val="nil"/>
              <w:right w:val="nil"/>
            </w:tcBorders>
            <w:shd w:val="clear" w:color="auto" w:fill="auto"/>
            <w:noWrap/>
            <w:vAlign w:val="bottom"/>
          </w:tcPr>
          <w:p w14:paraId="7A08F5DA" w14:textId="77777777" w:rsidR="00A3647E" w:rsidRPr="00205C60" w:rsidRDefault="00A3647E" w:rsidP="00A3647E">
            <w:pPr>
              <w:jc w:val="right"/>
              <w:rPr>
                <w:rFonts w:ascii="Verdana" w:hAnsi="Verdana"/>
                <w:color w:val="000000"/>
                <w:sz w:val="22"/>
                <w:szCs w:val="22"/>
                <w:lang w:val="es-CR"/>
              </w:rPr>
            </w:pPr>
          </w:p>
        </w:tc>
        <w:tc>
          <w:tcPr>
            <w:tcW w:w="2308" w:type="dxa"/>
            <w:gridSpan w:val="6"/>
            <w:tcBorders>
              <w:left w:val="nil"/>
              <w:right w:val="nil"/>
            </w:tcBorders>
            <w:shd w:val="clear" w:color="auto" w:fill="auto"/>
            <w:noWrap/>
            <w:vAlign w:val="bottom"/>
          </w:tcPr>
          <w:p w14:paraId="44CCA31B" w14:textId="6028359E" w:rsidR="00A3647E" w:rsidRPr="00205C60" w:rsidRDefault="00A509AC" w:rsidP="00A3647E">
            <w:pPr>
              <w:jc w:val="right"/>
              <w:rPr>
                <w:rFonts w:ascii="Verdana" w:hAnsi="Verdana"/>
                <w:sz w:val="22"/>
                <w:szCs w:val="22"/>
              </w:rPr>
            </w:pPr>
            <w:r w:rsidRPr="00205C60">
              <w:rPr>
                <w:rFonts w:ascii="Verdana" w:hAnsi="Verdana"/>
                <w:sz w:val="22"/>
                <w:szCs w:val="22"/>
              </w:rPr>
              <w:t>-</w:t>
            </w:r>
          </w:p>
        </w:tc>
      </w:tr>
      <w:tr w:rsidR="00A3647E" w:rsidRPr="00205C60" w14:paraId="5DAC7833" w14:textId="77777777" w:rsidTr="00A446B2">
        <w:trPr>
          <w:trHeight w:val="68"/>
        </w:trPr>
        <w:tc>
          <w:tcPr>
            <w:tcW w:w="4528" w:type="dxa"/>
            <w:tcBorders>
              <w:top w:val="nil"/>
              <w:left w:val="nil"/>
              <w:bottom w:val="nil"/>
              <w:right w:val="nil"/>
            </w:tcBorders>
            <w:shd w:val="clear" w:color="auto" w:fill="auto"/>
            <w:noWrap/>
            <w:vAlign w:val="bottom"/>
          </w:tcPr>
          <w:p w14:paraId="29D0CC64" w14:textId="77777777" w:rsidR="00A3647E" w:rsidRPr="00205C60" w:rsidRDefault="00A3647E" w:rsidP="00A3647E">
            <w:pPr>
              <w:ind w:left="702" w:hanging="702"/>
              <w:rPr>
                <w:rFonts w:ascii="Verdana" w:hAnsi="Verdana"/>
                <w:color w:val="000000"/>
                <w:sz w:val="22"/>
                <w:szCs w:val="22"/>
                <w:lang w:val="es-CR"/>
              </w:rPr>
            </w:pPr>
            <w:r w:rsidRPr="00205C60">
              <w:rPr>
                <w:rFonts w:ascii="Verdana" w:hAnsi="Verdana"/>
                <w:color w:val="000000"/>
                <w:sz w:val="22"/>
                <w:szCs w:val="22"/>
                <w:lang w:val="es-CR"/>
              </w:rPr>
              <w:t>Menos: porción corriente de la deuda (e)</w:t>
            </w:r>
          </w:p>
        </w:tc>
        <w:tc>
          <w:tcPr>
            <w:tcW w:w="411" w:type="dxa"/>
            <w:gridSpan w:val="2"/>
            <w:tcBorders>
              <w:top w:val="nil"/>
              <w:left w:val="nil"/>
              <w:bottom w:val="nil"/>
              <w:right w:val="nil"/>
            </w:tcBorders>
            <w:shd w:val="clear" w:color="auto" w:fill="auto"/>
            <w:noWrap/>
            <w:vAlign w:val="bottom"/>
          </w:tcPr>
          <w:p w14:paraId="4A3DDA7D" w14:textId="77777777" w:rsidR="00A3647E" w:rsidRPr="00205C60" w:rsidRDefault="00A3647E" w:rsidP="00A3647E">
            <w:pPr>
              <w:rPr>
                <w:rFonts w:ascii="Verdana" w:hAnsi="Verdana"/>
                <w:color w:val="000000"/>
                <w:sz w:val="22"/>
                <w:szCs w:val="22"/>
                <w:lang w:val="es-CR"/>
              </w:rPr>
            </w:pPr>
          </w:p>
        </w:tc>
        <w:tc>
          <w:tcPr>
            <w:tcW w:w="1329" w:type="dxa"/>
            <w:gridSpan w:val="2"/>
            <w:tcBorders>
              <w:left w:val="nil"/>
              <w:bottom w:val="single" w:sz="4" w:space="0" w:color="auto"/>
              <w:right w:val="nil"/>
            </w:tcBorders>
            <w:shd w:val="clear" w:color="auto" w:fill="auto"/>
            <w:noWrap/>
            <w:vAlign w:val="bottom"/>
          </w:tcPr>
          <w:p w14:paraId="41F3D629" w14:textId="77777777" w:rsidR="00A3647E" w:rsidRPr="00205C60" w:rsidRDefault="00A3647E" w:rsidP="00A3647E">
            <w:pPr>
              <w:jc w:val="center"/>
              <w:rPr>
                <w:rFonts w:ascii="Verdana" w:hAnsi="Verdana"/>
                <w:sz w:val="22"/>
                <w:szCs w:val="22"/>
              </w:rPr>
            </w:pPr>
            <w:r w:rsidRPr="00205C60">
              <w:rPr>
                <w:rFonts w:ascii="Verdana" w:hAnsi="Verdana"/>
                <w:sz w:val="22"/>
                <w:szCs w:val="22"/>
              </w:rPr>
              <w:t>-</w:t>
            </w:r>
          </w:p>
        </w:tc>
        <w:tc>
          <w:tcPr>
            <w:tcW w:w="824" w:type="dxa"/>
            <w:gridSpan w:val="4"/>
            <w:tcBorders>
              <w:left w:val="nil"/>
              <w:right w:val="nil"/>
            </w:tcBorders>
            <w:shd w:val="clear" w:color="auto" w:fill="auto"/>
            <w:noWrap/>
            <w:vAlign w:val="bottom"/>
          </w:tcPr>
          <w:p w14:paraId="426BBA30" w14:textId="77777777" w:rsidR="00A3647E" w:rsidRPr="00205C60" w:rsidRDefault="00A3647E" w:rsidP="00A3647E">
            <w:pPr>
              <w:jc w:val="right"/>
              <w:rPr>
                <w:rFonts w:ascii="Verdana" w:hAnsi="Verdana"/>
                <w:color w:val="000000"/>
                <w:sz w:val="22"/>
                <w:szCs w:val="22"/>
                <w:lang w:val="es-CR"/>
              </w:rPr>
            </w:pPr>
          </w:p>
        </w:tc>
        <w:tc>
          <w:tcPr>
            <w:tcW w:w="2308" w:type="dxa"/>
            <w:gridSpan w:val="6"/>
            <w:tcBorders>
              <w:left w:val="nil"/>
              <w:bottom w:val="single" w:sz="4" w:space="0" w:color="auto"/>
              <w:right w:val="nil"/>
            </w:tcBorders>
            <w:shd w:val="clear" w:color="auto" w:fill="auto"/>
            <w:noWrap/>
            <w:vAlign w:val="bottom"/>
          </w:tcPr>
          <w:p w14:paraId="39D28E5E" w14:textId="79BED325" w:rsidR="00A3647E" w:rsidRPr="00205C60" w:rsidRDefault="00A509AC" w:rsidP="00656287">
            <w:pPr>
              <w:jc w:val="center"/>
              <w:rPr>
                <w:rFonts w:ascii="Verdana" w:hAnsi="Verdana"/>
                <w:sz w:val="22"/>
                <w:szCs w:val="22"/>
              </w:rPr>
            </w:pPr>
            <w:r w:rsidRPr="00205C60">
              <w:rPr>
                <w:rFonts w:ascii="Verdana" w:hAnsi="Verdana"/>
                <w:sz w:val="22"/>
                <w:szCs w:val="22"/>
              </w:rPr>
              <w:t xml:space="preserve">                         </w:t>
            </w:r>
            <w:r w:rsidR="00656287" w:rsidRPr="00205C60">
              <w:rPr>
                <w:rFonts w:ascii="Verdana" w:hAnsi="Verdana"/>
                <w:sz w:val="22"/>
                <w:szCs w:val="22"/>
              </w:rPr>
              <w:t>-</w:t>
            </w:r>
          </w:p>
        </w:tc>
      </w:tr>
      <w:tr w:rsidR="00A3647E" w:rsidRPr="00205C60" w14:paraId="40109188" w14:textId="77777777" w:rsidTr="00A446B2">
        <w:trPr>
          <w:trHeight w:val="349"/>
        </w:trPr>
        <w:tc>
          <w:tcPr>
            <w:tcW w:w="4528" w:type="dxa"/>
            <w:tcBorders>
              <w:top w:val="nil"/>
              <w:left w:val="nil"/>
              <w:bottom w:val="nil"/>
              <w:right w:val="nil"/>
            </w:tcBorders>
            <w:shd w:val="clear" w:color="auto" w:fill="auto"/>
            <w:noWrap/>
            <w:vAlign w:val="bottom"/>
          </w:tcPr>
          <w:p w14:paraId="3C8C2461" w14:textId="77777777" w:rsidR="00A3647E" w:rsidRPr="00205C60" w:rsidRDefault="00A3647E" w:rsidP="00A3647E">
            <w:pPr>
              <w:ind w:left="702" w:right="-118" w:hanging="702"/>
              <w:rPr>
                <w:rFonts w:ascii="Verdana" w:hAnsi="Verdana"/>
                <w:color w:val="000000"/>
                <w:sz w:val="22"/>
                <w:szCs w:val="22"/>
              </w:rPr>
            </w:pPr>
          </w:p>
        </w:tc>
        <w:tc>
          <w:tcPr>
            <w:tcW w:w="411" w:type="dxa"/>
            <w:gridSpan w:val="2"/>
            <w:tcBorders>
              <w:top w:val="nil"/>
              <w:left w:val="nil"/>
              <w:bottom w:val="nil"/>
              <w:right w:val="nil"/>
            </w:tcBorders>
            <w:shd w:val="clear" w:color="auto" w:fill="auto"/>
            <w:noWrap/>
            <w:vAlign w:val="bottom"/>
          </w:tcPr>
          <w:p w14:paraId="675C6DA2" w14:textId="77777777" w:rsidR="00A3647E" w:rsidRPr="00205C60" w:rsidRDefault="00A3647E" w:rsidP="00A3647E">
            <w:pPr>
              <w:rPr>
                <w:rFonts w:ascii="Verdana" w:hAnsi="Verdana"/>
                <w:color w:val="000000"/>
                <w:sz w:val="22"/>
                <w:szCs w:val="22"/>
                <w:lang w:val="es-CR"/>
              </w:rPr>
            </w:pPr>
            <w:r w:rsidRPr="00205C60">
              <w:rPr>
                <w:rFonts w:ascii="Verdana" w:hAnsi="Verdana"/>
                <w:color w:val="000000"/>
                <w:sz w:val="22"/>
                <w:szCs w:val="22"/>
                <w:lang w:val="en-US"/>
              </w:rPr>
              <w:t>¢</w:t>
            </w:r>
          </w:p>
        </w:tc>
        <w:tc>
          <w:tcPr>
            <w:tcW w:w="1329" w:type="dxa"/>
            <w:gridSpan w:val="2"/>
            <w:tcBorders>
              <w:top w:val="single" w:sz="4" w:space="0" w:color="auto"/>
              <w:left w:val="nil"/>
              <w:bottom w:val="double" w:sz="4" w:space="0" w:color="auto"/>
              <w:right w:val="nil"/>
            </w:tcBorders>
            <w:shd w:val="clear" w:color="auto" w:fill="auto"/>
            <w:noWrap/>
            <w:vAlign w:val="bottom"/>
          </w:tcPr>
          <w:p w14:paraId="5FE6DC3B" w14:textId="1E237C94" w:rsidR="00A3647E" w:rsidRPr="00205C60" w:rsidRDefault="00944F1E" w:rsidP="00944F1E">
            <w:pPr>
              <w:jc w:val="center"/>
              <w:rPr>
                <w:rFonts w:ascii="Verdana" w:hAnsi="Verdana"/>
                <w:sz w:val="22"/>
                <w:szCs w:val="22"/>
              </w:rPr>
            </w:pPr>
            <w:r w:rsidRPr="00205C60">
              <w:rPr>
                <w:rFonts w:ascii="Verdana" w:hAnsi="Verdana"/>
                <w:sz w:val="22"/>
                <w:szCs w:val="22"/>
              </w:rPr>
              <w:t>-</w:t>
            </w:r>
          </w:p>
        </w:tc>
        <w:tc>
          <w:tcPr>
            <w:tcW w:w="824" w:type="dxa"/>
            <w:gridSpan w:val="4"/>
            <w:tcBorders>
              <w:left w:val="nil"/>
              <w:right w:val="nil"/>
            </w:tcBorders>
            <w:shd w:val="clear" w:color="auto" w:fill="auto"/>
            <w:noWrap/>
            <w:vAlign w:val="bottom"/>
          </w:tcPr>
          <w:p w14:paraId="369BB15B" w14:textId="77777777" w:rsidR="00A3647E" w:rsidRPr="00205C60" w:rsidRDefault="00A3647E" w:rsidP="00A3647E">
            <w:pPr>
              <w:jc w:val="right"/>
              <w:rPr>
                <w:rFonts w:ascii="Verdana" w:hAnsi="Verdana"/>
                <w:color w:val="000000"/>
                <w:sz w:val="22"/>
                <w:szCs w:val="22"/>
                <w:lang w:val="es-CR"/>
              </w:rPr>
            </w:pPr>
          </w:p>
        </w:tc>
        <w:tc>
          <w:tcPr>
            <w:tcW w:w="2308" w:type="dxa"/>
            <w:gridSpan w:val="6"/>
            <w:tcBorders>
              <w:top w:val="single" w:sz="4" w:space="0" w:color="auto"/>
              <w:left w:val="nil"/>
              <w:bottom w:val="double" w:sz="4" w:space="0" w:color="auto"/>
              <w:right w:val="nil"/>
            </w:tcBorders>
            <w:shd w:val="clear" w:color="auto" w:fill="auto"/>
            <w:noWrap/>
            <w:vAlign w:val="bottom"/>
          </w:tcPr>
          <w:p w14:paraId="0DEFB572" w14:textId="1F439925" w:rsidR="00A3647E" w:rsidRPr="00205C60" w:rsidRDefault="00A509AC" w:rsidP="00A3647E">
            <w:pPr>
              <w:jc w:val="right"/>
              <w:rPr>
                <w:rFonts w:ascii="Verdana" w:hAnsi="Verdana"/>
                <w:sz w:val="22"/>
                <w:szCs w:val="22"/>
              </w:rPr>
            </w:pPr>
            <w:r w:rsidRPr="00205C60">
              <w:rPr>
                <w:rFonts w:ascii="Verdana" w:hAnsi="Verdana"/>
                <w:sz w:val="22"/>
                <w:szCs w:val="22"/>
              </w:rPr>
              <w:t>-</w:t>
            </w:r>
          </w:p>
        </w:tc>
      </w:tr>
    </w:tbl>
    <w:p w14:paraId="3CA7F364" w14:textId="77777777" w:rsidR="008B738F" w:rsidRPr="00205C60" w:rsidRDefault="008B738F" w:rsidP="003B0B42">
      <w:pPr>
        <w:jc w:val="both"/>
        <w:rPr>
          <w:rFonts w:ascii="Verdana" w:hAnsi="Verdana" w:cs="Arial"/>
          <w:color w:val="000000"/>
          <w:sz w:val="22"/>
          <w:szCs w:val="22"/>
        </w:rPr>
      </w:pPr>
    </w:p>
    <w:p w14:paraId="3CA7F365" w14:textId="5DA14539" w:rsidR="004C67BA" w:rsidRPr="00205C60" w:rsidRDefault="00FB55D1" w:rsidP="003B0B42">
      <w:pPr>
        <w:jc w:val="both"/>
        <w:rPr>
          <w:rFonts w:ascii="Verdana" w:hAnsi="Verdana" w:cs="Arial"/>
          <w:color w:val="000000"/>
          <w:sz w:val="22"/>
          <w:szCs w:val="22"/>
        </w:rPr>
      </w:pPr>
      <w:r w:rsidRPr="00205C60">
        <w:rPr>
          <w:rFonts w:ascii="Verdana" w:hAnsi="Verdana" w:cs="Arial"/>
          <w:color w:val="000000"/>
          <w:sz w:val="22"/>
          <w:szCs w:val="22"/>
        </w:rPr>
        <w:t xml:space="preserve">Por otra parte, la Compañía factura al ICE servicios que se originan en venta de servicios eléctricos, alquiler de postes </w:t>
      </w:r>
      <w:r w:rsidR="005C0D95" w:rsidRPr="00205C60">
        <w:rPr>
          <w:rFonts w:ascii="Verdana" w:hAnsi="Verdana" w:cs="Arial"/>
          <w:color w:val="000000"/>
          <w:sz w:val="22"/>
          <w:szCs w:val="22"/>
        </w:rPr>
        <w:t xml:space="preserve">y ductos </w:t>
      </w:r>
      <w:r w:rsidRPr="00205C60">
        <w:rPr>
          <w:rFonts w:ascii="Verdana" w:hAnsi="Verdana" w:cs="Arial"/>
          <w:color w:val="000000"/>
          <w:sz w:val="22"/>
          <w:szCs w:val="22"/>
        </w:rPr>
        <w:t>para instalación de líneas telefónicas, venta de materiales, estudios de ingeniería</w:t>
      </w:r>
      <w:r w:rsidR="005C1DDC" w:rsidRPr="00205C60">
        <w:rPr>
          <w:rFonts w:ascii="Verdana" w:hAnsi="Verdana" w:cs="Arial"/>
          <w:color w:val="000000"/>
          <w:sz w:val="22"/>
          <w:szCs w:val="22"/>
        </w:rPr>
        <w:t xml:space="preserve"> y</w:t>
      </w:r>
      <w:r w:rsidR="000E330A" w:rsidRPr="00205C60">
        <w:rPr>
          <w:rFonts w:ascii="Verdana" w:hAnsi="Verdana" w:cs="Arial"/>
          <w:color w:val="000000"/>
          <w:sz w:val="22"/>
          <w:szCs w:val="22"/>
        </w:rPr>
        <w:t xml:space="preserve"> otros servicios de mantenimientos</w:t>
      </w:r>
      <w:r w:rsidR="0043787D" w:rsidRPr="00205C60">
        <w:rPr>
          <w:rFonts w:ascii="Verdana" w:hAnsi="Verdana" w:cs="Arial"/>
          <w:color w:val="000000"/>
          <w:sz w:val="22"/>
          <w:szCs w:val="22"/>
        </w:rPr>
        <w:t xml:space="preserve">. </w:t>
      </w:r>
      <w:r w:rsidRPr="00205C60">
        <w:rPr>
          <w:rFonts w:ascii="Verdana" w:hAnsi="Verdana" w:cs="Arial"/>
          <w:color w:val="000000"/>
          <w:sz w:val="22"/>
          <w:szCs w:val="22"/>
        </w:rPr>
        <w:t xml:space="preserve"> </w:t>
      </w:r>
    </w:p>
    <w:p w14:paraId="3CA7F366" w14:textId="77777777" w:rsidR="00B20161" w:rsidRPr="00205C60" w:rsidRDefault="00B20161" w:rsidP="003B0B42">
      <w:pPr>
        <w:jc w:val="both"/>
        <w:rPr>
          <w:rFonts w:ascii="Verdana" w:hAnsi="Verdana" w:cs="Arial"/>
          <w:color w:val="000000"/>
          <w:sz w:val="22"/>
          <w:szCs w:val="22"/>
        </w:rPr>
      </w:pPr>
    </w:p>
    <w:p w14:paraId="3CA7F367" w14:textId="77777777" w:rsidR="00833DCB" w:rsidRPr="00205C60" w:rsidRDefault="00B20161" w:rsidP="003B0B42">
      <w:pPr>
        <w:jc w:val="both"/>
        <w:rPr>
          <w:rFonts w:ascii="Verdana" w:hAnsi="Verdana" w:cs="Arial"/>
          <w:color w:val="000000"/>
          <w:sz w:val="22"/>
          <w:szCs w:val="22"/>
        </w:rPr>
      </w:pPr>
      <w:r w:rsidRPr="00205C60">
        <w:rPr>
          <w:rFonts w:ascii="Verdana" w:hAnsi="Verdana" w:cs="Arial"/>
          <w:color w:val="000000"/>
          <w:sz w:val="22"/>
          <w:szCs w:val="22"/>
        </w:rPr>
        <w:t>La siguiente es una descripción de l</w:t>
      </w:r>
      <w:r w:rsidR="00AA6A1D" w:rsidRPr="00205C60">
        <w:rPr>
          <w:rFonts w:ascii="Verdana" w:hAnsi="Verdana" w:cs="Arial"/>
          <w:color w:val="000000"/>
          <w:sz w:val="22"/>
          <w:szCs w:val="22"/>
        </w:rPr>
        <w:t>o</w:t>
      </w:r>
      <w:r w:rsidRPr="00205C60">
        <w:rPr>
          <w:rFonts w:ascii="Verdana" w:hAnsi="Verdana" w:cs="Arial"/>
          <w:color w:val="000000"/>
          <w:sz w:val="22"/>
          <w:szCs w:val="22"/>
        </w:rPr>
        <w:t xml:space="preserve">s principales </w:t>
      </w:r>
      <w:r w:rsidR="00AA6A1D" w:rsidRPr="00205C60">
        <w:rPr>
          <w:rFonts w:ascii="Verdana" w:hAnsi="Verdana" w:cs="Arial"/>
          <w:color w:val="000000"/>
          <w:sz w:val="22"/>
          <w:szCs w:val="22"/>
        </w:rPr>
        <w:t xml:space="preserve">saldos y </w:t>
      </w:r>
      <w:r w:rsidRPr="00205C60">
        <w:rPr>
          <w:rFonts w:ascii="Verdana" w:hAnsi="Verdana" w:cs="Arial"/>
          <w:color w:val="000000"/>
          <w:sz w:val="22"/>
          <w:szCs w:val="22"/>
        </w:rPr>
        <w:t xml:space="preserve">transacciones efectuadas con </w:t>
      </w:r>
      <w:r w:rsidR="00AA6A1D" w:rsidRPr="00205C60">
        <w:rPr>
          <w:rFonts w:ascii="Verdana" w:hAnsi="Verdana" w:cs="Arial"/>
          <w:color w:val="000000"/>
          <w:sz w:val="22"/>
          <w:szCs w:val="22"/>
        </w:rPr>
        <w:t>compañías relacionadas</w:t>
      </w:r>
      <w:r w:rsidRPr="00205C60">
        <w:rPr>
          <w:rFonts w:ascii="Verdana" w:hAnsi="Verdana" w:cs="Arial"/>
          <w:color w:val="000000"/>
          <w:sz w:val="22"/>
          <w:szCs w:val="22"/>
        </w:rPr>
        <w:t>:</w:t>
      </w:r>
    </w:p>
    <w:p w14:paraId="3CA7F368" w14:textId="77777777" w:rsidR="0034128B" w:rsidRPr="00205C60" w:rsidRDefault="0034128B" w:rsidP="003B0B42">
      <w:pPr>
        <w:jc w:val="both"/>
        <w:rPr>
          <w:rFonts w:ascii="Verdana" w:hAnsi="Verdana" w:cs="Arial"/>
          <w:color w:val="000000"/>
          <w:sz w:val="22"/>
          <w:szCs w:val="22"/>
          <w:lang w:val="es-CR"/>
        </w:rPr>
      </w:pPr>
    </w:p>
    <w:p w14:paraId="3CA7F3EF" w14:textId="77777777" w:rsidR="00002FE4" w:rsidRPr="00205C60" w:rsidRDefault="00002FE4" w:rsidP="00002FE4">
      <w:pPr>
        <w:rPr>
          <w:rFonts w:ascii="Verdana" w:hAnsi="Verdana"/>
          <w:sz w:val="22"/>
          <w:szCs w:val="22"/>
        </w:rPr>
      </w:pPr>
    </w:p>
    <w:tbl>
      <w:tblPr>
        <w:tblW w:w="8499" w:type="dxa"/>
        <w:tblInd w:w="630" w:type="dxa"/>
        <w:tblLook w:val="04A0" w:firstRow="1" w:lastRow="0" w:firstColumn="1" w:lastColumn="0" w:noHBand="0" w:noVBand="1"/>
      </w:tblPr>
      <w:tblGrid>
        <w:gridCol w:w="4382"/>
        <w:gridCol w:w="345"/>
        <w:gridCol w:w="13"/>
        <w:gridCol w:w="504"/>
        <w:gridCol w:w="1116"/>
        <w:gridCol w:w="246"/>
        <w:gridCol w:w="153"/>
        <w:gridCol w:w="246"/>
        <w:gridCol w:w="1295"/>
        <w:gridCol w:w="199"/>
      </w:tblGrid>
      <w:tr w:rsidR="00002FE4" w:rsidRPr="00205C60" w14:paraId="3CA7F3F3" w14:textId="77777777" w:rsidTr="00570398">
        <w:trPr>
          <w:trHeight w:val="70"/>
        </w:trPr>
        <w:tc>
          <w:tcPr>
            <w:tcW w:w="4727" w:type="dxa"/>
            <w:gridSpan w:val="2"/>
            <w:tcBorders>
              <w:top w:val="nil"/>
              <w:left w:val="nil"/>
              <w:bottom w:val="nil"/>
              <w:right w:val="nil"/>
            </w:tcBorders>
            <w:shd w:val="clear" w:color="auto" w:fill="auto"/>
            <w:noWrap/>
            <w:vAlign w:val="bottom"/>
          </w:tcPr>
          <w:p w14:paraId="3CA7F3F0" w14:textId="77777777" w:rsidR="00002FE4" w:rsidRPr="00205C60" w:rsidRDefault="00002FE4" w:rsidP="00F265E3">
            <w:pPr>
              <w:ind w:left="702" w:right="-118" w:hanging="702"/>
              <w:rPr>
                <w:rFonts w:ascii="Verdana" w:hAnsi="Verdana"/>
                <w:color w:val="000000"/>
                <w:sz w:val="22"/>
                <w:szCs w:val="22"/>
                <w:lang w:val="es-CR"/>
              </w:rPr>
            </w:pPr>
          </w:p>
        </w:tc>
        <w:tc>
          <w:tcPr>
            <w:tcW w:w="517" w:type="dxa"/>
            <w:gridSpan w:val="2"/>
            <w:tcBorders>
              <w:top w:val="nil"/>
              <w:left w:val="nil"/>
              <w:bottom w:val="nil"/>
              <w:right w:val="nil"/>
            </w:tcBorders>
            <w:shd w:val="clear" w:color="auto" w:fill="auto"/>
            <w:noWrap/>
            <w:vAlign w:val="bottom"/>
          </w:tcPr>
          <w:p w14:paraId="3CA7F3F1" w14:textId="77777777" w:rsidR="00002FE4" w:rsidRPr="00205C60" w:rsidRDefault="00002FE4" w:rsidP="00F265E3">
            <w:pPr>
              <w:rPr>
                <w:rFonts w:ascii="Verdana" w:hAnsi="Verdana"/>
                <w:color w:val="000000"/>
                <w:sz w:val="22"/>
                <w:szCs w:val="22"/>
                <w:lang w:val="es-CR"/>
              </w:rPr>
            </w:pPr>
          </w:p>
        </w:tc>
        <w:tc>
          <w:tcPr>
            <w:tcW w:w="3255" w:type="dxa"/>
            <w:gridSpan w:val="6"/>
            <w:tcBorders>
              <w:left w:val="nil"/>
              <w:right w:val="nil"/>
            </w:tcBorders>
            <w:shd w:val="clear" w:color="auto" w:fill="auto"/>
            <w:noWrap/>
            <w:vAlign w:val="bottom"/>
          </w:tcPr>
          <w:p w14:paraId="3CA7F3F2" w14:textId="77777777" w:rsidR="00002FE4" w:rsidRPr="00205C60" w:rsidRDefault="00002FE4" w:rsidP="00F265E3">
            <w:pPr>
              <w:ind w:left="-123"/>
              <w:jc w:val="center"/>
              <w:rPr>
                <w:rFonts w:ascii="Verdana" w:hAnsi="Verdana"/>
                <w:color w:val="000000"/>
                <w:sz w:val="22"/>
                <w:szCs w:val="22"/>
                <w:u w:val="single"/>
                <w:lang w:val="es-CR"/>
              </w:rPr>
            </w:pPr>
            <w:r w:rsidRPr="00205C60">
              <w:rPr>
                <w:rFonts w:ascii="Verdana" w:hAnsi="Verdana"/>
                <w:color w:val="000000"/>
                <w:sz w:val="22"/>
                <w:szCs w:val="22"/>
                <w:u w:val="single"/>
                <w:lang w:val="es-CR"/>
              </w:rPr>
              <w:t>Por el año terminado al</w:t>
            </w:r>
          </w:p>
        </w:tc>
      </w:tr>
      <w:tr w:rsidR="00002FE4" w:rsidRPr="00205C60" w14:paraId="3CA7F3F7" w14:textId="77777777" w:rsidTr="00570398">
        <w:trPr>
          <w:trHeight w:val="70"/>
        </w:trPr>
        <w:tc>
          <w:tcPr>
            <w:tcW w:w="4727" w:type="dxa"/>
            <w:gridSpan w:val="2"/>
            <w:tcBorders>
              <w:top w:val="nil"/>
              <w:left w:val="nil"/>
              <w:bottom w:val="nil"/>
              <w:right w:val="nil"/>
            </w:tcBorders>
            <w:shd w:val="clear" w:color="auto" w:fill="auto"/>
            <w:noWrap/>
            <w:vAlign w:val="bottom"/>
          </w:tcPr>
          <w:p w14:paraId="3CA7F3F4" w14:textId="77777777" w:rsidR="00002FE4" w:rsidRPr="00205C60" w:rsidRDefault="00002FE4" w:rsidP="00F265E3">
            <w:pPr>
              <w:ind w:left="702" w:right="-118" w:hanging="702"/>
              <w:rPr>
                <w:rFonts w:ascii="Verdana" w:hAnsi="Verdana"/>
                <w:color w:val="000000"/>
                <w:sz w:val="22"/>
                <w:szCs w:val="22"/>
                <w:lang w:val="es-CR"/>
              </w:rPr>
            </w:pPr>
          </w:p>
        </w:tc>
        <w:tc>
          <w:tcPr>
            <w:tcW w:w="517" w:type="dxa"/>
            <w:gridSpan w:val="2"/>
            <w:tcBorders>
              <w:top w:val="nil"/>
              <w:left w:val="nil"/>
              <w:bottom w:val="nil"/>
              <w:right w:val="nil"/>
            </w:tcBorders>
            <w:shd w:val="clear" w:color="auto" w:fill="auto"/>
            <w:noWrap/>
            <w:vAlign w:val="bottom"/>
          </w:tcPr>
          <w:p w14:paraId="3CA7F3F5" w14:textId="77777777" w:rsidR="00002FE4" w:rsidRPr="00205C60" w:rsidRDefault="00002FE4" w:rsidP="00F265E3">
            <w:pPr>
              <w:rPr>
                <w:rFonts w:ascii="Verdana" w:hAnsi="Verdana"/>
                <w:color w:val="000000"/>
                <w:sz w:val="22"/>
                <w:szCs w:val="22"/>
                <w:lang w:val="es-CR"/>
              </w:rPr>
            </w:pPr>
          </w:p>
        </w:tc>
        <w:tc>
          <w:tcPr>
            <w:tcW w:w="3255" w:type="dxa"/>
            <w:gridSpan w:val="6"/>
            <w:tcBorders>
              <w:left w:val="nil"/>
              <w:right w:val="nil"/>
            </w:tcBorders>
            <w:shd w:val="clear" w:color="auto" w:fill="auto"/>
            <w:noWrap/>
            <w:vAlign w:val="bottom"/>
          </w:tcPr>
          <w:p w14:paraId="3CA7F3F6" w14:textId="77777777" w:rsidR="00002FE4" w:rsidRPr="00205C60" w:rsidRDefault="00002FE4" w:rsidP="00F265E3">
            <w:pPr>
              <w:ind w:left="-123"/>
              <w:jc w:val="center"/>
              <w:rPr>
                <w:rFonts w:ascii="Verdana" w:hAnsi="Verdana"/>
                <w:color w:val="000000"/>
                <w:sz w:val="22"/>
                <w:szCs w:val="22"/>
                <w:u w:val="single"/>
                <w:lang w:val="es-CR"/>
              </w:rPr>
            </w:pPr>
            <w:r w:rsidRPr="00205C60">
              <w:rPr>
                <w:rFonts w:ascii="Verdana" w:hAnsi="Verdana"/>
                <w:color w:val="000000"/>
                <w:sz w:val="22"/>
                <w:szCs w:val="22"/>
                <w:u w:val="single"/>
                <w:lang w:val="es-CR"/>
              </w:rPr>
              <w:t xml:space="preserve">31 de diciembre del </w:t>
            </w:r>
          </w:p>
        </w:tc>
      </w:tr>
      <w:tr w:rsidR="00002FE4" w:rsidRPr="00205C60" w14:paraId="3CA7F3FD" w14:textId="77777777" w:rsidTr="00570398">
        <w:trPr>
          <w:trHeight w:val="70"/>
        </w:trPr>
        <w:tc>
          <w:tcPr>
            <w:tcW w:w="4727" w:type="dxa"/>
            <w:gridSpan w:val="2"/>
            <w:tcBorders>
              <w:top w:val="nil"/>
              <w:left w:val="nil"/>
              <w:bottom w:val="nil"/>
              <w:right w:val="nil"/>
            </w:tcBorders>
            <w:shd w:val="clear" w:color="auto" w:fill="auto"/>
            <w:noWrap/>
            <w:vAlign w:val="bottom"/>
          </w:tcPr>
          <w:p w14:paraId="3CA7F3F8" w14:textId="77777777" w:rsidR="00002FE4" w:rsidRPr="00205C60" w:rsidRDefault="00002FE4" w:rsidP="00F265E3">
            <w:pPr>
              <w:ind w:left="702" w:right="-118" w:hanging="702"/>
              <w:rPr>
                <w:rFonts w:ascii="Verdana" w:hAnsi="Verdana"/>
                <w:color w:val="000000"/>
                <w:sz w:val="22"/>
                <w:szCs w:val="22"/>
                <w:lang w:val="es-CR"/>
              </w:rPr>
            </w:pPr>
          </w:p>
        </w:tc>
        <w:tc>
          <w:tcPr>
            <w:tcW w:w="517" w:type="dxa"/>
            <w:gridSpan w:val="2"/>
            <w:tcBorders>
              <w:top w:val="nil"/>
              <w:left w:val="nil"/>
              <w:bottom w:val="nil"/>
              <w:right w:val="nil"/>
            </w:tcBorders>
            <w:shd w:val="clear" w:color="auto" w:fill="auto"/>
            <w:noWrap/>
            <w:vAlign w:val="bottom"/>
          </w:tcPr>
          <w:p w14:paraId="3CA7F3F9" w14:textId="77777777" w:rsidR="00002FE4" w:rsidRPr="00205C60" w:rsidRDefault="00002FE4" w:rsidP="00F265E3">
            <w:pPr>
              <w:rPr>
                <w:rFonts w:ascii="Verdana" w:hAnsi="Verdana"/>
                <w:color w:val="000000"/>
                <w:sz w:val="22"/>
                <w:szCs w:val="22"/>
                <w:lang w:val="es-CR"/>
              </w:rPr>
            </w:pPr>
          </w:p>
        </w:tc>
        <w:tc>
          <w:tcPr>
            <w:tcW w:w="1515" w:type="dxa"/>
            <w:gridSpan w:val="3"/>
            <w:tcBorders>
              <w:left w:val="nil"/>
              <w:right w:val="nil"/>
            </w:tcBorders>
            <w:shd w:val="clear" w:color="auto" w:fill="auto"/>
            <w:noWrap/>
            <w:vAlign w:val="bottom"/>
          </w:tcPr>
          <w:p w14:paraId="3CA7F3FA" w14:textId="23878DF2" w:rsidR="00002FE4" w:rsidRPr="00205C60" w:rsidRDefault="00002FE4" w:rsidP="00F265E3">
            <w:pPr>
              <w:ind w:left="-123"/>
              <w:jc w:val="center"/>
              <w:rPr>
                <w:rFonts w:ascii="Verdana" w:hAnsi="Verdana"/>
                <w:color w:val="000000"/>
                <w:sz w:val="22"/>
                <w:szCs w:val="22"/>
                <w:u w:val="single"/>
                <w:lang w:val="es-CR"/>
              </w:rPr>
            </w:pPr>
            <w:r w:rsidRPr="00205C60">
              <w:rPr>
                <w:rFonts w:ascii="Verdana" w:hAnsi="Verdana"/>
                <w:color w:val="000000"/>
                <w:sz w:val="22"/>
                <w:szCs w:val="22"/>
                <w:u w:val="single"/>
                <w:lang w:val="es-CR"/>
              </w:rPr>
              <w:t>202</w:t>
            </w:r>
            <w:r w:rsidR="00570398" w:rsidRPr="00205C60">
              <w:rPr>
                <w:rFonts w:ascii="Verdana" w:hAnsi="Verdana"/>
                <w:color w:val="000000"/>
                <w:sz w:val="22"/>
                <w:szCs w:val="22"/>
                <w:u w:val="single"/>
                <w:lang w:val="es-CR"/>
              </w:rPr>
              <w:t>2</w:t>
            </w:r>
          </w:p>
        </w:tc>
        <w:tc>
          <w:tcPr>
            <w:tcW w:w="246" w:type="dxa"/>
            <w:tcBorders>
              <w:left w:val="nil"/>
              <w:right w:val="nil"/>
            </w:tcBorders>
            <w:shd w:val="clear" w:color="auto" w:fill="auto"/>
            <w:vAlign w:val="bottom"/>
          </w:tcPr>
          <w:p w14:paraId="3CA7F3FB" w14:textId="77777777" w:rsidR="00002FE4" w:rsidRPr="00205C60" w:rsidRDefault="00002FE4" w:rsidP="00F265E3">
            <w:pPr>
              <w:ind w:left="-123"/>
              <w:jc w:val="center"/>
              <w:rPr>
                <w:rFonts w:ascii="Verdana" w:hAnsi="Verdana"/>
                <w:color w:val="000000"/>
                <w:sz w:val="22"/>
                <w:szCs w:val="22"/>
                <w:u w:val="single"/>
                <w:lang w:val="es-CR"/>
              </w:rPr>
            </w:pPr>
          </w:p>
        </w:tc>
        <w:tc>
          <w:tcPr>
            <w:tcW w:w="1494" w:type="dxa"/>
            <w:gridSpan w:val="2"/>
            <w:tcBorders>
              <w:left w:val="nil"/>
              <w:right w:val="nil"/>
            </w:tcBorders>
            <w:shd w:val="clear" w:color="auto" w:fill="auto"/>
            <w:vAlign w:val="bottom"/>
          </w:tcPr>
          <w:p w14:paraId="3CA7F3FC" w14:textId="6D8BED2F" w:rsidR="00002FE4" w:rsidRPr="00205C60" w:rsidRDefault="00002FE4" w:rsidP="00F265E3">
            <w:pPr>
              <w:ind w:left="-123"/>
              <w:jc w:val="center"/>
              <w:rPr>
                <w:rFonts w:ascii="Verdana" w:hAnsi="Verdana"/>
                <w:color w:val="000000"/>
                <w:sz w:val="22"/>
                <w:szCs w:val="22"/>
                <w:u w:val="single"/>
                <w:lang w:val="es-CR"/>
              </w:rPr>
            </w:pPr>
            <w:r w:rsidRPr="00205C60">
              <w:rPr>
                <w:rFonts w:ascii="Verdana" w:hAnsi="Verdana"/>
                <w:color w:val="000000"/>
                <w:sz w:val="22"/>
                <w:szCs w:val="22"/>
                <w:u w:val="single"/>
                <w:lang w:val="es-CR"/>
              </w:rPr>
              <w:t>20</w:t>
            </w:r>
            <w:r w:rsidR="007F4AE6" w:rsidRPr="00205C60">
              <w:rPr>
                <w:rFonts w:ascii="Verdana" w:hAnsi="Verdana"/>
                <w:color w:val="000000"/>
                <w:sz w:val="22"/>
                <w:szCs w:val="22"/>
                <w:u w:val="single"/>
                <w:lang w:val="es-CR"/>
              </w:rPr>
              <w:t>2</w:t>
            </w:r>
            <w:r w:rsidR="00570398" w:rsidRPr="00205C60">
              <w:rPr>
                <w:rFonts w:ascii="Verdana" w:hAnsi="Verdana"/>
                <w:color w:val="000000"/>
                <w:sz w:val="22"/>
                <w:szCs w:val="22"/>
                <w:u w:val="single"/>
                <w:lang w:val="es-CR"/>
              </w:rPr>
              <w:t>1</w:t>
            </w:r>
          </w:p>
        </w:tc>
      </w:tr>
      <w:tr w:rsidR="00002FE4" w:rsidRPr="00205C60" w14:paraId="3CA7F403" w14:textId="77777777" w:rsidTr="00570398">
        <w:trPr>
          <w:trHeight w:val="35"/>
        </w:trPr>
        <w:tc>
          <w:tcPr>
            <w:tcW w:w="4727" w:type="dxa"/>
            <w:gridSpan w:val="2"/>
            <w:tcBorders>
              <w:top w:val="nil"/>
              <w:left w:val="nil"/>
              <w:bottom w:val="nil"/>
              <w:right w:val="nil"/>
            </w:tcBorders>
            <w:shd w:val="clear" w:color="auto" w:fill="auto"/>
            <w:noWrap/>
            <w:vAlign w:val="bottom"/>
            <w:hideMark/>
          </w:tcPr>
          <w:p w14:paraId="3CA7F3FE" w14:textId="77777777" w:rsidR="00002FE4" w:rsidRPr="00205C60" w:rsidRDefault="00002FE4" w:rsidP="00F265E3">
            <w:pPr>
              <w:ind w:left="702" w:right="-118" w:hanging="702"/>
              <w:rPr>
                <w:rFonts w:ascii="Verdana" w:hAnsi="Verdana"/>
                <w:color w:val="000000"/>
                <w:sz w:val="22"/>
                <w:szCs w:val="22"/>
                <w:u w:val="single"/>
                <w:lang w:val="en-US"/>
              </w:rPr>
            </w:pPr>
            <w:proofErr w:type="spellStart"/>
            <w:r w:rsidRPr="00205C60">
              <w:rPr>
                <w:rFonts w:ascii="Verdana" w:hAnsi="Verdana"/>
                <w:color w:val="000000"/>
                <w:sz w:val="22"/>
                <w:szCs w:val="22"/>
                <w:u w:val="single"/>
                <w:lang w:val="en-US"/>
              </w:rPr>
              <w:t>Transacciones</w:t>
            </w:r>
            <w:proofErr w:type="spellEnd"/>
            <w:r w:rsidRPr="00205C60">
              <w:rPr>
                <w:rFonts w:ascii="Verdana" w:hAnsi="Verdana"/>
                <w:color w:val="000000"/>
                <w:sz w:val="22"/>
                <w:szCs w:val="22"/>
                <w:u w:val="single"/>
                <w:lang w:val="en-US"/>
              </w:rPr>
              <w:t>:</w:t>
            </w:r>
          </w:p>
        </w:tc>
        <w:tc>
          <w:tcPr>
            <w:tcW w:w="517" w:type="dxa"/>
            <w:gridSpan w:val="2"/>
            <w:tcBorders>
              <w:top w:val="nil"/>
              <w:left w:val="nil"/>
              <w:bottom w:val="nil"/>
              <w:right w:val="nil"/>
            </w:tcBorders>
            <w:shd w:val="clear" w:color="auto" w:fill="auto"/>
            <w:noWrap/>
            <w:vAlign w:val="bottom"/>
            <w:hideMark/>
          </w:tcPr>
          <w:p w14:paraId="3CA7F3FF" w14:textId="77777777" w:rsidR="00002FE4" w:rsidRPr="00205C60" w:rsidRDefault="00002FE4" w:rsidP="00F265E3">
            <w:pPr>
              <w:rPr>
                <w:rFonts w:ascii="Verdana" w:hAnsi="Verdana"/>
                <w:color w:val="000000"/>
                <w:sz w:val="22"/>
                <w:szCs w:val="22"/>
                <w:u w:val="single"/>
                <w:lang w:val="en-US"/>
              </w:rPr>
            </w:pPr>
          </w:p>
        </w:tc>
        <w:tc>
          <w:tcPr>
            <w:tcW w:w="1515" w:type="dxa"/>
            <w:gridSpan w:val="3"/>
            <w:tcBorders>
              <w:top w:val="nil"/>
              <w:left w:val="nil"/>
              <w:bottom w:val="nil"/>
              <w:right w:val="nil"/>
            </w:tcBorders>
            <w:shd w:val="clear" w:color="auto" w:fill="auto"/>
            <w:noWrap/>
            <w:vAlign w:val="bottom"/>
          </w:tcPr>
          <w:p w14:paraId="3CA7F400" w14:textId="77777777" w:rsidR="00002FE4" w:rsidRPr="00205C60" w:rsidRDefault="00002FE4" w:rsidP="00F265E3">
            <w:pPr>
              <w:ind w:left="-74"/>
              <w:jc w:val="right"/>
              <w:rPr>
                <w:rFonts w:ascii="Verdana" w:hAnsi="Verdana"/>
                <w:sz w:val="22"/>
                <w:szCs w:val="22"/>
                <w:lang w:val="en-US"/>
              </w:rPr>
            </w:pPr>
          </w:p>
        </w:tc>
        <w:tc>
          <w:tcPr>
            <w:tcW w:w="246" w:type="dxa"/>
            <w:tcBorders>
              <w:top w:val="nil"/>
              <w:left w:val="nil"/>
              <w:bottom w:val="nil"/>
              <w:right w:val="nil"/>
            </w:tcBorders>
            <w:shd w:val="clear" w:color="auto" w:fill="auto"/>
            <w:noWrap/>
            <w:vAlign w:val="bottom"/>
          </w:tcPr>
          <w:p w14:paraId="3CA7F401" w14:textId="77777777" w:rsidR="00002FE4" w:rsidRPr="00205C60" w:rsidRDefault="00002FE4" w:rsidP="00F265E3">
            <w:pPr>
              <w:jc w:val="right"/>
              <w:rPr>
                <w:rFonts w:ascii="Verdana" w:hAnsi="Verdana"/>
                <w:sz w:val="22"/>
                <w:szCs w:val="22"/>
                <w:lang w:val="en-US"/>
              </w:rPr>
            </w:pPr>
          </w:p>
        </w:tc>
        <w:tc>
          <w:tcPr>
            <w:tcW w:w="1494" w:type="dxa"/>
            <w:gridSpan w:val="2"/>
            <w:tcBorders>
              <w:top w:val="nil"/>
              <w:left w:val="nil"/>
              <w:bottom w:val="nil"/>
              <w:right w:val="nil"/>
            </w:tcBorders>
            <w:shd w:val="clear" w:color="auto" w:fill="auto"/>
            <w:noWrap/>
            <w:vAlign w:val="bottom"/>
            <w:hideMark/>
          </w:tcPr>
          <w:p w14:paraId="3CA7F402" w14:textId="77777777" w:rsidR="00002FE4" w:rsidRPr="00205C60" w:rsidRDefault="00002FE4" w:rsidP="00F265E3">
            <w:pPr>
              <w:ind w:left="-74"/>
              <w:jc w:val="right"/>
              <w:rPr>
                <w:rFonts w:ascii="Verdana" w:hAnsi="Verdana"/>
                <w:sz w:val="22"/>
                <w:szCs w:val="22"/>
                <w:lang w:val="en-US"/>
              </w:rPr>
            </w:pPr>
          </w:p>
        </w:tc>
      </w:tr>
      <w:tr w:rsidR="00002FE4" w:rsidRPr="00205C60" w14:paraId="3CA7F409" w14:textId="77777777" w:rsidTr="00570398">
        <w:trPr>
          <w:trHeight w:val="80"/>
        </w:trPr>
        <w:tc>
          <w:tcPr>
            <w:tcW w:w="4727" w:type="dxa"/>
            <w:gridSpan w:val="2"/>
            <w:tcBorders>
              <w:top w:val="nil"/>
              <w:left w:val="nil"/>
              <w:bottom w:val="nil"/>
              <w:right w:val="nil"/>
            </w:tcBorders>
            <w:shd w:val="clear" w:color="auto" w:fill="auto"/>
            <w:noWrap/>
            <w:vAlign w:val="bottom"/>
          </w:tcPr>
          <w:p w14:paraId="3CA7F404" w14:textId="77777777" w:rsidR="00002FE4" w:rsidRPr="00205C60" w:rsidRDefault="00002FE4" w:rsidP="00F265E3">
            <w:pPr>
              <w:ind w:left="702" w:right="-118" w:hanging="702"/>
              <w:rPr>
                <w:rFonts w:ascii="Verdana" w:hAnsi="Verdana"/>
                <w:color w:val="000000"/>
                <w:sz w:val="22"/>
                <w:szCs w:val="22"/>
                <w:lang w:val="es-CR"/>
              </w:rPr>
            </w:pPr>
            <w:r w:rsidRPr="00205C60">
              <w:rPr>
                <w:rFonts w:ascii="Verdana" w:hAnsi="Verdana"/>
                <w:color w:val="000000"/>
                <w:sz w:val="22"/>
                <w:szCs w:val="22"/>
                <w:u w:val="single"/>
                <w:lang w:val="es-CR"/>
              </w:rPr>
              <w:t>Ingresos por venta de energía y otros:</w:t>
            </w:r>
          </w:p>
        </w:tc>
        <w:tc>
          <w:tcPr>
            <w:tcW w:w="517" w:type="dxa"/>
            <w:gridSpan w:val="2"/>
            <w:tcBorders>
              <w:top w:val="nil"/>
              <w:left w:val="nil"/>
              <w:bottom w:val="nil"/>
              <w:right w:val="nil"/>
            </w:tcBorders>
            <w:shd w:val="clear" w:color="auto" w:fill="auto"/>
            <w:noWrap/>
            <w:vAlign w:val="bottom"/>
          </w:tcPr>
          <w:p w14:paraId="3CA7F405" w14:textId="77777777" w:rsidR="00002FE4" w:rsidRPr="00205C60" w:rsidRDefault="00002FE4" w:rsidP="00F265E3">
            <w:pPr>
              <w:rPr>
                <w:rFonts w:ascii="Verdana" w:hAnsi="Verdana"/>
                <w:color w:val="000000"/>
                <w:sz w:val="22"/>
                <w:szCs w:val="22"/>
                <w:lang w:val="es-CR"/>
              </w:rPr>
            </w:pPr>
          </w:p>
        </w:tc>
        <w:tc>
          <w:tcPr>
            <w:tcW w:w="1515" w:type="dxa"/>
            <w:gridSpan w:val="3"/>
            <w:tcBorders>
              <w:top w:val="nil"/>
              <w:left w:val="nil"/>
              <w:bottom w:val="nil"/>
              <w:right w:val="nil"/>
            </w:tcBorders>
            <w:shd w:val="clear" w:color="auto" w:fill="auto"/>
            <w:noWrap/>
            <w:vAlign w:val="bottom"/>
          </w:tcPr>
          <w:p w14:paraId="3CA7F406" w14:textId="77777777" w:rsidR="00002FE4" w:rsidRPr="00205C60" w:rsidRDefault="00002FE4" w:rsidP="00F265E3">
            <w:pPr>
              <w:jc w:val="right"/>
              <w:rPr>
                <w:rFonts w:ascii="Verdana" w:hAnsi="Verdana"/>
                <w:color w:val="000000"/>
                <w:sz w:val="22"/>
                <w:szCs w:val="22"/>
                <w:lang w:val="es-CR"/>
              </w:rPr>
            </w:pPr>
          </w:p>
        </w:tc>
        <w:tc>
          <w:tcPr>
            <w:tcW w:w="246" w:type="dxa"/>
            <w:tcBorders>
              <w:top w:val="nil"/>
              <w:left w:val="nil"/>
              <w:bottom w:val="nil"/>
              <w:right w:val="nil"/>
            </w:tcBorders>
            <w:shd w:val="clear" w:color="auto" w:fill="auto"/>
            <w:noWrap/>
            <w:vAlign w:val="bottom"/>
          </w:tcPr>
          <w:p w14:paraId="3CA7F407" w14:textId="77777777" w:rsidR="00002FE4" w:rsidRPr="00205C60" w:rsidRDefault="00002FE4" w:rsidP="00F265E3">
            <w:pPr>
              <w:jc w:val="right"/>
              <w:rPr>
                <w:rFonts w:ascii="Verdana" w:hAnsi="Verdana"/>
                <w:color w:val="000000"/>
                <w:sz w:val="22"/>
                <w:szCs w:val="22"/>
                <w:lang w:val="es-CR"/>
              </w:rPr>
            </w:pPr>
          </w:p>
        </w:tc>
        <w:tc>
          <w:tcPr>
            <w:tcW w:w="1494" w:type="dxa"/>
            <w:gridSpan w:val="2"/>
            <w:tcBorders>
              <w:top w:val="nil"/>
              <w:left w:val="nil"/>
              <w:bottom w:val="nil"/>
              <w:right w:val="nil"/>
            </w:tcBorders>
            <w:shd w:val="clear" w:color="auto" w:fill="auto"/>
            <w:noWrap/>
            <w:vAlign w:val="bottom"/>
          </w:tcPr>
          <w:p w14:paraId="3CA7F408" w14:textId="77777777" w:rsidR="00002FE4" w:rsidRPr="00205C60" w:rsidRDefault="00002FE4" w:rsidP="00F265E3">
            <w:pPr>
              <w:jc w:val="right"/>
              <w:rPr>
                <w:rFonts w:ascii="Verdana" w:hAnsi="Verdana"/>
                <w:color w:val="000000"/>
                <w:sz w:val="22"/>
                <w:szCs w:val="22"/>
                <w:lang w:val="es-CR"/>
              </w:rPr>
            </w:pPr>
          </w:p>
        </w:tc>
      </w:tr>
      <w:tr w:rsidR="005C1DDC" w:rsidRPr="00205C60" w14:paraId="3CA7F40F" w14:textId="77777777" w:rsidTr="00570398">
        <w:trPr>
          <w:trHeight w:val="252"/>
        </w:trPr>
        <w:tc>
          <w:tcPr>
            <w:tcW w:w="4727" w:type="dxa"/>
            <w:gridSpan w:val="2"/>
            <w:tcBorders>
              <w:top w:val="nil"/>
              <w:left w:val="nil"/>
              <w:bottom w:val="nil"/>
              <w:right w:val="nil"/>
            </w:tcBorders>
            <w:shd w:val="clear" w:color="auto" w:fill="auto"/>
            <w:noWrap/>
            <w:vAlign w:val="bottom"/>
          </w:tcPr>
          <w:p w14:paraId="3CA7F40A" w14:textId="77777777" w:rsidR="005C1DDC" w:rsidRPr="00205C60" w:rsidRDefault="005C1DDC" w:rsidP="005C1DDC">
            <w:pPr>
              <w:ind w:left="702" w:right="-118" w:hanging="702"/>
              <w:rPr>
                <w:rFonts w:ascii="Verdana" w:hAnsi="Verdana"/>
                <w:color w:val="000000"/>
                <w:sz w:val="22"/>
                <w:szCs w:val="22"/>
                <w:lang w:val="es-CR"/>
              </w:rPr>
            </w:pPr>
            <w:r w:rsidRPr="00205C60">
              <w:rPr>
                <w:rFonts w:ascii="Verdana" w:hAnsi="Verdana"/>
                <w:color w:val="000000"/>
                <w:sz w:val="22"/>
                <w:szCs w:val="22"/>
                <w:lang w:val="es-CR"/>
              </w:rPr>
              <w:t>Instituto Costarricense de Electricidad (a)</w:t>
            </w:r>
          </w:p>
        </w:tc>
        <w:tc>
          <w:tcPr>
            <w:tcW w:w="517" w:type="dxa"/>
            <w:gridSpan w:val="2"/>
            <w:tcBorders>
              <w:top w:val="nil"/>
              <w:left w:val="nil"/>
              <w:bottom w:val="nil"/>
              <w:right w:val="nil"/>
            </w:tcBorders>
            <w:shd w:val="clear" w:color="auto" w:fill="auto"/>
            <w:noWrap/>
            <w:vAlign w:val="bottom"/>
            <w:hideMark/>
          </w:tcPr>
          <w:p w14:paraId="3CA7F40B" w14:textId="77777777" w:rsidR="005C1DDC" w:rsidRPr="00205C60" w:rsidRDefault="005C1DDC" w:rsidP="005C1DDC">
            <w:pPr>
              <w:rPr>
                <w:rFonts w:ascii="Verdana" w:hAnsi="Verdana"/>
                <w:color w:val="000000"/>
                <w:sz w:val="22"/>
                <w:szCs w:val="22"/>
                <w:lang w:val="en-US"/>
              </w:rPr>
            </w:pPr>
            <w:r w:rsidRPr="00205C60">
              <w:rPr>
                <w:rFonts w:ascii="Verdana" w:hAnsi="Verdana"/>
                <w:color w:val="000000"/>
                <w:sz w:val="22"/>
                <w:szCs w:val="22"/>
                <w:lang w:val="en-US"/>
              </w:rPr>
              <w:t>¢</w:t>
            </w:r>
          </w:p>
        </w:tc>
        <w:tc>
          <w:tcPr>
            <w:tcW w:w="1515" w:type="dxa"/>
            <w:gridSpan w:val="3"/>
            <w:tcBorders>
              <w:top w:val="nil"/>
              <w:left w:val="nil"/>
              <w:bottom w:val="nil"/>
              <w:right w:val="nil"/>
            </w:tcBorders>
            <w:shd w:val="clear" w:color="auto" w:fill="auto"/>
            <w:noWrap/>
            <w:vAlign w:val="bottom"/>
          </w:tcPr>
          <w:p w14:paraId="3CA7F40C" w14:textId="3001AD72" w:rsidR="005C1DDC" w:rsidRPr="00205C60" w:rsidRDefault="005C1DDC" w:rsidP="005C1DDC">
            <w:pPr>
              <w:jc w:val="right"/>
              <w:rPr>
                <w:rFonts w:ascii="Verdana" w:hAnsi="Verdana"/>
                <w:sz w:val="22"/>
                <w:szCs w:val="22"/>
              </w:rPr>
            </w:pPr>
            <w:r w:rsidRPr="00205C60">
              <w:rPr>
                <w:rFonts w:ascii="Verdana" w:hAnsi="Verdana"/>
                <w:sz w:val="22"/>
                <w:szCs w:val="22"/>
              </w:rPr>
              <w:t>6.</w:t>
            </w:r>
            <w:r w:rsidR="00F909BD" w:rsidRPr="00205C60">
              <w:rPr>
                <w:rFonts w:ascii="Verdana" w:hAnsi="Verdana"/>
                <w:sz w:val="22"/>
                <w:szCs w:val="22"/>
              </w:rPr>
              <w:t>729</w:t>
            </w:r>
            <w:r w:rsidRPr="00205C60">
              <w:rPr>
                <w:rFonts w:ascii="Verdana" w:hAnsi="Verdana"/>
                <w:sz w:val="22"/>
                <w:szCs w:val="22"/>
              </w:rPr>
              <w:t>.3</w:t>
            </w:r>
            <w:r w:rsidR="00F909BD" w:rsidRPr="00205C60">
              <w:rPr>
                <w:rFonts w:ascii="Verdana" w:hAnsi="Verdana"/>
                <w:sz w:val="22"/>
                <w:szCs w:val="22"/>
              </w:rPr>
              <w:t>90</w:t>
            </w:r>
          </w:p>
        </w:tc>
        <w:tc>
          <w:tcPr>
            <w:tcW w:w="246" w:type="dxa"/>
            <w:tcBorders>
              <w:top w:val="nil"/>
              <w:left w:val="nil"/>
              <w:bottom w:val="nil"/>
              <w:right w:val="nil"/>
            </w:tcBorders>
            <w:shd w:val="clear" w:color="auto" w:fill="auto"/>
            <w:noWrap/>
            <w:vAlign w:val="bottom"/>
          </w:tcPr>
          <w:p w14:paraId="3CA7F40D" w14:textId="77777777" w:rsidR="005C1DDC" w:rsidRPr="00205C60" w:rsidRDefault="005C1DDC" w:rsidP="005C1DDC">
            <w:pPr>
              <w:jc w:val="right"/>
              <w:rPr>
                <w:rFonts w:ascii="Verdana" w:hAnsi="Verdana"/>
                <w:color w:val="000000"/>
                <w:sz w:val="22"/>
                <w:szCs w:val="22"/>
                <w:lang w:val="en-US"/>
              </w:rPr>
            </w:pPr>
          </w:p>
        </w:tc>
        <w:tc>
          <w:tcPr>
            <w:tcW w:w="1494" w:type="dxa"/>
            <w:gridSpan w:val="2"/>
            <w:tcBorders>
              <w:top w:val="nil"/>
              <w:left w:val="nil"/>
              <w:bottom w:val="nil"/>
              <w:right w:val="nil"/>
            </w:tcBorders>
            <w:shd w:val="clear" w:color="auto" w:fill="auto"/>
            <w:noWrap/>
            <w:vAlign w:val="bottom"/>
          </w:tcPr>
          <w:p w14:paraId="3CA7F40E" w14:textId="246CDC34" w:rsidR="005C1DDC" w:rsidRPr="00205C60" w:rsidRDefault="005C1DDC" w:rsidP="005C1DDC">
            <w:pPr>
              <w:jc w:val="right"/>
              <w:rPr>
                <w:rFonts w:ascii="Verdana" w:hAnsi="Verdana"/>
                <w:sz w:val="22"/>
                <w:szCs w:val="22"/>
              </w:rPr>
            </w:pPr>
            <w:r w:rsidRPr="00205C60">
              <w:rPr>
                <w:rFonts w:ascii="Verdana" w:hAnsi="Verdana"/>
                <w:sz w:val="22"/>
                <w:szCs w:val="22"/>
              </w:rPr>
              <w:t>6.374.383</w:t>
            </w:r>
          </w:p>
        </w:tc>
      </w:tr>
      <w:tr w:rsidR="005C1DDC" w:rsidRPr="00205C60" w14:paraId="3CA7F415" w14:textId="77777777" w:rsidTr="00570398">
        <w:trPr>
          <w:trHeight w:val="80"/>
        </w:trPr>
        <w:tc>
          <w:tcPr>
            <w:tcW w:w="4727" w:type="dxa"/>
            <w:gridSpan w:val="2"/>
            <w:tcBorders>
              <w:top w:val="nil"/>
              <w:left w:val="nil"/>
              <w:bottom w:val="nil"/>
              <w:right w:val="nil"/>
            </w:tcBorders>
            <w:shd w:val="clear" w:color="auto" w:fill="auto"/>
            <w:noWrap/>
            <w:vAlign w:val="bottom"/>
          </w:tcPr>
          <w:p w14:paraId="3CA7F410" w14:textId="77777777" w:rsidR="005C1DDC" w:rsidRPr="00205C60" w:rsidRDefault="005C1DDC" w:rsidP="005C1DDC">
            <w:pPr>
              <w:rPr>
                <w:rFonts w:ascii="Verdana" w:hAnsi="Verdana"/>
                <w:color w:val="000000"/>
                <w:sz w:val="22"/>
                <w:szCs w:val="22"/>
                <w:lang w:val="es-CR"/>
              </w:rPr>
            </w:pPr>
            <w:r w:rsidRPr="00205C60">
              <w:rPr>
                <w:rFonts w:ascii="Verdana" w:hAnsi="Verdana"/>
                <w:color w:val="000000"/>
                <w:sz w:val="22"/>
                <w:szCs w:val="22"/>
              </w:rPr>
              <w:t>Radiográfica Costarricense, S.A. (b)</w:t>
            </w:r>
          </w:p>
        </w:tc>
        <w:tc>
          <w:tcPr>
            <w:tcW w:w="517" w:type="dxa"/>
            <w:gridSpan w:val="2"/>
            <w:tcBorders>
              <w:top w:val="nil"/>
              <w:left w:val="nil"/>
              <w:bottom w:val="nil"/>
              <w:right w:val="nil"/>
            </w:tcBorders>
            <w:shd w:val="clear" w:color="auto" w:fill="auto"/>
            <w:noWrap/>
            <w:vAlign w:val="bottom"/>
            <w:hideMark/>
          </w:tcPr>
          <w:p w14:paraId="3CA7F411" w14:textId="77777777" w:rsidR="005C1DDC" w:rsidRPr="00205C60" w:rsidRDefault="005C1DDC" w:rsidP="005C1DDC">
            <w:pPr>
              <w:rPr>
                <w:rFonts w:ascii="Verdana" w:hAnsi="Verdana"/>
                <w:color w:val="000000"/>
                <w:sz w:val="22"/>
                <w:szCs w:val="22"/>
                <w:lang w:val="es-CR"/>
              </w:rPr>
            </w:pPr>
          </w:p>
        </w:tc>
        <w:tc>
          <w:tcPr>
            <w:tcW w:w="1515" w:type="dxa"/>
            <w:gridSpan w:val="3"/>
            <w:tcBorders>
              <w:top w:val="nil"/>
              <w:left w:val="nil"/>
              <w:bottom w:val="nil"/>
              <w:right w:val="nil"/>
            </w:tcBorders>
            <w:shd w:val="clear" w:color="auto" w:fill="auto"/>
            <w:noWrap/>
            <w:vAlign w:val="bottom"/>
          </w:tcPr>
          <w:p w14:paraId="3CA7F412" w14:textId="199991AD" w:rsidR="005C1DDC" w:rsidRPr="00205C60" w:rsidRDefault="005C1DDC" w:rsidP="005C1DDC">
            <w:pPr>
              <w:jc w:val="right"/>
              <w:rPr>
                <w:rFonts w:ascii="Verdana" w:hAnsi="Verdana"/>
                <w:sz w:val="22"/>
                <w:szCs w:val="22"/>
              </w:rPr>
            </w:pPr>
            <w:r w:rsidRPr="00205C60">
              <w:rPr>
                <w:rFonts w:ascii="Verdana" w:hAnsi="Verdana"/>
                <w:sz w:val="22"/>
                <w:szCs w:val="22"/>
              </w:rPr>
              <w:t>4</w:t>
            </w:r>
            <w:r w:rsidR="00F909BD" w:rsidRPr="00205C60">
              <w:rPr>
                <w:rFonts w:ascii="Verdana" w:hAnsi="Verdana"/>
                <w:sz w:val="22"/>
                <w:szCs w:val="22"/>
              </w:rPr>
              <w:t>19</w:t>
            </w:r>
            <w:r w:rsidRPr="00205C60">
              <w:rPr>
                <w:rFonts w:ascii="Verdana" w:hAnsi="Verdana"/>
                <w:sz w:val="22"/>
                <w:szCs w:val="22"/>
              </w:rPr>
              <w:t>.</w:t>
            </w:r>
            <w:r w:rsidR="00F909BD" w:rsidRPr="00205C60">
              <w:rPr>
                <w:rFonts w:ascii="Verdana" w:hAnsi="Verdana"/>
                <w:sz w:val="22"/>
                <w:szCs w:val="22"/>
              </w:rPr>
              <w:t>203</w:t>
            </w:r>
          </w:p>
        </w:tc>
        <w:tc>
          <w:tcPr>
            <w:tcW w:w="246" w:type="dxa"/>
            <w:tcBorders>
              <w:top w:val="nil"/>
              <w:left w:val="nil"/>
              <w:bottom w:val="nil"/>
              <w:right w:val="nil"/>
            </w:tcBorders>
            <w:shd w:val="clear" w:color="auto" w:fill="auto"/>
            <w:noWrap/>
            <w:vAlign w:val="bottom"/>
          </w:tcPr>
          <w:p w14:paraId="3CA7F413" w14:textId="77777777" w:rsidR="005C1DDC" w:rsidRPr="00205C60" w:rsidRDefault="005C1DDC" w:rsidP="005C1DDC">
            <w:pPr>
              <w:jc w:val="right"/>
              <w:rPr>
                <w:rFonts w:ascii="Verdana" w:hAnsi="Verdana"/>
                <w:color w:val="000000"/>
                <w:sz w:val="22"/>
                <w:szCs w:val="22"/>
                <w:lang w:val="es-CR"/>
              </w:rPr>
            </w:pPr>
          </w:p>
        </w:tc>
        <w:tc>
          <w:tcPr>
            <w:tcW w:w="1494" w:type="dxa"/>
            <w:gridSpan w:val="2"/>
            <w:tcBorders>
              <w:top w:val="nil"/>
              <w:left w:val="nil"/>
              <w:bottom w:val="nil"/>
              <w:right w:val="nil"/>
            </w:tcBorders>
            <w:shd w:val="clear" w:color="auto" w:fill="auto"/>
            <w:noWrap/>
            <w:vAlign w:val="bottom"/>
          </w:tcPr>
          <w:p w14:paraId="3CA7F414" w14:textId="19619B99" w:rsidR="005C1DDC" w:rsidRPr="00205C60" w:rsidRDefault="005C1DDC" w:rsidP="005C1DDC">
            <w:pPr>
              <w:jc w:val="right"/>
              <w:rPr>
                <w:rFonts w:ascii="Verdana" w:hAnsi="Verdana"/>
                <w:sz w:val="22"/>
                <w:szCs w:val="22"/>
              </w:rPr>
            </w:pPr>
            <w:r w:rsidRPr="00205C60">
              <w:rPr>
                <w:rFonts w:ascii="Verdana" w:hAnsi="Verdana"/>
                <w:sz w:val="22"/>
                <w:szCs w:val="22"/>
              </w:rPr>
              <w:t>402.568</w:t>
            </w:r>
          </w:p>
        </w:tc>
      </w:tr>
      <w:tr w:rsidR="005C1DDC" w:rsidRPr="00205C60" w14:paraId="3CA7F41B" w14:textId="77777777" w:rsidTr="00570398">
        <w:trPr>
          <w:trHeight w:val="80"/>
        </w:trPr>
        <w:tc>
          <w:tcPr>
            <w:tcW w:w="4727" w:type="dxa"/>
            <w:gridSpan w:val="2"/>
            <w:tcBorders>
              <w:top w:val="nil"/>
              <w:left w:val="nil"/>
              <w:bottom w:val="nil"/>
              <w:right w:val="nil"/>
            </w:tcBorders>
            <w:shd w:val="clear" w:color="auto" w:fill="auto"/>
            <w:noWrap/>
            <w:vAlign w:val="bottom"/>
          </w:tcPr>
          <w:p w14:paraId="3CA7F416" w14:textId="77777777" w:rsidR="005C1DDC" w:rsidRPr="00205C60" w:rsidRDefault="005C1DDC" w:rsidP="005C1DDC">
            <w:pPr>
              <w:rPr>
                <w:rFonts w:ascii="Verdana" w:hAnsi="Verdana"/>
                <w:color w:val="000000"/>
                <w:sz w:val="22"/>
                <w:szCs w:val="22"/>
              </w:rPr>
            </w:pPr>
            <w:r w:rsidRPr="00205C60">
              <w:rPr>
                <w:rFonts w:ascii="Verdana" w:hAnsi="Verdana"/>
                <w:color w:val="000000"/>
                <w:sz w:val="22"/>
                <w:szCs w:val="22"/>
                <w:lang w:val="es-CR"/>
              </w:rPr>
              <w:t>Gobierno de Costa Rica- venta de energía (b)</w:t>
            </w:r>
          </w:p>
        </w:tc>
        <w:tc>
          <w:tcPr>
            <w:tcW w:w="517" w:type="dxa"/>
            <w:gridSpan w:val="2"/>
            <w:tcBorders>
              <w:top w:val="nil"/>
              <w:left w:val="nil"/>
              <w:bottom w:val="nil"/>
              <w:right w:val="nil"/>
            </w:tcBorders>
            <w:shd w:val="clear" w:color="auto" w:fill="auto"/>
            <w:noWrap/>
            <w:vAlign w:val="bottom"/>
          </w:tcPr>
          <w:p w14:paraId="3CA7F417" w14:textId="77777777" w:rsidR="005C1DDC" w:rsidRPr="00205C60" w:rsidRDefault="005C1DDC" w:rsidP="005C1DDC">
            <w:pPr>
              <w:rPr>
                <w:rFonts w:ascii="Verdana" w:hAnsi="Verdana"/>
                <w:color w:val="000000"/>
                <w:sz w:val="22"/>
                <w:szCs w:val="22"/>
                <w:lang w:val="es-CR"/>
              </w:rPr>
            </w:pPr>
          </w:p>
        </w:tc>
        <w:tc>
          <w:tcPr>
            <w:tcW w:w="1515" w:type="dxa"/>
            <w:gridSpan w:val="3"/>
            <w:tcBorders>
              <w:top w:val="nil"/>
              <w:left w:val="nil"/>
              <w:bottom w:val="single" w:sz="4" w:space="0" w:color="auto"/>
              <w:right w:val="nil"/>
            </w:tcBorders>
            <w:shd w:val="clear" w:color="auto" w:fill="auto"/>
            <w:noWrap/>
            <w:vAlign w:val="bottom"/>
          </w:tcPr>
          <w:p w14:paraId="3CA7F418" w14:textId="75BD30D4" w:rsidR="005C1DDC" w:rsidRPr="00205C60" w:rsidRDefault="00F909BD" w:rsidP="005C1DDC">
            <w:pPr>
              <w:jc w:val="right"/>
              <w:rPr>
                <w:rFonts w:ascii="Verdana" w:hAnsi="Verdana"/>
                <w:sz w:val="22"/>
                <w:szCs w:val="22"/>
              </w:rPr>
            </w:pPr>
            <w:r w:rsidRPr="00205C60">
              <w:rPr>
                <w:rFonts w:ascii="Verdana" w:hAnsi="Verdana"/>
                <w:sz w:val="22"/>
                <w:szCs w:val="22"/>
              </w:rPr>
              <w:t>5</w:t>
            </w:r>
            <w:r w:rsidR="005C1DDC" w:rsidRPr="00205C60">
              <w:rPr>
                <w:rFonts w:ascii="Verdana" w:hAnsi="Verdana"/>
                <w:sz w:val="22"/>
                <w:szCs w:val="22"/>
              </w:rPr>
              <w:t>.</w:t>
            </w:r>
            <w:r w:rsidRPr="00205C60">
              <w:rPr>
                <w:rFonts w:ascii="Verdana" w:hAnsi="Verdana"/>
                <w:sz w:val="22"/>
                <w:szCs w:val="22"/>
              </w:rPr>
              <w:t>055</w:t>
            </w:r>
            <w:r w:rsidR="005C1DDC" w:rsidRPr="00205C60">
              <w:rPr>
                <w:rFonts w:ascii="Verdana" w:hAnsi="Verdana"/>
                <w:sz w:val="22"/>
                <w:szCs w:val="22"/>
              </w:rPr>
              <w:t>.</w:t>
            </w:r>
            <w:r w:rsidRPr="00205C60">
              <w:rPr>
                <w:rFonts w:ascii="Verdana" w:hAnsi="Verdana"/>
                <w:sz w:val="22"/>
                <w:szCs w:val="22"/>
              </w:rPr>
              <w:t>719</w:t>
            </w:r>
          </w:p>
        </w:tc>
        <w:tc>
          <w:tcPr>
            <w:tcW w:w="246" w:type="dxa"/>
            <w:tcBorders>
              <w:top w:val="nil"/>
              <w:left w:val="nil"/>
              <w:bottom w:val="nil"/>
              <w:right w:val="nil"/>
            </w:tcBorders>
            <w:shd w:val="clear" w:color="auto" w:fill="auto"/>
            <w:noWrap/>
            <w:vAlign w:val="bottom"/>
          </w:tcPr>
          <w:p w14:paraId="3CA7F419" w14:textId="77777777" w:rsidR="005C1DDC" w:rsidRPr="00205C60" w:rsidRDefault="005C1DDC" w:rsidP="005C1DDC">
            <w:pPr>
              <w:jc w:val="right"/>
              <w:rPr>
                <w:rFonts w:ascii="Verdana" w:hAnsi="Verdana"/>
                <w:sz w:val="22"/>
                <w:szCs w:val="22"/>
              </w:rPr>
            </w:pPr>
          </w:p>
        </w:tc>
        <w:tc>
          <w:tcPr>
            <w:tcW w:w="1494" w:type="dxa"/>
            <w:gridSpan w:val="2"/>
            <w:tcBorders>
              <w:top w:val="nil"/>
              <w:left w:val="nil"/>
              <w:bottom w:val="single" w:sz="4" w:space="0" w:color="auto"/>
              <w:right w:val="nil"/>
            </w:tcBorders>
            <w:shd w:val="clear" w:color="auto" w:fill="auto"/>
            <w:noWrap/>
            <w:vAlign w:val="bottom"/>
          </w:tcPr>
          <w:p w14:paraId="3CA7F41A" w14:textId="63F535BD" w:rsidR="005C1DDC" w:rsidRPr="00205C60" w:rsidRDefault="005C1DDC" w:rsidP="005C1DDC">
            <w:pPr>
              <w:jc w:val="right"/>
              <w:rPr>
                <w:rFonts w:ascii="Verdana" w:hAnsi="Verdana"/>
                <w:sz w:val="22"/>
                <w:szCs w:val="22"/>
              </w:rPr>
            </w:pPr>
            <w:r w:rsidRPr="00205C60">
              <w:rPr>
                <w:rFonts w:ascii="Verdana" w:hAnsi="Verdana"/>
                <w:sz w:val="22"/>
                <w:szCs w:val="22"/>
              </w:rPr>
              <w:t>4.484.535</w:t>
            </w:r>
          </w:p>
        </w:tc>
      </w:tr>
      <w:tr w:rsidR="005C1DDC" w:rsidRPr="00205C60" w14:paraId="3CA7F421" w14:textId="77777777" w:rsidTr="00570398">
        <w:trPr>
          <w:trHeight w:val="70"/>
        </w:trPr>
        <w:tc>
          <w:tcPr>
            <w:tcW w:w="4727" w:type="dxa"/>
            <w:gridSpan w:val="2"/>
            <w:tcBorders>
              <w:top w:val="nil"/>
              <w:left w:val="nil"/>
              <w:bottom w:val="nil"/>
              <w:right w:val="nil"/>
            </w:tcBorders>
            <w:shd w:val="clear" w:color="auto" w:fill="auto"/>
            <w:noWrap/>
            <w:vAlign w:val="bottom"/>
            <w:hideMark/>
          </w:tcPr>
          <w:p w14:paraId="3CA7F41C" w14:textId="77777777" w:rsidR="005C1DDC" w:rsidRPr="00205C60" w:rsidRDefault="005C1DDC" w:rsidP="005C1DDC">
            <w:pPr>
              <w:ind w:left="702" w:right="-118" w:hanging="702"/>
              <w:rPr>
                <w:rFonts w:ascii="Verdana" w:hAnsi="Verdana"/>
                <w:color w:val="000000"/>
                <w:sz w:val="22"/>
                <w:szCs w:val="22"/>
                <w:lang w:val="es-CR"/>
              </w:rPr>
            </w:pPr>
          </w:p>
        </w:tc>
        <w:tc>
          <w:tcPr>
            <w:tcW w:w="517" w:type="dxa"/>
            <w:gridSpan w:val="2"/>
            <w:tcBorders>
              <w:top w:val="nil"/>
              <w:left w:val="nil"/>
              <w:bottom w:val="nil"/>
              <w:right w:val="nil"/>
            </w:tcBorders>
            <w:shd w:val="clear" w:color="auto" w:fill="auto"/>
            <w:noWrap/>
            <w:vAlign w:val="bottom"/>
            <w:hideMark/>
          </w:tcPr>
          <w:p w14:paraId="3CA7F41D" w14:textId="77777777" w:rsidR="005C1DDC" w:rsidRPr="00205C60" w:rsidRDefault="005C1DDC" w:rsidP="005C1DDC">
            <w:pPr>
              <w:rPr>
                <w:rFonts w:ascii="Verdana" w:hAnsi="Verdana"/>
                <w:sz w:val="22"/>
                <w:szCs w:val="22"/>
                <w:lang w:val="es-CR"/>
              </w:rPr>
            </w:pPr>
            <w:r w:rsidRPr="00205C60">
              <w:rPr>
                <w:rFonts w:ascii="Verdana" w:hAnsi="Verdana"/>
                <w:color w:val="000000"/>
                <w:sz w:val="22"/>
                <w:szCs w:val="22"/>
                <w:lang w:val="en-US"/>
              </w:rPr>
              <w:t>¢</w:t>
            </w:r>
          </w:p>
        </w:tc>
        <w:tc>
          <w:tcPr>
            <w:tcW w:w="1515" w:type="dxa"/>
            <w:gridSpan w:val="3"/>
            <w:tcBorders>
              <w:top w:val="single" w:sz="4" w:space="0" w:color="auto"/>
              <w:left w:val="nil"/>
              <w:bottom w:val="double" w:sz="4" w:space="0" w:color="auto"/>
              <w:right w:val="nil"/>
            </w:tcBorders>
            <w:shd w:val="clear" w:color="auto" w:fill="auto"/>
            <w:noWrap/>
            <w:vAlign w:val="bottom"/>
          </w:tcPr>
          <w:p w14:paraId="3CA7F41E" w14:textId="6F4D389C" w:rsidR="005C1DDC" w:rsidRPr="00205C60" w:rsidRDefault="005C1DDC" w:rsidP="005C1DDC">
            <w:pPr>
              <w:jc w:val="right"/>
              <w:rPr>
                <w:rFonts w:ascii="Verdana" w:hAnsi="Verdana"/>
                <w:sz w:val="22"/>
                <w:szCs w:val="22"/>
              </w:rPr>
            </w:pPr>
            <w:r w:rsidRPr="00205C60">
              <w:rPr>
                <w:rFonts w:ascii="Verdana" w:hAnsi="Verdana"/>
                <w:sz w:val="22"/>
                <w:szCs w:val="22"/>
              </w:rPr>
              <w:t>1</w:t>
            </w:r>
            <w:r w:rsidR="00F909BD" w:rsidRPr="00205C60">
              <w:rPr>
                <w:rFonts w:ascii="Verdana" w:hAnsi="Verdana"/>
                <w:sz w:val="22"/>
                <w:szCs w:val="22"/>
              </w:rPr>
              <w:t>2</w:t>
            </w:r>
            <w:r w:rsidRPr="00205C60">
              <w:rPr>
                <w:rFonts w:ascii="Verdana" w:hAnsi="Verdana"/>
                <w:sz w:val="22"/>
                <w:szCs w:val="22"/>
              </w:rPr>
              <w:t>.2</w:t>
            </w:r>
            <w:r w:rsidR="00570398" w:rsidRPr="00205C60">
              <w:rPr>
                <w:rFonts w:ascii="Verdana" w:hAnsi="Verdana"/>
                <w:sz w:val="22"/>
                <w:szCs w:val="22"/>
              </w:rPr>
              <w:t>04</w:t>
            </w:r>
            <w:r w:rsidRPr="00205C60">
              <w:rPr>
                <w:rFonts w:ascii="Verdana" w:hAnsi="Verdana"/>
                <w:sz w:val="22"/>
                <w:szCs w:val="22"/>
              </w:rPr>
              <w:t>.</w:t>
            </w:r>
            <w:r w:rsidR="00570398" w:rsidRPr="00205C60">
              <w:rPr>
                <w:rFonts w:ascii="Verdana" w:hAnsi="Verdana"/>
                <w:sz w:val="22"/>
                <w:szCs w:val="22"/>
              </w:rPr>
              <w:t>312</w:t>
            </w:r>
          </w:p>
        </w:tc>
        <w:tc>
          <w:tcPr>
            <w:tcW w:w="246" w:type="dxa"/>
            <w:tcBorders>
              <w:top w:val="nil"/>
              <w:left w:val="nil"/>
              <w:right w:val="nil"/>
            </w:tcBorders>
            <w:shd w:val="clear" w:color="auto" w:fill="auto"/>
            <w:noWrap/>
            <w:vAlign w:val="bottom"/>
          </w:tcPr>
          <w:p w14:paraId="3CA7F41F" w14:textId="77777777" w:rsidR="005C1DDC" w:rsidRPr="00205C60" w:rsidRDefault="005C1DDC" w:rsidP="005C1DDC">
            <w:pPr>
              <w:jc w:val="right"/>
              <w:rPr>
                <w:rFonts w:ascii="Verdana" w:hAnsi="Verdana"/>
                <w:sz w:val="22"/>
                <w:szCs w:val="22"/>
              </w:rPr>
            </w:pPr>
          </w:p>
        </w:tc>
        <w:tc>
          <w:tcPr>
            <w:tcW w:w="1494" w:type="dxa"/>
            <w:gridSpan w:val="2"/>
            <w:tcBorders>
              <w:top w:val="single" w:sz="4" w:space="0" w:color="auto"/>
              <w:left w:val="nil"/>
              <w:bottom w:val="double" w:sz="4" w:space="0" w:color="auto"/>
              <w:right w:val="nil"/>
            </w:tcBorders>
            <w:shd w:val="clear" w:color="auto" w:fill="auto"/>
            <w:noWrap/>
            <w:vAlign w:val="bottom"/>
          </w:tcPr>
          <w:p w14:paraId="3CA7F420" w14:textId="1EC8BA17" w:rsidR="005C1DDC" w:rsidRPr="00205C60" w:rsidRDefault="00081815" w:rsidP="00081815">
            <w:pPr>
              <w:rPr>
                <w:rFonts w:ascii="Verdana" w:hAnsi="Verdana"/>
                <w:sz w:val="22"/>
                <w:szCs w:val="22"/>
              </w:rPr>
            </w:pPr>
            <w:r w:rsidRPr="00205C60">
              <w:rPr>
                <w:rFonts w:ascii="Verdana" w:hAnsi="Verdana"/>
                <w:sz w:val="22"/>
                <w:szCs w:val="22"/>
              </w:rPr>
              <w:t xml:space="preserve"> </w:t>
            </w:r>
            <w:r w:rsidR="005C1DDC" w:rsidRPr="00205C60">
              <w:rPr>
                <w:rFonts w:ascii="Verdana" w:hAnsi="Verdana"/>
                <w:sz w:val="22"/>
                <w:szCs w:val="22"/>
              </w:rPr>
              <w:t>11.261.46</w:t>
            </w:r>
          </w:p>
        </w:tc>
      </w:tr>
      <w:tr w:rsidR="00002FE4" w:rsidRPr="00205C60" w14:paraId="3CA7F425" w14:textId="77777777" w:rsidTr="00570398">
        <w:trPr>
          <w:gridAfter w:val="1"/>
          <w:wAfter w:w="199" w:type="dxa"/>
          <w:trHeight w:val="70"/>
        </w:trPr>
        <w:tc>
          <w:tcPr>
            <w:tcW w:w="4382" w:type="dxa"/>
            <w:tcBorders>
              <w:top w:val="nil"/>
              <w:left w:val="nil"/>
              <w:bottom w:val="nil"/>
              <w:right w:val="nil"/>
            </w:tcBorders>
            <w:shd w:val="clear" w:color="auto" w:fill="auto"/>
            <w:noWrap/>
            <w:vAlign w:val="bottom"/>
          </w:tcPr>
          <w:p w14:paraId="3CA7F422" w14:textId="77777777" w:rsidR="00002FE4" w:rsidRPr="00205C60" w:rsidRDefault="00002FE4" w:rsidP="00F265E3">
            <w:pPr>
              <w:ind w:left="702" w:right="-118" w:hanging="702"/>
              <w:rPr>
                <w:rFonts w:ascii="Verdana" w:hAnsi="Verdana"/>
                <w:color w:val="000000"/>
                <w:sz w:val="22"/>
                <w:szCs w:val="22"/>
                <w:u w:val="single"/>
                <w:lang w:val="es-CR"/>
              </w:rPr>
            </w:pPr>
          </w:p>
        </w:tc>
        <w:tc>
          <w:tcPr>
            <w:tcW w:w="358" w:type="dxa"/>
            <w:gridSpan w:val="2"/>
            <w:tcBorders>
              <w:top w:val="nil"/>
              <w:left w:val="nil"/>
              <w:bottom w:val="nil"/>
              <w:right w:val="nil"/>
            </w:tcBorders>
            <w:shd w:val="clear" w:color="auto" w:fill="auto"/>
            <w:noWrap/>
            <w:vAlign w:val="bottom"/>
          </w:tcPr>
          <w:p w14:paraId="3CA7F423" w14:textId="77777777" w:rsidR="00002FE4" w:rsidRPr="00205C60" w:rsidRDefault="00002FE4" w:rsidP="00F265E3">
            <w:pPr>
              <w:rPr>
                <w:rFonts w:ascii="Verdana" w:hAnsi="Verdana"/>
                <w:sz w:val="22"/>
                <w:szCs w:val="22"/>
                <w:lang w:val="es-CR"/>
              </w:rPr>
            </w:pPr>
          </w:p>
        </w:tc>
        <w:tc>
          <w:tcPr>
            <w:tcW w:w="3560" w:type="dxa"/>
            <w:gridSpan w:val="6"/>
            <w:tcBorders>
              <w:left w:val="nil"/>
              <w:right w:val="nil"/>
            </w:tcBorders>
            <w:shd w:val="clear" w:color="auto" w:fill="auto"/>
            <w:noWrap/>
            <w:vAlign w:val="bottom"/>
          </w:tcPr>
          <w:p w14:paraId="3CA7F424" w14:textId="77777777" w:rsidR="00002FE4" w:rsidRPr="00205C60" w:rsidRDefault="00002FE4" w:rsidP="00F265E3">
            <w:pPr>
              <w:jc w:val="right"/>
              <w:rPr>
                <w:rFonts w:ascii="Verdana" w:hAnsi="Verdana"/>
                <w:sz w:val="22"/>
                <w:szCs w:val="22"/>
              </w:rPr>
            </w:pPr>
          </w:p>
        </w:tc>
      </w:tr>
      <w:tr w:rsidR="00002FE4" w:rsidRPr="00205C60" w14:paraId="3CA7F429" w14:textId="77777777" w:rsidTr="00570398">
        <w:trPr>
          <w:gridAfter w:val="1"/>
          <w:wAfter w:w="199" w:type="dxa"/>
          <w:trHeight w:val="70"/>
        </w:trPr>
        <w:tc>
          <w:tcPr>
            <w:tcW w:w="4382" w:type="dxa"/>
            <w:tcBorders>
              <w:top w:val="nil"/>
              <w:left w:val="nil"/>
              <w:bottom w:val="nil"/>
              <w:right w:val="nil"/>
            </w:tcBorders>
            <w:shd w:val="clear" w:color="auto" w:fill="auto"/>
            <w:noWrap/>
            <w:vAlign w:val="bottom"/>
          </w:tcPr>
          <w:p w14:paraId="3CA7F426" w14:textId="77777777" w:rsidR="00002FE4" w:rsidRPr="00205C60" w:rsidRDefault="00002FE4" w:rsidP="00F265E3">
            <w:pPr>
              <w:ind w:left="702" w:right="-118" w:hanging="702"/>
              <w:rPr>
                <w:rFonts w:ascii="Verdana" w:hAnsi="Verdana"/>
                <w:color w:val="000000"/>
                <w:sz w:val="22"/>
                <w:szCs w:val="22"/>
                <w:u w:val="single"/>
                <w:lang w:val="es-CR"/>
              </w:rPr>
            </w:pPr>
          </w:p>
        </w:tc>
        <w:tc>
          <w:tcPr>
            <w:tcW w:w="358" w:type="dxa"/>
            <w:gridSpan w:val="2"/>
            <w:tcBorders>
              <w:top w:val="nil"/>
              <w:left w:val="nil"/>
              <w:bottom w:val="nil"/>
              <w:right w:val="nil"/>
            </w:tcBorders>
            <w:shd w:val="clear" w:color="auto" w:fill="auto"/>
            <w:noWrap/>
            <w:vAlign w:val="bottom"/>
          </w:tcPr>
          <w:p w14:paraId="3CA7F427" w14:textId="77777777" w:rsidR="00002FE4" w:rsidRPr="00205C60" w:rsidRDefault="00002FE4" w:rsidP="00F265E3">
            <w:pPr>
              <w:rPr>
                <w:rFonts w:ascii="Verdana" w:hAnsi="Verdana"/>
                <w:sz w:val="22"/>
                <w:szCs w:val="22"/>
                <w:lang w:val="es-CR"/>
              </w:rPr>
            </w:pPr>
          </w:p>
        </w:tc>
        <w:tc>
          <w:tcPr>
            <w:tcW w:w="3560" w:type="dxa"/>
            <w:gridSpan w:val="6"/>
            <w:tcBorders>
              <w:left w:val="nil"/>
              <w:right w:val="nil"/>
            </w:tcBorders>
            <w:shd w:val="clear" w:color="auto" w:fill="auto"/>
            <w:noWrap/>
            <w:vAlign w:val="bottom"/>
          </w:tcPr>
          <w:p w14:paraId="60502B05" w14:textId="77777777" w:rsidR="004E5327" w:rsidRPr="00205C60" w:rsidRDefault="004E5327" w:rsidP="00F265E3">
            <w:pPr>
              <w:jc w:val="center"/>
              <w:rPr>
                <w:rFonts w:ascii="Verdana" w:hAnsi="Verdana"/>
                <w:color w:val="000000"/>
                <w:sz w:val="22"/>
                <w:szCs w:val="22"/>
                <w:u w:val="single"/>
                <w:lang w:val="es-CR"/>
              </w:rPr>
            </w:pPr>
          </w:p>
          <w:p w14:paraId="3CA7F428" w14:textId="05246555" w:rsidR="00002FE4" w:rsidRPr="00205C60" w:rsidRDefault="00002FE4" w:rsidP="00F265E3">
            <w:pPr>
              <w:jc w:val="center"/>
              <w:rPr>
                <w:rFonts w:ascii="Verdana" w:hAnsi="Verdana"/>
                <w:sz w:val="22"/>
                <w:szCs w:val="22"/>
              </w:rPr>
            </w:pPr>
            <w:r w:rsidRPr="00205C60">
              <w:rPr>
                <w:rFonts w:ascii="Verdana" w:hAnsi="Verdana"/>
                <w:color w:val="000000"/>
                <w:sz w:val="22"/>
                <w:szCs w:val="22"/>
                <w:u w:val="single"/>
                <w:lang w:val="es-CR"/>
              </w:rPr>
              <w:t>Por el año terminado al</w:t>
            </w:r>
          </w:p>
        </w:tc>
      </w:tr>
      <w:tr w:rsidR="00002FE4" w:rsidRPr="00205C60" w14:paraId="3CA7F42D" w14:textId="77777777" w:rsidTr="00570398">
        <w:trPr>
          <w:gridAfter w:val="1"/>
          <w:wAfter w:w="199" w:type="dxa"/>
          <w:trHeight w:val="70"/>
        </w:trPr>
        <w:tc>
          <w:tcPr>
            <w:tcW w:w="4382" w:type="dxa"/>
            <w:tcBorders>
              <w:top w:val="nil"/>
              <w:left w:val="nil"/>
              <w:bottom w:val="nil"/>
              <w:right w:val="nil"/>
            </w:tcBorders>
            <w:shd w:val="clear" w:color="auto" w:fill="auto"/>
            <w:noWrap/>
            <w:vAlign w:val="bottom"/>
          </w:tcPr>
          <w:p w14:paraId="3CA7F42A" w14:textId="77777777" w:rsidR="00002FE4" w:rsidRPr="00205C60" w:rsidRDefault="00002FE4" w:rsidP="00F265E3">
            <w:pPr>
              <w:ind w:left="702" w:right="-118" w:hanging="702"/>
              <w:rPr>
                <w:rFonts w:ascii="Verdana" w:hAnsi="Verdana"/>
                <w:color w:val="000000"/>
                <w:sz w:val="22"/>
                <w:szCs w:val="22"/>
                <w:u w:val="single"/>
                <w:lang w:val="es-CR"/>
              </w:rPr>
            </w:pPr>
          </w:p>
        </w:tc>
        <w:tc>
          <w:tcPr>
            <w:tcW w:w="358" w:type="dxa"/>
            <w:gridSpan w:val="2"/>
            <w:tcBorders>
              <w:top w:val="nil"/>
              <w:left w:val="nil"/>
              <w:bottom w:val="nil"/>
              <w:right w:val="nil"/>
            </w:tcBorders>
            <w:shd w:val="clear" w:color="auto" w:fill="auto"/>
            <w:noWrap/>
            <w:vAlign w:val="bottom"/>
          </w:tcPr>
          <w:p w14:paraId="3CA7F42B" w14:textId="77777777" w:rsidR="00002FE4" w:rsidRPr="00205C60" w:rsidRDefault="00002FE4" w:rsidP="00F265E3">
            <w:pPr>
              <w:rPr>
                <w:rFonts w:ascii="Verdana" w:hAnsi="Verdana"/>
                <w:sz w:val="22"/>
                <w:szCs w:val="22"/>
                <w:lang w:val="es-CR"/>
              </w:rPr>
            </w:pPr>
          </w:p>
        </w:tc>
        <w:tc>
          <w:tcPr>
            <w:tcW w:w="3560" w:type="dxa"/>
            <w:gridSpan w:val="6"/>
            <w:tcBorders>
              <w:left w:val="nil"/>
              <w:right w:val="nil"/>
            </w:tcBorders>
            <w:shd w:val="clear" w:color="auto" w:fill="auto"/>
            <w:noWrap/>
            <w:vAlign w:val="bottom"/>
          </w:tcPr>
          <w:p w14:paraId="3CA7F42C" w14:textId="77777777" w:rsidR="00002FE4" w:rsidRPr="00205C60" w:rsidRDefault="00002FE4" w:rsidP="00F265E3">
            <w:pPr>
              <w:jc w:val="center"/>
              <w:rPr>
                <w:rFonts w:ascii="Verdana" w:hAnsi="Verdana"/>
                <w:sz w:val="22"/>
                <w:szCs w:val="22"/>
              </w:rPr>
            </w:pPr>
            <w:r w:rsidRPr="00205C60">
              <w:rPr>
                <w:rFonts w:ascii="Verdana" w:hAnsi="Verdana"/>
                <w:color w:val="000000"/>
                <w:sz w:val="22"/>
                <w:szCs w:val="22"/>
                <w:u w:val="single"/>
                <w:lang w:val="es-CR"/>
              </w:rPr>
              <w:t>31 de diciembre del</w:t>
            </w:r>
          </w:p>
        </w:tc>
      </w:tr>
      <w:tr w:rsidR="00002FE4" w:rsidRPr="00205C60" w14:paraId="3CA7F433" w14:textId="77777777" w:rsidTr="00570398">
        <w:trPr>
          <w:gridAfter w:val="1"/>
          <w:wAfter w:w="199" w:type="dxa"/>
          <w:trHeight w:val="70"/>
        </w:trPr>
        <w:tc>
          <w:tcPr>
            <w:tcW w:w="4382" w:type="dxa"/>
            <w:tcBorders>
              <w:top w:val="nil"/>
              <w:left w:val="nil"/>
              <w:bottom w:val="nil"/>
              <w:right w:val="nil"/>
            </w:tcBorders>
            <w:shd w:val="clear" w:color="auto" w:fill="auto"/>
            <w:noWrap/>
            <w:vAlign w:val="bottom"/>
          </w:tcPr>
          <w:p w14:paraId="3CA7F42E" w14:textId="77777777" w:rsidR="00002FE4" w:rsidRPr="00205C60" w:rsidRDefault="00002FE4" w:rsidP="00F265E3">
            <w:pPr>
              <w:ind w:left="702" w:right="-118" w:hanging="702"/>
              <w:rPr>
                <w:rFonts w:ascii="Verdana" w:hAnsi="Verdana"/>
                <w:color w:val="000000"/>
                <w:sz w:val="22"/>
                <w:szCs w:val="22"/>
                <w:u w:val="single"/>
                <w:lang w:val="es-CR"/>
              </w:rPr>
            </w:pPr>
          </w:p>
        </w:tc>
        <w:tc>
          <w:tcPr>
            <w:tcW w:w="358" w:type="dxa"/>
            <w:gridSpan w:val="2"/>
            <w:tcBorders>
              <w:top w:val="nil"/>
              <w:left w:val="nil"/>
              <w:bottom w:val="nil"/>
              <w:right w:val="nil"/>
            </w:tcBorders>
            <w:shd w:val="clear" w:color="auto" w:fill="auto"/>
            <w:noWrap/>
            <w:vAlign w:val="bottom"/>
          </w:tcPr>
          <w:p w14:paraId="3CA7F42F" w14:textId="77777777" w:rsidR="00002FE4" w:rsidRPr="00205C60" w:rsidRDefault="00002FE4" w:rsidP="00F265E3">
            <w:pPr>
              <w:rPr>
                <w:rFonts w:ascii="Verdana" w:hAnsi="Verdana"/>
                <w:sz w:val="22"/>
                <w:szCs w:val="22"/>
                <w:lang w:val="es-CR"/>
              </w:rPr>
            </w:pPr>
          </w:p>
        </w:tc>
        <w:tc>
          <w:tcPr>
            <w:tcW w:w="1620" w:type="dxa"/>
            <w:gridSpan w:val="2"/>
            <w:tcBorders>
              <w:left w:val="nil"/>
              <w:right w:val="nil"/>
            </w:tcBorders>
            <w:shd w:val="clear" w:color="auto" w:fill="auto"/>
            <w:noWrap/>
            <w:vAlign w:val="bottom"/>
          </w:tcPr>
          <w:p w14:paraId="3CA7F430" w14:textId="20E42866" w:rsidR="00002FE4" w:rsidRPr="00205C60" w:rsidRDefault="00002FE4" w:rsidP="00F265E3">
            <w:pPr>
              <w:jc w:val="center"/>
              <w:rPr>
                <w:rFonts w:ascii="Verdana" w:hAnsi="Verdana"/>
                <w:sz w:val="22"/>
                <w:szCs w:val="22"/>
              </w:rPr>
            </w:pPr>
            <w:r w:rsidRPr="00205C60">
              <w:rPr>
                <w:rFonts w:ascii="Verdana" w:hAnsi="Verdana"/>
                <w:color w:val="000000"/>
                <w:sz w:val="22"/>
                <w:szCs w:val="22"/>
                <w:u w:val="single"/>
                <w:lang w:val="es-CR"/>
              </w:rPr>
              <w:t>202</w:t>
            </w:r>
            <w:r w:rsidR="00570398" w:rsidRPr="00205C60">
              <w:rPr>
                <w:rFonts w:ascii="Verdana" w:hAnsi="Verdana"/>
                <w:color w:val="000000"/>
                <w:sz w:val="22"/>
                <w:szCs w:val="22"/>
                <w:u w:val="single"/>
                <w:lang w:val="es-CR"/>
              </w:rPr>
              <w:t>2</w:t>
            </w:r>
          </w:p>
        </w:tc>
        <w:tc>
          <w:tcPr>
            <w:tcW w:w="246" w:type="dxa"/>
            <w:tcBorders>
              <w:left w:val="nil"/>
              <w:right w:val="nil"/>
            </w:tcBorders>
            <w:shd w:val="clear" w:color="auto" w:fill="auto"/>
            <w:noWrap/>
            <w:vAlign w:val="bottom"/>
          </w:tcPr>
          <w:p w14:paraId="3CA7F431" w14:textId="77777777" w:rsidR="00002FE4" w:rsidRPr="00205C60" w:rsidRDefault="00002FE4" w:rsidP="00F265E3">
            <w:pPr>
              <w:jc w:val="center"/>
              <w:rPr>
                <w:rFonts w:ascii="Verdana" w:hAnsi="Verdana"/>
                <w:sz w:val="22"/>
                <w:szCs w:val="22"/>
              </w:rPr>
            </w:pPr>
          </w:p>
        </w:tc>
        <w:tc>
          <w:tcPr>
            <w:tcW w:w="1694" w:type="dxa"/>
            <w:gridSpan w:val="3"/>
            <w:tcBorders>
              <w:left w:val="nil"/>
              <w:right w:val="nil"/>
            </w:tcBorders>
            <w:shd w:val="clear" w:color="auto" w:fill="auto"/>
            <w:noWrap/>
            <w:vAlign w:val="bottom"/>
          </w:tcPr>
          <w:p w14:paraId="3CA7F432" w14:textId="3825A9AA" w:rsidR="00002FE4" w:rsidRPr="00205C60" w:rsidRDefault="00002FE4" w:rsidP="00F265E3">
            <w:pPr>
              <w:jc w:val="center"/>
              <w:rPr>
                <w:rFonts w:ascii="Verdana" w:hAnsi="Verdana"/>
                <w:sz w:val="22"/>
                <w:szCs w:val="22"/>
              </w:rPr>
            </w:pPr>
            <w:r w:rsidRPr="00205C60">
              <w:rPr>
                <w:rFonts w:ascii="Verdana" w:hAnsi="Verdana"/>
                <w:color w:val="000000"/>
                <w:sz w:val="22"/>
                <w:szCs w:val="22"/>
                <w:u w:val="single"/>
                <w:lang w:val="es-CR"/>
              </w:rPr>
              <w:t>20</w:t>
            </w:r>
            <w:r w:rsidR="001F0A31" w:rsidRPr="00205C60">
              <w:rPr>
                <w:rFonts w:ascii="Verdana" w:hAnsi="Verdana"/>
                <w:color w:val="000000"/>
                <w:sz w:val="22"/>
                <w:szCs w:val="22"/>
                <w:u w:val="single"/>
                <w:lang w:val="es-CR"/>
              </w:rPr>
              <w:t>2</w:t>
            </w:r>
            <w:r w:rsidR="00570398" w:rsidRPr="00205C60">
              <w:rPr>
                <w:rFonts w:ascii="Verdana" w:hAnsi="Verdana"/>
                <w:color w:val="000000"/>
                <w:sz w:val="22"/>
                <w:szCs w:val="22"/>
                <w:u w:val="single"/>
                <w:lang w:val="es-CR"/>
              </w:rPr>
              <w:t>1</w:t>
            </w:r>
          </w:p>
        </w:tc>
      </w:tr>
      <w:tr w:rsidR="00002FE4" w:rsidRPr="00205C60" w14:paraId="3CA7F439" w14:textId="77777777" w:rsidTr="00570398">
        <w:trPr>
          <w:gridAfter w:val="1"/>
          <w:wAfter w:w="199" w:type="dxa"/>
          <w:trHeight w:val="70"/>
        </w:trPr>
        <w:tc>
          <w:tcPr>
            <w:tcW w:w="4382" w:type="dxa"/>
            <w:tcBorders>
              <w:top w:val="nil"/>
              <w:left w:val="nil"/>
              <w:bottom w:val="nil"/>
              <w:right w:val="nil"/>
            </w:tcBorders>
            <w:shd w:val="clear" w:color="auto" w:fill="auto"/>
            <w:noWrap/>
            <w:vAlign w:val="bottom"/>
          </w:tcPr>
          <w:p w14:paraId="3CA7F434" w14:textId="77777777" w:rsidR="00002FE4" w:rsidRPr="00205C60" w:rsidRDefault="00002FE4" w:rsidP="00F265E3">
            <w:pPr>
              <w:ind w:left="702" w:right="-118" w:hanging="702"/>
              <w:rPr>
                <w:rFonts w:ascii="Verdana" w:hAnsi="Verdana"/>
                <w:color w:val="000000"/>
                <w:sz w:val="22"/>
                <w:szCs w:val="22"/>
                <w:lang w:val="es-CR"/>
              </w:rPr>
            </w:pPr>
            <w:r w:rsidRPr="00205C60">
              <w:rPr>
                <w:rFonts w:ascii="Verdana" w:hAnsi="Verdana"/>
                <w:color w:val="000000"/>
                <w:sz w:val="22"/>
                <w:szCs w:val="22"/>
                <w:u w:val="single"/>
                <w:lang w:val="es-CR"/>
              </w:rPr>
              <w:t>Ingresos por servicios</w:t>
            </w:r>
          </w:p>
        </w:tc>
        <w:tc>
          <w:tcPr>
            <w:tcW w:w="358" w:type="dxa"/>
            <w:gridSpan w:val="2"/>
            <w:tcBorders>
              <w:top w:val="nil"/>
              <w:left w:val="nil"/>
              <w:bottom w:val="nil"/>
              <w:right w:val="nil"/>
            </w:tcBorders>
            <w:shd w:val="clear" w:color="auto" w:fill="auto"/>
            <w:noWrap/>
            <w:vAlign w:val="bottom"/>
          </w:tcPr>
          <w:p w14:paraId="3CA7F435" w14:textId="77777777" w:rsidR="00002FE4" w:rsidRPr="00205C60" w:rsidRDefault="00002FE4" w:rsidP="00F265E3">
            <w:pPr>
              <w:rPr>
                <w:rFonts w:ascii="Verdana" w:hAnsi="Verdana"/>
                <w:sz w:val="22"/>
                <w:szCs w:val="22"/>
                <w:lang w:val="es-CR"/>
              </w:rPr>
            </w:pPr>
          </w:p>
        </w:tc>
        <w:tc>
          <w:tcPr>
            <w:tcW w:w="1620" w:type="dxa"/>
            <w:gridSpan w:val="2"/>
            <w:tcBorders>
              <w:left w:val="nil"/>
              <w:right w:val="nil"/>
            </w:tcBorders>
            <w:shd w:val="clear" w:color="auto" w:fill="auto"/>
            <w:noWrap/>
            <w:vAlign w:val="bottom"/>
          </w:tcPr>
          <w:p w14:paraId="3CA7F436" w14:textId="77777777" w:rsidR="00002FE4" w:rsidRPr="00205C60" w:rsidRDefault="00002FE4" w:rsidP="00F265E3">
            <w:pPr>
              <w:jc w:val="right"/>
              <w:rPr>
                <w:rFonts w:ascii="Verdana" w:hAnsi="Verdana"/>
                <w:sz w:val="22"/>
                <w:szCs w:val="22"/>
              </w:rPr>
            </w:pPr>
          </w:p>
        </w:tc>
        <w:tc>
          <w:tcPr>
            <w:tcW w:w="246" w:type="dxa"/>
            <w:tcBorders>
              <w:left w:val="nil"/>
              <w:right w:val="nil"/>
            </w:tcBorders>
            <w:shd w:val="clear" w:color="auto" w:fill="auto"/>
            <w:noWrap/>
            <w:vAlign w:val="bottom"/>
          </w:tcPr>
          <w:p w14:paraId="3CA7F437" w14:textId="77777777" w:rsidR="00002FE4" w:rsidRPr="00205C60" w:rsidRDefault="00002FE4" w:rsidP="00F265E3">
            <w:pPr>
              <w:jc w:val="right"/>
              <w:rPr>
                <w:rFonts w:ascii="Verdana" w:hAnsi="Verdana"/>
                <w:sz w:val="22"/>
                <w:szCs w:val="22"/>
              </w:rPr>
            </w:pPr>
          </w:p>
        </w:tc>
        <w:tc>
          <w:tcPr>
            <w:tcW w:w="1694" w:type="dxa"/>
            <w:gridSpan w:val="3"/>
            <w:tcBorders>
              <w:left w:val="nil"/>
              <w:right w:val="nil"/>
            </w:tcBorders>
            <w:shd w:val="clear" w:color="auto" w:fill="auto"/>
            <w:noWrap/>
            <w:vAlign w:val="bottom"/>
          </w:tcPr>
          <w:p w14:paraId="3CA7F438" w14:textId="77777777" w:rsidR="00002FE4" w:rsidRPr="00205C60" w:rsidRDefault="00002FE4" w:rsidP="00F265E3">
            <w:pPr>
              <w:jc w:val="right"/>
              <w:rPr>
                <w:rFonts w:ascii="Verdana" w:hAnsi="Verdana"/>
                <w:sz w:val="22"/>
                <w:szCs w:val="22"/>
              </w:rPr>
            </w:pPr>
          </w:p>
        </w:tc>
      </w:tr>
      <w:tr w:rsidR="00570398" w:rsidRPr="00205C60" w14:paraId="3CA7F43F" w14:textId="77777777" w:rsidTr="00570398">
        <w:trPr>
          <w:gridAfter w:val="1"/>
          <w:wAfter w:w="199" w:type="dxa"/>
          <w:trHeight w:val="70"/>
        </w:trPr>
        <w:tc>
          <w:tcPr>
            <w:tcW w:w="4382" w:type="dxa"/>
            <w:tcBorders>
              <w:top w:val="nil"/>
              <w:left w:val="nil"/>
              <w:bottom w:val="nil"/>
              <w:right w:val="nil"/>
            </w:tcBorders>
            <w:shd w:val="clear" w:color="auto" w:fill="auto"/>
            <w:noWrap/>
            <w:vAlign w:val="bottom"/>
          </w:tcPr>
          <w:p w14:paraId="3CA7F43A" w14:textId="77777777" w:rsidR="00570398" w:rsidRPr="00205C60" w:rsidRDefault="00570398" w:rsidP="00570398">
            <w:pPr>
              <w:ind w:left="702" w:right="-118" w:hanging="702"/>
              <w:rPr>
                <w:rFonts w:ascii="Verdana" w:hAnsi="Verdana"/>
                <w:color w:val="000000"/>
                <w:sz w:val="22"/>
                <w:szCs w:val="22"/>
                <w:lang w:val="es-CR"/>
              </w:rPr>
            </w:pPr>
            <w:r w:rsidRPr="00205C60">
              <w:rPr>
                <w:rFonts w:ascii="Verdana" w:hAnsi="Verdana"/>
                <w:color w:val="000000"/>
                <w:sz w:val="22"/>
                <w:szCs w:val="22"/>
                <w:lang w:val="es-CR"/>
              </w:rPr>
              <w:t>Instituto Costarricense de Electricidad (a)</w:t>
            </w:r>
          </w:p>
        </w:tc>
        <w:tc>
          <w:tcPr>
            <w:tcW w:w="358" w:type="dxa"/>
            <w:gridSpan w:val="2"/>
            <w:tcBorders>
              <w:top w:val="nil"/>
              <w:left w:val="nil"/>
              <w:bottom w:val="nil"/>
              <w:right w:val="nil"/>
            </w:tcBorders>
            <w:shd w:val="clear" w:color="auto" w:fill="auto"/>
            <w:noWrap/>
            <w:vAlign w:val="bottom"/>
          </w:tcPr>
          <w:p w14:paraId="3CA7F43B" w14:textId="77777777" w:rsidR="00570398" w:rsidRPr="00205C60" w:rsidRDefault="00570398" w:rsidP="00570398">
            <w:pPr>
              <w:rPr>
                <w:rFonts w:ascii="Verdana" w:hAnsi="Verdana"/>
                <w:sz w:val="22"/>
                <w:szCs w:val="22"/>
                <w:lang w:val="es-CR"/>
              </w:rPr>
            </w:pPr>
            <w:r w:rsidRPr="00205C60">
              <w:rPr>
                <w:rFonts w:ascii="Verdana" w:hAnsi="Verdana"/>
                <w:color w:val="000000"/>
                <w:sz w:val="22"/>
                <w:szCs w:val="22"/>
                <w:lang w:val="es-CR"/>
              </w:rPr>
              <w:t>¢</w:t>
            </w:r>
          </w:p>
        </w:tc>
        <w:tc>
          <w:tcPr>
            <w:tcW w:w="1620" w:type="dxa"/>
            <w:gridSpan w:val="2"/>
            <w:tcBorders>
              <w:left w:val="nil"/>
              <w:bottom w:val="double" w:sz="6" w:space="0" w:color="auto"/>
              <w:right w:val="nil"/>
            </w:tcBorders>
            <w:shd w:val="clear" w:color="auto" w:fill="auto"/>
            <w:noWrap/>
            <w:vAlign w:val="bottom"/>
          </w:tcPr>
          <w:p w14:paraId="3CA7F43C" w14:textId="2EFC8982" w:rsidR="00570398" w:rsidRPr="00205C60" w:rsidRDefault="00570398" w:rsidP="00570398">
            <w:pPr>
              <w:jc w:val="right"/>
              <w:rPr>
                <w:rFonts w:ascii="Verdana" w:hAnsi="Verdana"/>
                <w:sz w:val="22"/>
                <w:szCs w:val="22"/>
              </w:rPr>
            </w:pPr>
            <w:r w:rsidRPr="00205C60">
              <w:rPr>
                <w:rFonts w:ascii="Verdana" w:hAnsi="Verdana"/>
                <w:sz w:val="22"/>
                <w:szCs w:val="22"/>
              </w:rPr>
              <w:t>80.560</w:t>
            </w:r>
          </w:p>
        </w:tc>
        <w:tc>
          <w:tcPr>
            <w:tcW w:w="246" w:type="dxa"/>
            <w:tcBorders>
              <w:left w:val="nil"/>
              <w:bottom w:val="nil"/>
              <w:right w:val="nil"/>
            </w:tcBorders>
            <w:shd w:val="clear" w:color="auto" w:fill="auto"/>
            <w:noWrap/>
            <w:vAlign w:val="bottom"/>
          </w:tcPr>
          <w:p w14:paraId="3CA7F43D" w14:textId="77777777" w:rsidR="00570398" w:rsidRPr="00205C60" w:rsidRDefault="00570398" w:rsidP="00570398">
            <w:pPr>
              <w:jc w:val="right"/>
              <w:rPr>
                <w:rFonts w:ascii="Verdana" w:hAnsi="Verdana"/>
                <w:sz w:val="22"/>
                <w:szCs w:val="22"/>
              </w:rPr>
            </w:pPr>
          </w:p>
        </w:tc>
        <w:tc>
          <w:tcPr>
            <w:tcW w:w="1694" w:type="dxa"/>
            <w:gridSpan w:val="3"/>
            <w:tcBorders>
              <w:left w:val="nil"/>
              <w:bottom w:val="double" w:sz="6" w:space="0" w:color="auto"/>
              <w:right w:val="nil"/>
            </w:tcBorders>
            <w:shd w:val="clear" w:color="auto" w:fill="auto"/>
            <w:noWrap/>
            <w:vAlign w:val="bottom"/>
          </w:tcPr>
          <w:p w14:paraId="3CA7F43E" w14:textId="0916F721" w:rsidR="00570398" w:rsidRPr="00205C60" w:rsidRDefault="00570398" w:rsidP="00570398">
            <w:pPr>
              <w:jc w:val="right"/>
              <w:rPr>
                <w:rFonts w:ascii="Verdana" w:hAnsi="Verdana"/>
                <w:sz w:val="22"/>
                <w:szCs w:val="22"/>
              </w:rPr>
            </w:pPr>
            <w:r w:rsidRPr="00205C60">
              <w:rPr>
                <w:rFonts w:ascii="Verdana" w:hAnsi="Verdana"/>
                <w:sz w:val="22"/>
                <w:szCs w:val="22"/>
              </w:rPr>
              <w:t>101.164</w:t>
            </w:r>
          </w:p>
        </w:tc>
      </w:tr>
      <w:tr w:rsidR="00570398" w:rsidRPr="00205C60" w14:paraId="3CA7F445" w14:textId="77777777" w:rsidTr="00570398">
        <w:trPr>
          <w:gridAfter w:val="1"/>
          <w:wAfter w:w="199" w:type="dxa"/>
          <w:trHeight w:val="270"/>
        </w:trPr>
        <w:tc>
          <w:tcPr>
            <w:tcW w:w="4382" w:type="dxa"/>
            <w:tcBorders>
              <w:top w:val="nil"/>
              <w:left w:val="nil"/>
              <w:bottom w:val="nil"/>
              <w:right w:val="nil"/>
            </w:tcBorders>
            <w:shd w:val="clear" w:color="auto" w:fill="auto"/>
            <w:noWrap/>
            <w:vAlign w:val="bottom"/>
            <w:hideMark/>
          </w:tcPr>
          <w:p w14:paraId="3CA7F440" w14:textId="77777777" w:rsidR="00570398" w:rsidRPr="00205C60" w:rsidRDefault="00570398" w:rsidP="00570398">
            <w:pPr>
              <w:ind w:left="702" w:right="-118" w:hanging="702"/>
              <w:rPr>
                <w:rFonts w:ascii="Verdana" w:hAnsi="Verdana"/>
                <w:color w:val="000000"/>
                <w:sz w:val="22"/>
                <w:szCs w:val="22"/>
                <w:u w:val="single"/>
                <w:lang w:val="en-US"/>
              </w:rPr>
            </w:pPr>
            <w:r w:rsidRPr="00205C60">
              <w:rPr>
                <w:rFonts w:ascii="Verdana" w:hAnsi="Verdana"/>
                <w:color w:val="000000"/>
                <w:sz w:val="22"/>
                <w:szCs w:val="22"/>
                <w:u w:val="single"/>
                <w:lang w:val="en-US"/>
              </w:rPr>
              <w:t xml:space="preserve">Gasto </w:t>
            </w:r>
            <w:proofErr w:type="spellStart"/>
            <w:r w:rsidRPr="00205C60">
              <w:rPr>
                <w:rFonts w:ascii="Verdana" w:hAnsi="Verdana"/>
                <w:color w:val="000000"/>
                <w:sz w:val="22"/>
                <w:szCs w:val="22"/>
                <w:u w:val="single"/>
                <w:lang w:val="en-US"/>
              </w:rPr>
              <w:t>por</w:t>
            </w:r>
            <w:proofErr w:type="spellEnd"/>
            <w:r w:rsidRPr="00205C60">
              <w:rPr>
                <w:rFonts w:ascii="Verdana" w:hAnsi="Verdana"/>
                <w:color w:val="000000"/>
                <w:sz w:val="22"/>
                <w:szCs w:val="22"/>
                <w:u w:val="single"/>
                <w:lang w:val="en-US"/>
              </w:rPr>
              <w:t xml:space="preserve"> </w:t>
            </w:r>
            <w:proofErr w:type="spellStart"/>
            <w:r w:rsidRPr="00205C60">
              <w:rPr>
                <w:rFonts w:ascii="Verdana" w:hAnsi="Verdana"/>
                <w:color w:val="000000"/>
                <w:sz w:val="22"/>
                <w:szCs w:val="22"/>
                <w:u w:val="single"/>
                <w:lang w:val="en-US"/>
              </w:rPr>
              <w:t>intereses</w:t>
            </w:r>
            <w:proofErr w:type="spellEnd"/>
            <w:r w:rsidRPr="00205C60">
              <w:rPr>
                <w:rFonts w:ascii="Verdana" w:hAnsi="Verdana"/>
                <w:color w:val="000000"/>
                <w:sz w:val="22"/>
                <w:szCs w:val="22"/>
                <w:u w:val="single"/>
                <w:lang w:val="en-US"/>
              </w:rPr>
              <w:t>:</w:t>
            </w:r>
          </w:p>
        </w:tc>
        <w:tc>
          <w:tcPr>
            <w:tcW w:w="358" w:type="dxa"/>
            <w:gridSpan w:val="2"/>
            <w:tcBorders>
              <w:top w:val="nil"/>
              <w:left w:val="nil"/>
              <w:bottom w:val="nil"/>
              <w:right w:val="nil"/>
            </w:tcBorders>
            <w:shd w:val="clear" w:color="auto" w:fill="auto"/>
            <w:noWrap/>
            <w:vAlign w:val="bottom"/>
            <w:hideMark/>
          </w:tcPr>
          <w:p w14:paraId="3CA7F441" w14:textId="77777777" w:rsidR="00570398" w:rsidRPr="00205C60" w:rsidRDefault="00570398" w:rsidP="00570398">
            <w:pPr>
              <w:rPr>
                <w:rFonts w:ascii="Verdana" w:hAnsi="Verdana"/>
                <w:color w:val="000000"/>
                <w:sz w:val="22"/>
                <w:szCs w:val="22"/>
                <w:u w:val="single"/>
                <w:lang w:val="en-US"/>
              </w:rPr>
            </w:pPr>
          </w:p>
        </w:tc>
        <w:tc>
          <w:tcPr>
            <w:tcW w:w="1620" w:type="dxa"/>
            <w:gridSpan w:val="2"/>
            <w:tcBorders>
              <w:top w:val="nil"/>
              <w:left w:val="nil"/>
              <w:right w:val="nil"/>
            </w:tcBorders>
            <w:shd w:val="clear" w:color="auto" w:fill="auto"/>
            <w:noWrap/>
            <w:vAlign w:val="bottom"/>
          </w:tcPr>
          <w:p w14:paraId="3CA7F442" w14:textId="77777777" w:rsidR="00570398" w:rsidRPr="00205C60" w:rsidRDefault="00570398" w:rsidP="00570398">
            <w:pPr>
              <w:ind w:left="-74"/>
              <w:jc w:val="right"/>
              <w:rPr>
                <w:rFonts w:ascii="Verdana" w:hAnsi="Verdana"/>
                <w:sz w:val="22"/>
                <w:szCs w:val="22"/>
                <w:lang w:val="en-US"/>
              </w:rPr>
            </w:pPr>
          </w:p>
        </w:tc>
        <w:tc>
          <w:tcPr>
            <w:tcW w:w="246" w:type="dxa"/>
            <w:tcBorders>
              <w:top w:val="nil"/>
              <w:left w:val="nil"/>
              <w:right w:val="nil"/>
            </w:tcBorders>
            <w:shd w:val="clear" w:color="auto" w:fill="auto"/>
            <w:noWrap/>
            <w:vAlign w:val="bottom"/>
            <w:hideMark/>
          </w:tcPr>
          <w:p w14:paraId="3CA7F443" w14:textId="77777777" w:rsidR="00570398" w:rsidRPr="00205C60" w:rsidRDefault="00570398" w:rsidP="00570398">
            <w:pPr>
              <w:jc w:val="right"/>
              <w:rPr>
                <w:rFonts w:ascii="Verdana" w:hAnsi="Verdana"/>
                <w:sz w:val="22"/>
                <w:szCs w:val="22"/>
                <w:lang w:val="en-US"/>
              </w:rPr>
            </w:pPr>
          </w:p>
        </w:tc>
        <w:tc>
          <w:tcPr>
            <w:tcW w:w="1694" w:type="dxa"/>
            <w:gridSpan w:val="3"/>
            <w:tcBorders>
              <w:top w:val="nil"/>
              <w:left w:val="nil"/>
              <w:right w:val="nil"/>
            </w:tcBorders>
            <w:shd w:val="clear" w:color="auto" w:fill="auto"/>
            <w:noWrap/>
            <w:vAlign w:val="bottom"/>
            <w:hideMark/>
          </w:tcPr>
          <w:p w14:paraId="3CA7F444" w14:textId="77777777" w:rsidR="00570398" w:rsidRPr="00205C60" w:rsidRDefault="00570398" w:rsidP="00570398">
            <w:pPr>
              <w:ind w:left="-74"/>
              <w:jc w:val="right"/>
              <w:rPr>
                <w:rFonts w:ascii="Verdana" w:hAnsi="Verdana"/>
                <w:sz w:val="22"/>
                <w:szCs w:val="22"/>
                <w:lang w:val="en-US"/>
              </w:rPr>
            </w:pPr>
          </w:p>
        </w:tc>
      </w:tr>
      <w:tr w:rsidR="00570398" w:rsidRPr="00205C60" w14:paraId="3CA7F44B" w14:textId="77777777" w:rsidTr="00570398">
        <w:trPr>
          <w:gridAfter w:val="1"/>
          <w:wAfter w:w="199" w:type="dxa"/>
          <w:trHeight w:val="80"/>
        </w:trPr>
        <w:tc>
          <w:tcPr>
            <w:tcW w:w="4382" w:type="dxa"/>
            <w:tcBorders>
              <w:top w:val="nil"/>
              <w:left w:val="nil"/>
              <w:bottom w:val="nil"/>
              <w:right w:val="nil"/>
            </w:tcBorders>
            <w:shd w:val="clear" w:color="auto" w:fill="auto"/>
            <w:noWrap/>
            <w:vAlign w:val="bottom"/>
          </w:tcPr>
          <w:p w14:paraId="3CA7F446" w14:textId="77777777" w:rsidR="00570398" w:rsidRPr="00205C60" w:rsidRDefault="00570398" w:rsidP="00570398">
            <w:pPr>
              <w:rPr>
                <w:rFonts w:ascii="Verdana" w:hAnsi="Verdana"/>
                <w:color w:val="000000"/>
                <w:sz w:val="22"/>
                <w:szCs w:val="22"/>
                <w:lang w:val="es-CR"/>
              </w:rPr>
            </w:pPr>
            <w:r w:rsidRPr="00205C60">
              <w:rPr>
                <w:rFonts w:ascii="Verdana" w:hAnsi="Verdana"/>
                <w:color w:val="000000"/>
                <w:sz w:val="22"/>
                <w:szCs w:val="22"/>
              </w:rPr>
              <w:t>Instituto Costarricense de Electricidad (e)</w:t>
            </w:r>
          </w:p>
        </w:tc>
        <w:tc>
          <w:tcPr>
            <w:tcW w:w="358" w:type="dxa"/>
            <w:gridSpan w:val="2"/>
            <w:tcBorders>
              <w:top w:val="nil"/>
              <w:left w:val="nil"/>
              <w:bottom w:val="nil"/>
              <w:right w:val="nil"/>
            </w:tcBorders>
            <w:shd w:val="clear" w:color="auto" w:fill="auto"/>
            <w:noWrap/>
            <w:vAlign w:val="bottom"/>
          </w:tcPr>
          <w:p w14:paraId="3CA7F447" w14:textId="77777777" w:rsidR="00570398" w:rsidRPr="00205C60" w:rsidRDefault="00570398" w:rsidP="00570398">
            <w:pPr>
              <w:rPr>
                <w:rFonts w:ascii="Verdana" w:hAnsi="Verdana"/>
                <w:color w:val="000000"/>
                <w:sz w:val="22"/>
                <w:szCs w:val="22"/>
                <w:lang w:val="es-CR"/>
              </w:rPr>
            </w:pPr>
          </w:p>
        </w:tc>
        <w:tc>
          <w:tcPr>
            <w:tcW w:w="1620" w:type="dxa"/>
            <w:gridSpan w:val="2"/>
            <w:tcBorders>
              <w:left w:val="nil"/>
              <w:bottom w:val="double" w:sz="4" w:space="0" w:color="auto"/>
              <w:right w:val="nil"/>
            </w:tcBorders>
            <w:shd w:val="clear" w:color="auto" w:fill="auto"/>
            <w:noWrap/>
            <w:vAlign w:val="bottom"/>
          </w:tcPr>
          <w:p w14:paraId="3CA7F448" w14:textId="4D40A236" w:rsidR="00570398" w:rsidRPr="00205C60" w:rsidRDefault="00570398" w:rsidP="00570398">
            <w:pPr>
              <w:ind w:left="-110"/>
              <w:jc w:val="right"/>
              <w:rPr>
                <w:rFonts w:ascii="Verdana" w:hAnsi="Verdana"/>
                <w:color w:val="000000"/>
                <w:sz w:val="22"/>
                <w:szCs w:val="22"/>
                <w:lang w:val="es-419"/>
              </w:rPr>
            </w:pPr>
            <w:r w:rsidRPr="00205C60">
              <w:rPr>
                <w:rFonts w:ascii="Verdana" w:hAnsi="Verdana"/>
                <w:color w:val="000000"/>
                <w:sz w:val="22"/>
                <w:szCs w:val="22"/>
                <w:lang w:val="es-419"/>
              </w:rPr>
              <w:t>-</w:t>
            </w:r>
          </w:p>
        </w:tc>
        <w:tc>
          <w:tcPr>
            <w:tcW w:w="246" w:type="dxa"/>
            <w:tcBorders>
              <w:left w:val="nil"/>
              <w:bottom w:val="nil"/>
              <w:right w:val="nil"/>
            </w:tcBorders>
            <w:shd w:val="clear" w:color="auto" w:fill="auto"/>
            <w:noWrap/>
            <w:vAlign w:val="bottom"/>
          </w:tcPr>
          <w:p w14:paraId="3CA7F449" w14:textId="77777777" w:rsidR="00570398" w:rsidRPr="00205C60" w:rsidRDefault="00570398" w:rsidP="00570398">
            <w:pPr>
              <w:jc w:val="right"/>
              <w:rPr>
                <w:rFonts w:ascii="Verdana" w:hAnsi="Verdana"/>
                <w:color w:val="000000"/>
                <w:sz w:val="22"/>
                <w:szCs w:val="22"/>
                <w:lang w:val="es-419"/>
              </w:rPr>
            </w:pPr>
          </w:p>
        </w:tc>
        <w:tc>
          <w:tcPr>
            <w:tcW w:w="1694" w:type="dxa"/>
            <w:gridSpan w:val="3"/>
            <w:tcBorders>
              <w:left w:val="nil"/>
              <w:bottom w:val="double" w:sz="4" w:space="0" w:color="auto"/>
              <w:right w:val="nil"/>
            </w:tcBorders>
            <w:shd w:val="clear" w:color="auto" w:fill="auto"/>
            <w:noWrap/>
            <w:vAlign w:val="bottom"/>
          </w:tcPr>
          <w:p w14:paraId="3CA7F44A" w14:textId="712612DB" w:rsidR="00570398" w:rsidRPr="00205C60" w:rsidRDefault="00570398" w:rsidP="00570398">
            <w:pPr>
              <w:ind w:left="-110"/>
              <w:jc w:val="right"/>
              <w:rPr>
                <w:rFonts w:ascii="Verdana" w:hAnsi="Verdana"/>
                <w:color w:val="000000"/>
                <w:sz w:val="22"/>
                <w:szCs w:val="22"/>
                <w:lang w:val="en-US"/>
              </w:rPr>
            </w:pPr>
            <w:r w:rsidRPr="00205C60">
              <w:rPr>
                <w:rFonts w:ascii="Verdana" w:hAnsi="Verdana"/>
                <w:color w:val="000000"/>
                <w:sz w:val="22"/>
                <w:szCs w:val="22"/>
                <w:lang w:val="es-419"/>
              </w:rPr>
              <w:t>565.001</w:t>
            </w:r>
          </w:p>
        </w:tc>
      </w:tr>
      <w:tr w:rsidR="007F4AE6" w:rsidRPr="00205C60" w14:paraId="3CA7F451" w14:textId="77777777" w:rsidTr="00570398">
        <w:trPr>
          <w:gridAfter w:val="1"/>
          <w:wAfter w:w="199" w:type="dxa"/>
          <w:trHeight w:val="312"/>
        </w:trPr>
        <w:tc>
          <w:tcPr>
            <w:tcW w:w="4382" w:type="dxa"/>
            <w:tcBorders>
              <w:top w:val="nil"/>
              <w:left w:val="nil"/>
              <w:bottom w:val="nil"/>
              <w:right w:val="nil"/>
            </w:tcBorders>
            <w:shd w:val="clear" w:color="auto" w:fill="auto"/>
            <w:noWrap/>
            <w:vAlign w:val="bottom"/>
          </w:tcPr>
          <w:p w14:paraId="58BF4838" w14:textId="77777777" w:rsidR="004E5327" w:rsidRPr="00205C60" w:rsidRDefault="004E5327" w:rsidP="007F4AE6">
            <w:pPr>
              <w:rPr>
                <w:rFonts w:ascii="Verdana" w:hAnsi="Verdana"/>
                <w:color w:val="000000"/>
                <w:sz w:val="22"/>
                <w:szCs w:val="22"/>
                <w:u w:val="single"/>
              </w:rPr>
            </w:pPr>
          </w:p>
          <w:p w14:paraId="371D6D55" w14:textId="77777777" w:rsidR="004E5327" w:rsidRPr="00205C60" w:rsidRDefault="004E5327" w:rsidP="007F4AE6">
            <w:pPr>
              <w:rPr>
                <w:rFonts w:ascii="Verdana" w:hAnsi="Verdana"/>
                <w:color w:val="000000"/>
                <w:sz w:val="22"/>
                <w:szCs w:val="22"/>
                <w:u w:val="single"/>
              </w:rPr>
            </w:pPr>
          </w:p>
          <w:p w14:paraId="1314AE77" w14:textId="77777777" w:rsidR="004E5327" w:rsidRPr="00205C60" w:rsidRDefault="004E5327" w:rsidP="007F4AE6">
            <w:pPr>
              <w:rPr>
                <w:rFonts w:ascii="Verdana" w:hAnsi="Verdana"/>
                <w:color w:val="000000"/>
                <w:sz w:val="22"/>
                <w:szCs w:val="22"/>
                <w:u w:val="single"/>
              </w:rPr>
            </w:pPr>
          </w:p>
          <w:p w14:paraId="11D3D864" w14:textId="1A6DB00D" w:rsidR="004E5327" w:rsidRPr="00205C60" w:rsidRDefault="004E5327" w:rsidP="007F4AE6">
            <w:pPr>
              <w:rPr>
                <w:rFonts w:ascii="Verdana" w:hAnsi="Verdana"/>
                <w:color w:val="000000"/>
                <w:sz w:val="22"/>
                <w:szCs w:val="22"/>
                <w:u w:val="single"/>
              </w:rPr>
            </w:pPr>
          </w:p>
          <w:p w14:paraId="7D079526" w14:textId="77777777" w:rsidR="001A00BE" w:rsidRPr="00205C60" w:rsidRDefault="001A00BE" w:rsidP="007F4AE6">
            <w:pPr>
              <w:rPr>
                <w:rFonts w:ascii="Verdana" w:hAnsi="Verdana"/>
                <w:color w:val="000000"/>
                <w:sz w:val="22"/>
                <w:szCs w:val="22"/>
                <w:u w:val="single"/>
              </w:rPr>
            </w:pPr>
          </w:p>
          <w:p w14:paraId="3CA7F44C" w14:textId="1B75D0B1" w:rsidR="007F4AE6" w:rsidRPr="00205C60" w:rsidRDefault="007F4AE6" w:rsidP="007F4AE6">
            <w:pPr>
              <w:rPr>
                <w:rFonts w:ascii="Verdana" w:hAnsi="Verdana"/>
                <w:color w:val="000000"/>
                <w:sz w:val="22"/>
                <w:szCs w:val="22"/>
                <w:u w:val="single"/>
                <w:lang w:val="en-US"/>
              </w:rPr>
            </w:pPr>
            <w:r w:rsidRPr="00205C60">
              <w:rPr>
                <w:rFonts w:ascii="Verdana" w:hAnsi="Verdana"/>
                <w:color w:val="000000"/>
                <w:sz w:val="22"/>
                <w:szCs w:val="22"/>
                <w:u w:val="single"/>
              </w:rPr>
              <w:t>Compras de energía:</w:t>
            </w:r>
          </w:p>
        </w:tc>
        <w:tc>
          <w:tcPr>
            <w:tcW w:w="358" w:type="dxa"/>
            <w:gridSpan w:val="2"/>
            <w:tcBorders>
              <w:top w:val="nil"/>
              <w:left w:val="nil"/>
              <w:bottom w:val="nil"/>
              <w:right w:val="nil"/>
            </w:tcBorders>
            <w:shd w:val="clear" w:color="auto" w:fill="auto"/>
            <w:noWrap/>
            <w:vAlign w:val="bottom"/>
          </w:tcPr>
          <w:p w14:paraId="3CA7F44D" w14:textId="77777777" w:rsidR="007F4AE6" w:rsidRPr="00205C60" w:rsidRDefault="007F4AE6" w:rsidP="007F4AE6">
            <w:pPr>
              <w:rPr>
                <w:rFonts w:ascii="Verdana" w:hAnsi="Verdana"/>
                <w:color w:val="000000"/>
                <w:sz w:val="22"/>
                <w:szCs w:val="22"/>
                <w:lang w:val="es-CR"/>
              </w:rPr>
            </w:pPr>
          </w:p>
        </w:tc>
        <w:tc>
          <w:tcPr>
            <w:tcW w:w="1620" w:type="dxa"/>
            <w:gridSpan w:val="2"/>
            <w:tcBorders>
              <w:top w:val="nil"/>
              <w:left w:val="nil"/>
              <w:right w:val="nil"/>
            </w:tcBorders>
            <w:shd w:val="clear" w:color="auto" w:fill="auto"/>
            <w:noWrap/>
            <w:vAlign w:val="bottom"/>
          </w:tcPr>
          <w:p w14:paraId="3CA7F44E" w14:textId="77777777" w:rsidR="007F4AE6" w:rsidRPr="00205C60" w:rsidRDefault="007F4AE6" w:rsidP="007F4AE6">
            <w:pPr>
              <w:ind w:left="-110"/>
              <w:jc w:val="right"/>
              <w:rPr>
                <w:rFonts w:ascii="Verdana" w:hAnsi="Verdana"/>
                <w:color w:val="000000"/>
                <w:sz w:val="22"/>
                <w:szCs w:val="22"/>
                <w:lang w:val="en-US"/>
              </w:rPr>
            </w:pPr>
          </w:p>
        </w:tc>
        <w:tc>
          <w:tcPr>
            <w:tcW w:w="246" w:type="dxa"/>
            <w:tcBorders>
              <w:top w:val="nil"/>
              <w:left w:val="nil"/>
              <w:bottom w:val="nil"/>
              <w:right w:val="nil"/>
            </w:tcBorders>
            <w:shd w:val="clear" w:color="auto" w:fill="auto"/>
            <w:noWrap/>
            <w:vAlign w:val="bottom"/>
          </w:tcPr>
          <w:p w14:paraId="3CA7F44F" w14:textId="77777777" w:rsidR="007F4AE6" w:rsidRPr="00205C60" w:rsidRDefault="007F4AE6" w:rsidP="007F4AE6">
            <w:pPr>
              <w:jc w:val="right"/>
              <w:rPr>
                <w:rFonts w:ascii="Verdana" w:hAnsi="Verdana"/>
                <w:color w:val="000000"/>
                <w:sz w:val="22"/>
                <w:szCs w:val="22"/>
                <w:lang w:val="es-CR"/>
              </w:rPr>
            </w:pPr>
          </w:p>
        </w:tc>
        <w:tc>
          <w:tcPr>
            <w:tcW w:w="1694" w:type="dxa"/>
            <w:gridSpan w:val="3"/>
            <w:tcBorders>
              <w:top w:val="nil"/>
              <w:left w:val="nil"/>
              <w:right w:val="nil"/>
            </w:tcBorders>
            <w:shd w:val="clear" w:color="auto" w:fill="auto"/>
            <w:noWrap/>
            <w:vAlign w:val="bottom"/>
          </w:tcPr>
          <w:p w14:paraId="3CA7F450" w14:textId="77777777" w:rsidR="007F4AE6" w:rsidRPr="00205C60" w:rsidRDefault="007F4AE6" w:rsidP="007F4AE6">
            <w:pPr>
              <w:ind w:left="-110"/>
              <w:jc w:val="right"/>
              <w:rPr>
                <w:rFonts w:ascii="Verdana" w:hAnsi="Verdana"/>
                <w:color w:val="000000"/>
                <w:sz w:val="22"/>
                <w:szCs w:val="22"/>
                <w:lang w:val="en-US"/>
              </w:rPr>
            </w:pPr>
          </w:p>
        </w:tc>
      </w:tr>
      <w:tr w:rsidR="007F4AE6" w:rsidRPr="00205C60" w14:paraId="3CA7F457" w14:textId="77777777" w:rsidTr="00570398">
        <w:trPr>
          <w:gridAfter w:val="1"/>
          <w:wAfter w:w="199" w:type="dxa"/>
          <w:trHeight w:val="80"/>
        </w:trPr>
        <w:tc>
          <w:tcPr>
            <w:tcW w:w="4382" w:type="dxa"/>
            <w:tcBorders>
              <w:top w:val="nil"/>
              <w:left w:val="nil"/>
              <w:bottom w:val="nil"/>
              <w:right w:val="nil"/>
            </w:tcBorders>
            <w:shd w:val="clear" w:color="auto" w:fill="auto"/>
            <w:noWrap/>
            <w:vAlign w:val="bottom"/>
          </w:tcPr>
          <w:p w14:paraId="3CA7F452" w14:textId="77777777" w:rsidR="007F4AE6" w:rsidRPr="00205C60" w:rsidRDefault="007F4AE6" w:rsidP="007F4AE6">
            <w:pPr>
              <w:rPr>
                <w:rFonts w:ascii="Verdana" w:hAnsi="Verdana"/>
                <w:color w:val="000000"/>
                <w:sz w:val="22"/>
                <w:szCs w:val="22"/>
              </w:rPr>
            </w:pPr>
            <w:r w:rsidRPr="00205C60">
              <w:rPr>
                <w:rFonts w:ascii="Verdana" w:hAnsi="Verdana"/>
                <w:color w:val="000000"/>
                <w:sz w:val="22"/>
                <w:szCs w:val="22"/>
              </w:rPr>
              <w:t>Instituto Costarricense de Electricidad (d)</w:t>
            </w:r>
          </w:p>
        </w:tc>
        <w:tc>
          <w:tcPr>
            <w:tcW w:w="358" w:type="dxa"/>
            <w:gridSpan w:val="2"/>
            <w:tcBorders>
              <w:top w:val="nil"/>
              <w:left w:val="nil"/>
              <w:bottom w:val="nil"/>
              <w:right w:val="nil"/>
            </w:tcBorders>
            <w:shd w:val="clear" w:color="auto" w:fill="auto"/>
            <w:noWrap/>
            <w:vAlign w:val="bottom"/>
          </w:tcPr>
          <w:p w14:paraId="3CA7F453" w14:textId="77777777" w:rsidR="007F4AE6" w:rsidRPr="00205C60" w:rsidRDefault="007F4AE6" w:rsidP="007F4AE6">
            <w:pPr>
              <w:rPr>
                <w:rFonts w:ascii="Verdana" w:hAnsi="Verdana"/>
                <w:color w:val="000000"/>
                <w:sz w:val="22"/>
                <w:szCs w:val="22"/>
                <w:lang w:val="es-CR"/>
              </w:rPr>
            </w:pPr>
          </w:p>
        </w:tc>
        <w:tc>
          <w:tcPr>
            <w:tcW w:w="1620" w:type="dxa"/>
            <w:gridSpan w:val="2"/>
            <w:tcBorders>
              <w:top w:val="nil"/>
              <w:left w:val="nil"/>
              <w:bottom w:val="double" w:sz="4" w:space="0" w:color="auto"/>
              <w:right w:val="nil"/>
            </w:tcBorders>
            <w:shd w:val="clear" w:color="auto" w:fill="auto"/>
            <w:noWrap/>
            <w:vAlign w:val="bottom"/>
          </w:tcPr>
          <w:p w14:paraId="3CA7F454" w14:textId="6D5ADCC0" w:rsidR="007F4AE6" w:rsidRPr="00205C60" w:rsidRDefault="008C7B6A" w:rsidP="007F4AE6">
            <w:pPr>
              <w:ind w:left="-110"/>
              <w:jc w:val="right"/>
              <w:rPr>
                <w:rFonts w:ascii="Verdana" w:hAnsi="Verdana"/>
                <w:color w:val="000000"/>
                <w:sz w:val="22"/>
                <w:szCs w:val="22"/>
                <w:lang w:val="es-419"/>
              </w:rPr>
            </w:pPr>
            <w:r w:rsidRPr="00205C60">
              <w:rPr>
                <w:rFonts w:ascii="Verdana" w:hAnsi="Verdana"/>
                <w:color w:val="000000"/>
                <w:sz w:val="22"/>
                <w:szCs w:val="22"/>
                <w:lang w:val="es-419"/>
              </w:rPr>
              <w:t>17</w:t>
            </w:r>
            <w:r w:rsidR="00570398" w:rsidRPr="00205C60">
              <w:rPr>
                <w:rFonts w:ascii="Verdana" w:hAnsi="Verdana"/>
                <w:color w:val="000000"/>
                <w:sz w:val="22"/>
                <w:szCs w:val="22"/>
                <w:lang w:val="es-419"/>
              </w:rPr>
              <w:t>6</w:t>
            </w:r>
            <w:r w:rsidRPr="00205C60">
              <w:rPr>
                <w:rFonts w:ascii="Verdana" w:hAnsi="Verdana"/>
                <w:color w:val="000000"/>
                <w:sz w:val="22"/>
                <w:szCs w:val="22"/>
                <w:lang w:val="es-419"/>
              </w:rPr>
              <w:t>.</w:t>
            </w:r>
            <w:r w:rsidR="00570398" w:rsidRPr="00205C60">
              <w:rPr>
                <w:rFonts w:ascii="Verdana" w:hAnsi="Verdana"/>
                <w:color w:val="000000"/>
                <w:sz w:val="22"/>
                <w:szCs w:val="22"/>
                <w:lang w:val="es-419"/>
              </w:rPr>
              <w:t>833</w:t>
            </w:r>
            <w:r w:rsidRPr="00205C60">
              <w:rPr>
                <w:rFonts w:ascii="Verdana" w:hAnsi="Verdana"/>
                <w:color w:val="000000"/>
                <w:sz w:val="22"/>
                <w:szCs w:val="22"/>
                <w:lang w:val="es-419"/>
              </w:rPr>
              <w:t>.</w:t>
            </w:r>
            <w:r w:rsidR="00570398" w:rsidRPr="00205C60">
              <w:rPr>
                <w:rFonts w:ascii="Verdana" w:hAnsi="Verdana"/>
                <w:color w:val="000000"/>
                <w:sz w:val="22"/>
                <w:szCs w:val="22"/>
                <w:lang w:val="es-419"/>
              </w:rPr>
              <w:t>430</w:t>
            </w:r>
          </w:p>
        </w:tc>
        <w:tc>
          <w:tcPr>
            <w:tcW w:w="246" w:type="dxa"/>
            <w:tcBorders>
              <w:top w:val="nil"/>
              <w:left w:val="nil"/>
              <w:bottom w:val="nil"/>
              <w:right w:val="nil"/>
            </w:tcBorders>
            <w:shd w:val="clear" w:color="auto" w:fill="auto"/>
            <w:noWrap/>
            <w:vAlign w:val="bottom"/>
          </w:tcPr>
          <w:p w14:paraId="3CA7F455" w14:textId="77777777" w:rsidR="007F4AE6" w:rsidRPr="00205C60" w:rsidRDefault="007F4AE6" w:rsidP="007F4AE6">
            <w:pPr>
              <w:jc w:val="right"/>
              <w:rPr>
                <w:rFonts w:ascii="Verdana" w:hAnsi="Verdana"/>
                <w:color w:val="000000"/>
                <w:sz w:val="22"/>
                <w:szCs w:val="22"/>
                <w:lang w:val="es-CR"/>
              </w:rPr>
            </w:pPr>
          </w:p>
        </w:tc>
        <w:tc>
          <w:tcPr>
            <w:tcW w:w="1694" w:type="dxa"/>
            <w:gridSpan w:val="3"/>
            <w:tcBorders>
              <w:top w:val="nil"/>
              <w:left w:val="nil"/>
              <w:bottom w:val="double" w:sz="4" w:space="0" w:color="auto"/>
              <w:right w:val="nil"/>
            </w:tcBorders>
            <w:shd w:val="clear" w:color="auto" w:fill="auto"/>
            <w:noWrap/>
            <w:vAlign w:val="bottom"/>
          </w:tcPr>
          <w:p w14:paraId="3CA7F456" w14:textId="6FC2F72D" w:rsidR="007F4AE6" w:rsidRPr="00205C60" w:rsidRDefault="00570398" w:rsidP="007F4AE6">
            <w:pPr>
              <w:ind w:left="-110"/>
              <w:jc w:val="right"/>
              <w:rPr>
                <w:rFonts w:ascii="Verdana" w:hAnsi="Verdana"/>
                <w:color w:val="000000"/>
                <w:sz w:val="22"/>
                <w:szCs w:val="22"/>
                <w:lang w:val="en-US"/>
              </w:rPr>
            </w:pPr>
            <w:r w:rsidRPr="00205C60">
              <w:rPr>
                <w:rFonts w:ascii="Verdana" w:hAnsi="Verdana"/>
                <w:color w:val="000000"/>
                <w:sz w:val="22"/>
                <w:szCs w:val="22"/>
                <w:lang w:val="es-419"/>
              </w:rPr>
              <w:t>170.022.971</w:t>
            </w:r>
          </w:p>
        </w:tc>
      </w:tr>
      <w:tr w:rsidR="007F4AE6" w:rsidRPr="00205C60" w14:paraId="3CA7F45D" w14:textId="77777777" w:rsidTr="00570398">
        <w:trPr>
          <w:gridAfter w:val="1"/>
          <w:wAfter w:w="199" w:type="dxa"/>
          <w:trHeight w:val="330"/>
        </w:trPr>
        <w:tc>
          <w:tcPr>
            <w:tcW w:w="4382" w:type="dxa"/>
            <w:tcBorders>
              <w:top w:val="nil"/>
              <w:left w:val="nil"/>
              <w:bottom w:val="nil"/>
              <w:right w:val="nil"/>
            </w:tcBorders>
            <w:shd w:val="clear" w:color="auto" w:fill="auto"/>
            <w:noWrap/>
            <w:vAlign w:val="bottom"/>
          </w:tcPr>
          <w:p w14:paraId="3CA7F458" w14:textId="77777777" w:rsidR="007F4AE6" w:rsidRPr="00205C60" w:rsidRDefault="007F4AE6" w:rsidP="007F4AE6">
            <w:pPr>
              <w:rPr>
                <w:rFonts w:ascii="Verdana" w:hAnsi="Verdana"/>
                <w:color w:val="000000"/>
                <w:sz w:val="22"/>
                <w:szCs w:val="22"/>
                <w:u w:val="single"/>
              </w:rPr>
            </w:pPr>
            <w:r w:rsidRPr="00205C60">
              <w:rPr>
                <w:rFonts w:ascii="Verdana" w:hAnsi="Verdana"/>
                <w:color w:val="000000"/>
                <w:sz w:val="22"/>
                <w:szCs w:val="22"/>
                <w:u w:val="single"/>
              </w:rPr>
              <w:t>Gastos por servicios y otros:</w:t>
            </w:r>
          </w:p>
        </w:tc>
        <w:tc>
          <w:tcPr>
            <w:tcW w:w="358" w:type="dxa"/>
            <w:gridSpan w:val="2"/>
            <w:tcBorders>
              <w:top w:val="nil"/>
              <w:left w:val="nil"/>
              <w:bottom w:val="nil"/>
              <w:right w:val="nil"/>
            </w:tcBorders>
            <w:shd w:val="clear" w:color="auto" w:fill="auto"/>
            <w:noWrap/>
            <w:vAlign w:val="bottom"/>
          </w:tcPr>
          <w:p w14:paraId="3CA7F459" w14:textId="77777777" w:rsidR="007F4AE6" w:rsidRPr="00205C60" w:rsidRDefault="007F4AE6" w:rsidP="007F4AE6">
            <w:pPr>
              <w:rPr>
                <w:rFonts w:ascii="Verdana" w:hAnsi="Verdana"/>
                <w:color w:val="000000"/>
                <w:sz w:val="22"/>
                <w:szCs w:val="22"/>
                <w:lang w:val="es-CR"/>
              </w:rPr>
            </w:pPr>
          </w:p>
        </w:tc>
        <w:tc>
          <w:tcPr>
            <w:tcW w:w="1620" w:type="dxa"/>
            <w:gridSpan w:val="2"/>
            <w:tcBorders>
              <w:top w:val="nil"/>
              <w:left w:val="nil"/>
              <w:right w:val="nil"/>
            </w:tcBorders>
            <w:shd w:val="clear" w:color="auto" w:fill="auto"/>
            <w:noWrap/>
            <w:vAlign w:val="bottom"/>
          </w:tcPr>
          <w:p w14:paraId="3CA7F45A" w14:textId="77777777" w:rsidR="007F4AE6" w:rsidRPr="00205C60" w:rsidRDefault="007F4AE6" w:rsidP="007F4AE6">
            <w:pPr>
              <w:ind w:left="-110"/>
              <w:jc w:val="right"/>
              <w:rPr>
                <w:rFonts w:ascii="Verdana" w:hAnsi="Verdana"/>
                <w:color w:val="000000"/>
                <w:sz w:val="22"/>
                <w:szCs w:val="22"/>
                <w:lang w:val="es-CR"/>
              </w:rPr>
            </w:pPr>
          </w:p>
        </w:tc>
        <w:tc>
          <w:tcPr>
            <w:tcW w:w="246" w:type="dxa"/>
            <w:tcBorders>
              <w:top w:val="nil"/>
              <w:left w:val="nil"/>
              <w:bottom w:val="nil"/>
              <w:right w:val="nil"/>
            </w:tcBorders>
            <w:shd w:val="clear" w:color="auto" w:fill="auto"/>
            <w:noWrap/>
            <w:vAlign w:val="bottom"/>
          </w:tcPr>
          <w:p w14:paraId="3CA7F45B" w14:textId="77777777" w:rsidR="007F4AE6" w:rsidRPr="00205C60" w:rsidRDefault="007F4AE6" w:rsidP="007F4AE6">
            <w:pPr>
              <w:jc w:val="right"/>
              <w:rPr>
                <w:rFonts w:ascii="Verdana" w:hAnsi="Verdana"/>
                <w:color w:val="000000"/>
                <w:sz w:val="22"/>
                <w:szCs w:val="22"/>
                <w:lang w:val="es-CR"/>
              </w:rPr>
            </w:pPr>
          </w:p>
        </w:tc>
        <w:tc>
          <w:tcPr>
            <w:tcW w:w="1694" w:type="dxa"/>
            <w:gridSpan w:val="3"/>
            <w:tcBorders>
              <w:top w:val="nil"/>
              <w:left w:val="nil"/>
              <w:right w:val="nil"/>
            </w:tcBorders>
            <w:shd w:val="clear" w:color="auto" w:fill="auto"/>
            <w:noWrap/>
            <w:vAlign w:val="bottom"/>
          </w:tcPr>
          <w:p w14:paraId="3CA7F45C" w14:textId="77777777" w:rsidR="007F4AE6" w:rsidRPr="00205C60" w:rsidRDefault="007F4AE6" w:rsidP="007F4AE6">
            <w:pPr>
              <w:ind w:left="-110"/>
              <w:jc w:val="right"/>
              <w:rPr>
                <w:rFonts w:ascii="Verdana" w:hAnsi="Verdana"/>
                <w:color w:val="000000"/>
                <w:sz w:val="22"/>
                <w:szCs w:val="22"/>
                <w:lang w:val="es-CR"/>
              </w:rPr>
            </w:pPr>
          </w:p>
        </w:tc>
      </w:tr>
      <w:tr w:rsidR="00570398" w:rsidRPr="00205C60" w14:paraId="3CA7F463" w14:textId="77777777" w:rsidTr="00570398">
        <w:trPr>
          <w:gridAfter w:val="1"/>
          <w:wAfter w:w="199" w:type="dxa"/>
          <w:trHeight w:val="80"/>
        </w:trPr>
        <w:tc>
          <w:tcPr>
            <w:tcW w:w="4382" w:type="dxa"/>
            <w:tcBorders>
              <w:top w:val="nil"/>
              <w:left w:val="nil"/>
              <w:bottom w:val="nil"/>
              <w:right w:val="nil"/>
            </w:tcBorders>
            <w:shd w:val="clear" w:color="auto" w:fill="auto"/>
            <w:noWrap/>
            <w:vAlign w:val="bottom"/>
          </w:tcPr>
          <w:p w14:paraId="3CA7F45E" w14:textId="77777777" w:rsidR="00570398" w:rsidRPr="00205C60" w:rsidRDefault="00570398" w:rsidP="00570398">
            <w:pPr>
              <w:ind w:left="702" w:right="-118" w:hanging="702"/>
              <w:rPr>
                <w:rFonts w:ascii="Verdana" w:hAnsi="Verdana"/>
                <w:color w:val="000000"/>
                <w:sz w:val="22"/>
                <w:szCs w:val="22"/>
                <w:lang w:val="es-CR"/>
              </w:rPr>
            </w:pPr>
            <w:r w:rsidRPr="00205C60">
              <w:rPr>
                <w:rFonts w:ascii="Verdana" w:hAnsi="Verdana"/>
                <w:color w:val="000000"/>
                <w:sz w:val="22"/>
                <w:szCs w:val="22"/>
                <w:lang w:val="es-419"/>
              </w:rPr>
              <w:t>Instituto Costarricense de Electricidad (d)</w:t>
            </w:r>
          </w:p>
        </w:tc>
        <w:tc>
          <w:tcPr>
            <w:tcW w:w="358" w:type="dxa"/>
            <w:gridSpan w:val="2"/>
            <w:tcBorders>
              <w:top w:val="nil"/>
              <w:left w:val="nil"/>
              <w:bottom w:val="nil"/>
              <w:right w:val="nil"/>
            </w:tcBorders>
            <w:shd w:val="clear" w:color="auto" w:fill="auto"/>
            <w:noWrap/>
            <w:vAlign w:val="bottom"/>
          </w:tcPr>
          <w:p w14:paraId="3CA7F45F" w14:textId="77777777" w:rsidR="00570398" w:rsidRPr="00205C60" w:rsidRDefault="00570398" w:rsidP="00570398">
            <w:pPr>
              <w:rPr>
                <w:rFonts w:ascii="Verdana" w:hAnsi="Verdana"/>
                <w:color w:val="000000"/>
                <w:sz w:val="22"/>
                <w:szCs w:val="22"/>
                <w:lang w:val="es-CR"/>
              </w:rPr>
            </w:pPr>
          </w:p>
        </w:tc>
        <w:tc>
          <w:tcPr>
            <w:tcW w:w="1620" w:type="dxa"/>
            <w:gridSpan w:val="2"/>
            <w:tcBorders>
              <w:top w:val="nil"/>
              <w:left w:val="nil"/>
              <w:right w:val="nil"/>
            </w:tcBorders>
            <w:shd w:val="clear" w:color="auto" w:fill="auto"/>
            <w:noWrap/>
            <w:vAlign w:val="bottom"/>
          </w:tcPr>
          <w:p w14:paraId="3CA7F460" w14:textId="0D0609D6" w:rsidR="00570398" w:rsidRPr="00205C60" w:rsidRDefault="00570398" w:rsidP="00570398">
            <w:pPr>
              <w:jc w:val="right"/>
              <w:rPr>
                <w:rFonts w:ascii="Verdana" w:hAnsi="Verdana"/>
                <w:sz w:val="22"/>
                <w:szCs w:val="22"/>
              </w:rPr>
            </w:pPr>
            <w:r w:rsidRPr="00205C60">
              <w:rPr>
                <w:rFonts w:ascii="Verdana" w:hAnsi="Verdana"/>
                <w:sz w:val="22"/>
                <w:szCs w:val="22"/>
              </w:rPr>
              <w:t>1.986.663</w:t>
            </w:r>
          </w:p>
        </w:tc>
        <w:tc>
          <w:tcPr>
            <w:tcW w:w="246" w:type="dxa"/>
            <w:tcBorders>
              <w:top w:val="nil"/>
              <w:left w:val="nil"/>
              <w:bottom w:val="nil"/>
              <w:right w:val="nil"/>
            </w:tcBorders>
            <w:shd w:val="clear" w:color="auto" w:fill="auto"/>
            <w:noWrap/>
            <w:vAlign w:val="bottom"/>
          </w:tcPr>
          <w:p w14:paraId="3CA7F461" w14:textId="77777777" w:rsidR="00570398" w:rsidRPr="00205C60" w:rsidRDefault="00570398" w:rsidP="00570398">
            <w:pPr>
              <w:jc w:val="right"/>
              <w:rPr>
                <w:rFonts w:ascii="Verdana" w:hAnsi="Verdana"/>
                <w:color w:val="000000"/>
                <w:sz w:val="22"/>
                <w:szCs w:val="22"/>
                <w:lang w:val="es-CR"/>
              </w:rPr>
            </w:pPr>
          </w:p>
        </w:tc>
        <w:tc>
          <w:tcPr>
            <w:tcW w:w="1694" w:type="dxa"/>
            <w:gridSpan w:val="3"/>
            <w:tcBorders>
              <w:top w:val="nil"/>
              <w:left w:val="nil"/>
              <w:right w:val="nil"/>
            </w:tcBorders>
            <w:shd w:val="clear" w:color="auto" w:fill="auto"/>
            <w:noWrap/>
            <w:vAlign w:val="bottom"/>
          </w:tcPr>
          <w:p w14:paraId="3CA7F462" w14:textId="49898F37" w:rsidR="00570398" w:rsidRPr="00205C60" w:rsidRDefault="00570398" w:rsidP="00570398">
            <w:pPr>
              <w:jc w:val="right"/>
              <w:rPr>
                <w:rFonts w:ascii="Verdana" w:hAnsi="Verdana"/>
                <w:sz w:val="22"/>
                <w:szCs w:val="22"/>
              </w:rPr>
            </w:pPr>
            <w:r w:rsidRPr="00205C60">
              <w:rPr>
                <w:rFonts w:ascii="Verdana" w:hAnsi="Verdana"/>
                <w:sz w:val="22"/>
                <w:szCs w:val="22"/>
              </w:rPr>
              <w:t>3.969.164</w:t>
            </w:r>
          </w:p>
        </w:tc>
      </w:tr>
      <w:tr w:rsidR="00570398" w:rsidRPr="00205C60" w14:paraId="3CA7F469" w14:textId="77777777" w:rsidTr="00570398">
        <w:trPr>
          <w:gridAfter w:val="1"/>
          <w:wAfter w:w="199" w:type="dxa"/>
          <w:trHeight w:val="80"/>
        </w:trPr>
        <w:tc>
          <w:tcPr>
            <w:tcW w:w="4382" w:type="dxa"/>
            <w:tcBorders>
              <w:top w:val="nil"/>
              <w:left w:val="nil"/>
              <w:bottom w:val="nil"/>
              <w:right w:val="nil"/>
            </w:tcBorders>
            <w:shd w:val="clear" w:color="auto" w:fill="auto"/>
            <w:noWrap/>
            <w:vAlign w:val="bottom"/>
          </w:tcPr>
          <w:p w14:paraId="3CA7F464" w14:textId="77777777" w:rsidR="00570398" w:rsidRPr="00205C60" w:rsidRDefault="00570398" w:rsidP="00570398">
            <w:pPr>
              <w:ind w:left="702" w:right="-118" w:hanging="702"/>
              <w:rPr>
                <w:rFonts w:ascii="Verdana" w:hAnsi="Verdana"/>
                <w:color w:val="000000"/>
                <w:sz w:val="22"/>
                <w:szCs w:val="22"/>
                <w:lang w:val="es-419"/>
              </w:rPr>
            </w:pPr>
            <w:r w:rsidRPr="00205C60">
              <w:rPr>
                <w:rFonts w:ascii="Verdana" w:hAnsi="Verdana"/>
                <w:color w:val="000000"/>
                <w:sz w:val="22"/>
                <w:szCs w:val="22"/>
                <w:lang w:val="es-419"/>
              </w:rPr>
              <w:t>Radiográfica Costarricense</w:t>
            </w:r>
            <w:r w:rsidRPr="00205C60">
              <w:rPr>
                <w:rFonts w:ascii="Verdana" w:hAnsi="Verdana"/>
                <w:color w:val="000000"/>
                <w:sz w:val="22"/>
                <w:szCs w:val="22"/>
                <w:lang w:val="es-CR"/>
              </w:rPr>
              <w:t>, S.A. (d)</w:t>
            </w:r>
          </w:p>
        </w:tc>
        <w:tc>
          <w:tcPr>
            <w:tcW w:w="358" w:type="dxa"/>
            <w:gridSpan w:val="2"/>
            <w:tcBorders>
              <w:top w:val="nil"/>
              <w:left w:val="nil"/>
              <w:bottom w:val="nil"/>
              <w:right w:val="nil"/>
            </w:tcBorders>
            <w:shd w:val="clear" w:color="auto" w:fill="auto"/>
            <w:noWrap/>
            <w:vAlign w:val="bottom"/>
          </w:tcPr>
          <w:p w14:paraId="3CA7F465" w14:textId="77777777" w:rsidR="00570398" w:rsidRPr="00205C60" w:rsidRDefault="00570398" w:rsidP="00570398">
            <w:pPr>
              <w:rPr>
                <w:rFonts w:ascii="Verdana" w:hAnsi="Verdana"/>
                <w:color w:val="000000"/>
                <w:sz w:val="22"/>
                <w:szCs w:val="22"/>
                <w:lang w:val="es-CR"/>
              </w:rPr>
            </w:pPr>
          </w:p>
        </w:tc>
        <w:tc>
          <w:tcPr>
            <w:tcW w:w="1620" w:type="dxa"/>
            <w:gridSpan w:val="2"/>
            <w:tcBorders>
              <w:top w:val="nil"/>
              <w:left w:val="nil"/>
              <w:right w:val="nil"/>
            </w:tcBorders>
            <w:shd w:val="clear" w:color="auto" w:fill="auto"/>
            <w:noWrap/>
            <w:vAlign w:val="bottom"/>
          </w:tcPr>
          <w:p w14:paraId="3CA7F466" w14:textId="613A8C13" w:rsidR="00570398" w:rsidRPr="00205C60" w:rsidRDefault="00570398" w:rsidP="00570398">
            <w:pPr>
              <w:jc w:val="right"/>
              <w:rPr>
                <w:rFonts w:ascii="Verdana" w:hAnsi="Verdana"/>
                <w:sz w:val="22"/>
                <w:szCs w:val="22"/>
              </w:rPr>
            </w:pPr>
            <w:r w:rsidRPr="00205C60">
              <w:rPr>
                <w:rFonts w:ascii="Verdana" w:hAnsi="Verdana"/>
                <w:sz w:val="22"/>
                <w:szCs w:val="22"/>
              </w:rPr>
              <w:t>177.775</w:t>
            </w:r>
          </w:p>
        </w:tc>
        <w:tc>
          <w:tcPr>
            <w:tcW w:w="246" w:type="dxa"/>
            <w:tcBorders>
              <w:top w:val="nil"/>
              <w:left w:val="nil"/>
              <w:bottom w:val="nil"/>
              <w:right w:val="nil"/>
            </w:tcBorders>
            <w:shd w:val="clear" w:color="auto" w:fill="auto"/>
            <w:noWrap/>
            <w:vAlign w:val="bottom"/>
          </w:tcPr>
          <w:p w14:paraId="3CA7F467" w14:textId="77777777" w:rsidR="00570398" w:rsidRPr="00205C60" w:rsidRDefault="00570398" w:rsidP="00570398">
            <w:pPr>
              <w:jc w:val="right"/>
              <w:rPr>
                <w:rFonts w:ascii="Verdana" w:hAnsi="Verdana"/>
                <w:color w:val="000000"/>
                <w:sz w:val="22"/>
                <w:szCs w:val="22"/>
                <w:lang w:val="es-CR"/>
              </w:rPr>
            </w:pPr>
          </w:p>
        </w:tc>
        <w:tc>
          <w:tcPr>
            <w:tcW w:w="1694" w:type="dxa"/>
            <w:gridSpan w:val="3"/>
            <w:tcBorders>
              <w:top w:val="nil"/>
              <w:left w:val="nil"/>
              <w:right w:val="nil"/>
            </w:tcBorders>
            <w:shd w:val="clear" w:color="auto" w:fill="auto"/>
            <w:noWrap/>
            <w:vAlign w:val="bottom"/>
          </w:tcPr>
          <w:p w14:paraId="3CA7F468" w14:textId="0DE2A256" w:rsidR="00570398" w:rsidRPr="00205C60" w:rsidRDefault="00570398" w:rsidP="00570398">
            <w:pPr>
              <w:jc w:val="right"/>
              <w:rPr>
                <w:rFonts w:ascii="Verdana" w:hAnsi="Verdana"/>
                <w:sz w:val="22"/>
                <w:szCs w:val="22"/>
              </w:rPr>
            </w:pPr>
            <w:r w:rsidRPr="00205C60">
              <w:rPr>
                <w:rFonts w:ascii="Verdana" w:hAnsi="Verdana"/>
                <w:sz w:val="22"/>
                <w:szCs w:val="22"/>
              </w:rPr>
              <w:t>182.120</w:t>
            </w:r>
          </w:p>
        </w:tc>
      </w:tr>
      <w:tr w:rsidR="00570398" w:rsidRPr="00205C60" w14:paraId="3CA7F46F" w14:textId="77777777" w:rsidTr="00570398">
        <w:trPr>
          <w:gridAfter w:val="1"/>
          <w:wAfter w:w="199" w:type="dxa"/>
          <w:trHeight w:val="80"/>
        </w:trPr>
        <w:tc>
          <w:tcPr>
            <w:tcW w:w="4382" w:type="dxa"/>
            <w:tcBorders>
              <w:top w:val="nil"/>
              <w:left w:val="nil"/>
              <w:bottom w:val="nil"/>
              <w:right w:val="nil"/>
            </w:tcBorders>
            <w:shd w:val="clear" w:color="auto" w:fill="auto"/>
            <w:noWrap/>
            <w:vAlign w:val="bottom"/>
          </w:tcPr>
          <w:p w14:paraId="3CA7F46A" w14:textId="77777777" w:rsidR="00570398" w:rsidRPr="00205C60" w:rsidRDefault="00570398" w:rsidP="00570398">
            <w:pPr>
              <w:rPr>
                <w:rFonts w:ascii="Verdana" w:hAnsi="Verdana"/>
                <w:color w:val="000000"/>
                <w:sz w:val="22"/>
                <w:szCs w:val="22"/>
                <w:lang w:val="es-CR"/>
              </w:rPr>
            </w:pPr>
            <w:r w:rsidRPr="00205C60">
              <w:rPr>
                <w:rFonts w:ascii="Verdana" w:hAnsi="Verdana"/>
                <w:color w:val="000000"/>
                <w:sz w:val="22"/>
                <w:szCs w:val="22"/>
              </w:rPr>
              <w:t>Gestión de cobro Grupo ICE (d)</w:t>
            </w:r>
          </w:p>
        </w:tc>
        <w:tc>
          <w:tcPr>
            <w:tcW w:w="358" w:type="dxa"/>
            <w:gridSpan w:val="2"/>
            <w:tcBorders>
              <w:top w:val="nil"/>
              <w:left w:val="nil"/>
              <w:bottom w:val="nil"/>
              <w:right w:val="nil"/>
            </w:tcBorders>
            <w:shd w:val="clear" w:color="auto" w:fill="auto"/>
            <w:noWrap/>
            <w:vAlign w:val="bottom"/>
          </w:tcPr>
          <w:p w14:paraId="3CA7F46B" w14:textId="77777777" w:rsidR="00570398" w:rsidRPr="00205C60" w:rsidRDefault="00570398" w:rsidP="00570398">
            <w:pPr>
              <w:rPr>
                <w:rFonts w:ascii="Verdana" w:hAnsi="Verdana"/>
                <w:color w:val="000000"/>
                <w:sz w:val="22"/>
                <w:szCs w:val="22"/>
                <w:lang w:val="es-CR"/>
              </w:rPr>
            </w:pPr>
          </w:p>
        </w:tc>
        <w:tc>
          <w:tcPr>
            <w:tcW w:w="1620" w:type="dxa"/>
            <w:gridSpan w:val="2"/>
            <w:tcBorders>
              <w:top w:val="nil"/>
              <w:left w:val="nil"/>
              <w:bottom w:val="single" w:sz="4" w:space="0" w:color="auto"/>
              <w:right w:val="nil"/>
            </w:tcBorders>
            <w:shd w:val="clear" w:color="auto" w:fill="auto"/>
            <w:noWrap/>
            <w:vAlign w:val="bottom"/>
          </w:tcPr>
          <w:p w14:paraId="3CA7F46C" w14:textId="4D120D5A" w:rsidR="00570398" w:rsidRPr="00205C60" w:rsidRDefault="00570398" w:rsidP="00570398">
            <w:pPr>
              <w:jc w:val="right"/>
              <w:rPr>
                <w:rFonts w:ascii="Verdana" w:hAnsi="Verdana"/>
                <w:sz w:val="22"/>
                <w:szCs w:val="22"/>
              </w:rPr>
            </w:pPr>
            <w:r w:rsidRPr="00205C60">
              <w:rPr>
                <w:rFonts w:ascii="Verdana" w:hAnsi="Verdana"/>
                <w:sz w:val="22"/>
                <w:szCs w:val="22"/>
              </w:rPr>
              <w:t>-</w:t>
            </w:r>
          </w:p>
        </w:tc>
        <w:tc>
          <w:tcPr>
            <w:tcW w:w="246" w:type="dxa"/>
            <w:tcBorders>
              <w:top w:val="nil"/>
              <w:left w:val="nil"/>
              <w:bottom w:val="nil"/>
              <w:right w:val="nil"/>
            </w:tcBorders>
            <w:shd w:val="clear" w:color="auto" w:fill="auto"/>
            <w:noWrap/>
            <w:vAlign w:val="bottom"/>
          </w:tcPr>
          <w:p w14:paraId="3CA7F46D" w14:textId="77777777" w:rsidR="00570398" w:rsidRPr="00205C60" w:rsidRDefault="00570398" w:rsidP="00570398">
            <w:pPr>
              <w:jc w:val="right"/>
              <w:rPr>
                <w:rFonts w:ascii="Verdana" w:hAnsi="Verdana"/>
                <w:color w:val="000000"/>
                <w:sz w:val="22"/>
                <w:szCs w:val="22"/>
                <w:lang w:val="es-CR"/>
              </w:rPr>
            </w:pPr>
          </w:p>
        </w:tc>
        <w:tc>
          <w:tcPr>
            <w:tcW w:w="1694" w:type="dxa"/>
            <w:gridSpan w:val="3"/>
            <w:tcBorders>
              <w:top w:val="nil"/>
              <w:left w:val="nil"/>
              <w:bottom w:val="single" w:sz="4" w:space="0" w:color="auto"/>
              <w:right w:val="nil"/>
            </w:tcBorders>
            <w:shd w:val="clear" w:color="auto" w:fill="auto"/>
            <w:noWrap/>
            <w:vAlign w:val="bottom"/>
          </w:tcPr>
          <w:p w14:paraId="3CA7F46E" w14:textId="598D4E9F" w:rsidR="00570398" w:rsidRPr="00205C60" w:rsidRDefault="00570398" w:rsidP="00570398">
            <w:pPr>
              <w:jc w:val="right"/>
              <w:rPr>
                <w:rFonts w:ascii="Verdana" w:hAnsi="Verdana"/>
                <w:sz w:val="22"/>
                <w:szCs w:val="22"/>
              </w:rPr>
            </w:pPr>
            <w:r w:rsidRPr="00205C60">
              <w:rPr>
                <w:rFonts w:ascii="Verdana" w:hAnsi="Verdana"/>
                <w:sz w:val="22"/>
                <w:szCs w:val="22"/>
              </w:rPr>
              <w:t>3</w:t>
            </w:r>
          </w:p>
        </w:tc>
      </w:tr>
      <w:tr w:rsidR="00570398" w:rsidRPr="00205C60" w14:paraId="3CA7F475" w14:textId="77777777" w:rsidTr="00570398">
        <w:trPr>
          <w:gridAfter w:val="1"/>
          <w:wAfter w:w="199" w:type="dxa"/>
          <w:trHeight w:val="80"/>
        </w:trPr>
        <w:tc>
          <w:tcPr>
            <w:tcW w:w="4382" w:type="dxa"/>
            <w:tcBorders>
              <w:top w:val="nil"/>
              <w:left w:val="nil"/>
              <w:bottom w:val="nil"/>
              <w:right w:val="nil"/>
            </w:tcBorders>
            <w:shd w:val="clear" w:color="auto" w:fill="auto"/>
            <w:noWrap/>
            <w:vAlign w:val="bottom"/>
          </w:tcPr>
          <w:p w14:paraId="3CA7F470" w14:textId="77777777" w:rsidR="00570398" w:rsidRPr="00205C60" w:rsidRDefault="00570398" w:rsidP="00570398">
            <w:pPr>
              <w:ind w:left="702" w:right="-118" w:hanging="702"/>
              <w:rPr>
                <w:rFonts w:ascii="Verdana" w:hAnsi="Verdana"/>
                <w:color w:val="000000"/>
                <w:sz w:val="22"/>
                <w:szCs w:val="22"/>
                <w:lang w:val="es-419"/>
              </w:rPr>
            </w:pPr>
          </w:p>
        </w:tc>
        <w:tc>
          <w:tcPr>
            <w:tcW w:w="358" w:type="dxa"/>
            <w:gridSpan w:val="2"/>
            <w:tcBorders>
              <w:top w:val="nil"/>
              <w:left w:val="nil"/>
              <w:bottom w:val="nil"/>
              <w:right w:val="nil"/>
            </w:tcBorders>
            <w:shd w:val="clear" w:color="auto" w:fill="auto"/>
            <w:noWrap/>
            <w:vAlign w:val="bottom"/>
          </w:tcPr>
          <w:p w14:paraId="3CA7F471" w14:textId="77777777" w:rsidR="00570398" w:rsidRPr="00205C60" w:rsidRDefault="00570398" w:rsidP="00570398">
            <w:pPr>
              <w:rPr>
                <w:rFonts w:ascii="Verdana" w:hAnsi="Verdana"/>
                <w:color w:val="000000"/>
                <w:sz w:val="22"/>
                <w:szCs w:val="22"/>
                <w:lang w:val="es-CR"/>
              </w:rPr>
            </w:pPr>
            <w:r w:rsidRPr="00205C60">
              <w:rPr>
                <w:rFonts w:ascii="Verdana" w:hAnsi="Verdana"/>
                <w:color w:val="000000"/>
                <w:sz w:val="22"/>
                <w:szCs w:val="22"/>
                <w:lang w:val="es-CR"/>
              </w:rPr>
              <w:t>¢</w:t>
            </w:r>
          </w:p>
        </w:tc>
        <w:tc>
          <w:tcPr>
            <w:tcW w:w="1620" w:type="dxa"/>
            <w:gridSpan w:val="2"/>
            <w:tcBorders>
              <w:top w:val="single" w:sz="4" w:space="0" w:color="auto"/>
              <w:left w:val="nil"/>
              <w:bottom w:val="double" w:sz="4" w:space="0" w:color="auto"/>
              <w:right w:val="nil"/>
            </w:tcBorders>
            <w:shd w:val="clear" w:color="auto" w:fill="auto"/>
            <w:noWrap/>
            <w:vAlign w:val="bottom"/>
          </w:tcPr>
          <w:p w14:paraId="3CA7F472" w14:textId="1D1EC13A" w:rsidR="00570398" w:rsidRPr="00205C60" w:rsidRDefault="00570398" w:rsidP="00570398">
            <w:pPr>
              <w:jc w:val="right"/>
              <w:rPr>
                <w:rFonts w:ascii="Verdana" w:hAnsi="Verdana"/>
                <w:sz w:val="22"/>
                <w:szCs w:val="22"/>
              </w:rPr>
            </w:pPr>
            <w:r w:rsidRPr="00205C60">
              <w:rPr>
                <w:rFonts w:ascii="Verdana" w:hAnsi="Verdana"/>
                <w:sz w:val="22"/>
                <w:szCs w:val="22"/>
              </w:rPr>
              <w:t>2.164.438</w:t>
            </w:r>
          </w:p>
        </w:tc>
        <w:tc>
          <w:tcPr>
            <w:tcW w:w="246" w:type="dxa"/>
            <w:tcBorders>
              <w:top w:val="nil"/>
              <w:left w:val="nil"/>
              <w:bottom w:val="nil"/>
              <w:right w:val="nil"/>
            </w:tcBorders>
            <w:shd w:val="clear" w:color="auto" w:fill="auto"/>
            <w:noWrap/>
            <w:vAlign w:val="bottom"/>
          </w:tcPr>
          <w:p w14:paraId="3CA7F473" w14:textId="77777777" w:rsidR="00570398" w:rsidRPr="00205C60" w:rsidRDefault="00570398" w:rsidP="00570398">
            <w:pPr>
              <w:jc w:val="right"/>
              <w:rPr>
                <w:rFonts w:ascii="Verdana" w:hAnsi="Verdana"/>
                <w:color w:val="000000"/>
                <w:sz w:val="22"/>
                <w:szCs w:val="22"/>
                <w:lang w:val="es-CR"/>
              </w:rPr>
            </w:pPr>
          </w:p>
        </w:tc>
        <w:tc>
          <w:tcPr>
            <w:tcW w:w="1694" w:type="dxa"/>
            <w:gridSpan w:val="3"/>
            <w:tcBorders>
              <w:top w:val="single" w:sz="4" w:space="0" w:color="auto"/>
              <w:left w:val="nil"/>
              <w:bottom w:val="double" w:sz="4" w:space="0" w:color="auto"/>
              <w:right w:val="nil"/>
            </w:tcBorders>
            <w:shd w:val="clear" w:color="auto" w:fill="auto"/>
            <w:noWrap/>
            <w:vAlign w:val="bottom"/>
          </w:tcPr>
          <w:p w14:paraId="3CA7F474" w14:textId="40A0FA9B" w:rsidR="00570398" w:rsidRPr="00205C60" w:rsidRDefault="00570398" w:rsidP="00570398">
            <w:pPr>
              <w:jc w:val="right"/>
              <w:rPr>
                <w:rFonts w:ascii="Verdana" w:hAnsi="Verdana"/>
                <w:sz w:val="22"/>
                <w:szCs w:val="22"/>
              </w:rPr>
            </w:pPr>
            <w:r w:rsidRPr="00205C60">
              <w:rPr>
                <w:rFonts w:ascii="Verdana" w:hAnsi="Verdana"/>
                <w:sz w:val="22"/>
                <w:szCs w:val="22"/>
              </w:rPr>
              <w:t>4.151.287</w:t>
            </w:r>
          </w:p>
        </w:tc>
      </w:tr>
    </w:tbl>
    <w:p w14:paraId="3CA7F476" w14:textId="77777777" w:rsidR="00002FE4" w:rsidRPr="00205C60" w:rsidRDefault="00002FE4" w:rsidP="00002FE4">
      <w:pPr>
        <w:rPr>
          <w:rFonts w:ascii="Verdana" w:hAnsi="Verdana"/>
          <w:sz w:val="22"/>
          <w:szCs w:val="22"/>
          <w:lang w:val="es-CR"/>
        </w:rPr>
      </w:pPr>
    </w:p>
    <w:p w14:paraId="3CA7F477" w14:textId="77777777" w:rsidR="00002FE4" w:rsidRPr="00205C60" w:rsidRDefault="00002FE4" w:rsidP="00002FE4">
      <w:pPr>
        <w:ind w:left="709"/>
        <w:rPr>
          <w:rFonts w:ascii="Verdana" w:hAnsi="Verdana"/>
          <w:i/>
          <w:sz w:val="22"/>
          <w:szCs w:val="22"/>
          <w:u w:val="single"/>
          <w:lang w:val="es-CR"/>
        </w:rPr>
      </w:pPr>
      <w:bookmarkStart w:id="186" w:name="_Hlk38385657"/>
      <w:r w:rsidRPr="00205C60">
        <w:rPr>
          <w:rFonts w:ascii="Verdana" w:hAnsi="Verdana"/>
          <w:i/>
          <w:sz w:val="22"/>
          <w:szCs w:val="22"/>
          <w:u w:val="single"/>
          <w:lang w:val="es-CR"/>
        </w:rPr>
        <w:t>Compensación del personal clave de la Gerencia</w:t>
      </w:r>
    </w:p>
    <w:p w14:paraId="3CA7F478" w14:textId="77777777" w:rsidR="00002FE4" w:rsidRPr="00205C60" w:rsidRDefault="00002FE4" w:rsidP="00002FE4">
      <w:pPr>
        <w:ind w:left="1440" w:hanging="720"/>
        <w:rPr>
          <w:rFonts w:ascii="Verdana" w:hAnsi="Verdana"/>
          <w:sz w:val="22"/>
          <w:szCs w:val="22"/>
          <w:lang w:val="es-CR"/>
        </w:rPr>
      </w:pPr>
    </w:p>
    <w:p w14:paraId="3CA7F479" w14:textId="71ABAB9C" w:rsidR="00002FE4" w:rsidRPr="00205C60" w:rsidRDefault="00002FE4" w:rsidP="004C28B5">
      <w:pPr>
        <w:ind w:left="1426" w:hanging="720"/>
        <w:rPr>
          <w:rFonts w:ascii="Verdana" w:hAnsi="Verdana"/>
          <w:sz w:val="22"/>
          <w:szCs w:val="22"/>
          <w:lang w:val="es-CR"/>
        </w:rPr>
      </w:pPr>
      <w:r w:rsidRPr="00205C60">
        <w:rPr>
          <w:rFonts w:ascii="Verdana" w:hAnsi="Verdana"/>
          <w:sz w:val="22"/>
          <w:szCs w:val="22"/>
          <w:lang w:val="es-CR"/>
        </w:rPr>
        <w:t>La compensación de los directores y otros miembros clave de la gerencia</w:t>
      </w:r>
      <w:r w:rsidR="004C28B5" w:rsidRPr="00205C60">
        <w:rPr>
          <w:rFonts w:ascii="Verdana" w:hAnsi="Verdana"/>
          <w:sz w:val="22"/>
          <w:szCs w:val="22"/>
          <w:lang w:val="es-CR"/>
        </w:rPr>
        <w:t xml:space="preserve"> </w:t>
      </w:r>
      <w:r w:rsidRPr="00205C60">
        <w:rPr>
          <w:rFonts w:ascii="Verdana" w:hAnsi="Verdana"/>
          <w:sz w:val="22"/>
          <w:szCs w:val="22"/>
          <w:lang w:val="es-CR"/>
        </w:rPr>
        <w:t>durante los períodos 202</w:t>
      </w:r>
      <w:r w:rsidR="00F23416" w:rsidRPr="00205C60">
        <w:rPr>
          <w:rFonts w:ascii="Verdana" w:hAnsi="Verdana"/>
          <w:sz w:val="22"/>
          <w:szCs w:val="22"/>
          <w:lang w:val="es-CR"/>
        </w:rPr>
        <w:t>2</w:t>
      </w:r>
      <w:r w:rsidRPr="00205C60">
        <w:rPr>
          <w:rFonts w:ascii="Verdana" w:hAnsi="Verdana"/>
          <w:sz w:val="22"/>
          <w:szCs w:val="22"/>
          <w:lang w:val="es-CR"/>
        </w:rPr>
        <w:t xml:space="preserve"> y 20</w:t>
      </w:r>
      <w:r w:rsidR="00F23416" w:rsidRPr="00205C60">
        <w:rPr>
          <w:rFonts w:ascii="Verdana" w:hAnsi="Verdana"/>
          <w:sz w:val="22"/>
          <w:szCs w:val="22"/>
          <w:lang w:val="es-CR"/>
        </w:rPr>
        <w:t>21</w:t>
      </w:r>
      <w:r w:rsidRPr="00205C60">
        <w:rPr>
          <w:rFonts w:ascii="Verdana" w:hAnsi="Verdana"/>
          <w:sz w:val="22"/>
          <w:szCs w:val="22"/>
          <w:lang w:val="es-CR"/>
        </w:rPr>
        <w:t xml:space="preserve"> fue la siguiente: </w:t>
      </w:r>
    </w:p>
    <w:p w14:paraId="3CA7F47A" w14:textId="77777777" w:rsidR="00002FE4" w:rsidRPr="00205C60" w:rsidRDefault="00002FE4" w:rsidP="00002FE4">
      <w:pPr>
        <w:rPr>
          <w:rFonts w:ascii="Verdana" w:hAnsi="Verdana" w:cs="Segoe UI"/>
          <w:sz w:val="22"/>
          <w:szCs w:val="22"/>
          <w:lang w:val="es-CR" w:eastAsia="es-CR"/>
        </w:rPr>
      </w:pPr>
    </w:p>
    <w:tbl>
      <w:tblPr>
        <w:tblW w:w="7985" w:type="dxa"/>
        <w:tblInd w:w="630" w:type="dxa"/>
        <w:tblLook w:val="04A0" w:firstRow="1" w:lastRow="0" w:firstColumn="1" w:lastColumn="0" w:noHBand="0" w:noVBand="1"/>
      </w:tblPr>
      <w:tblGrid>
        <w:gridCol w:w="4473"/>
        <w:gridCol w:w="356"/>
        <w:gridCol w:w="1455"/>
        <w:gridCol w:w="240"/>
        <w:gridCol w:w="1461"/>
      </w:tblGrid>
      <w:tr w:rsidR="00002FE4" w:rsidRPr="00205C60" w14:paraId="3CA7F47E" w14:textId="77777777" w:rsidTr="008C7B6A">
        <w:trPr>
          <w:trHeight w:val="330"/>
        </w:trPr>
        <w:tc>
          <w:tcPr>
            <w:tcW w:w="4473" w:type="dxa"/>
            <w:tcBorders>
              <w:top w:val="nil"/>
              <w:left w:val="nil"/>
              <w:bottom w:val="nil"/>
              <w:right w:val="nil"/>
            </w:tcBorders>
            <w:shd w:val="clear" w:color="auto" w:fill="auto"/>
            <w:noWrap/>
            <w:vAlign w:val="center"/>
          </w:tcPr>
          <w:p w14:paraId="3CA7F47B" w14:textId="77777777" w:rsidR="00002FE4" w:rsidRPr="00205C60" w:rsidRDefault="00002FE4" w:rsidP="00F265E3">
            <w:pPr>
              <w:rPr>
                <w:rFonts w:ascii="Verdana" w:hAnsi="Verdana"/>
                <w:color w:val="000000"/>
                <w:sz w:val="22"/>
                <w:szCs w:val="22"/>
                <w:u w:val="single"/>
              </w:rPr>
            </w:pPr>
          </w:p>
        </w:tc>
        <w:tc>
          <w:tcPr>
            <w:tcW w:w="356" w:type="dxa"/>
            <w:tcBorders>
              <w:top w:val="nil"/>
              <w:left w:val="nil"/>
              <w:bottom w:val="nil"/>
              <w:right w:val="nil"/>
            </w:tcBorders>
            <w:shd w:val="clear" w:color="auto" w:fill="auto"/>
            <w:noWrap/>
            <w:vAlign w:val="bottom"/>
          </w:tcPr>
          <w:p w14:paraId="3CA7F47C" w14:textId="77777777" w:rsidR="00002FE4" w:rsidRPr="00205C60" w:rsidRDefault="00002FE4" w:rsidP="00F265E3">
            <w:pPr>
              <w:rPr>
                <w:rFonts w:ascii="Verdana" w:hAnsi="Verdana"/>
                <w:color w:val="000000"/>
                <w:sz w:val="22"/>
                <w:szCs w:val="22"/>
                <w:lang w:val="es-CR"/>
              </w:rPr>
            </w:pPr>
          </w:p>
        </w:tc>
        <w:tc>
          <w:tcPr>
            <w:tcW w:w="3156" w:type="dxa"/>
            <w:gridSpan w:val="3"/>
            <w:tcBorders>
              <w:top w:val="nil"/>
              <w:left w:val="nil"/>
              <w:right w:val="nil"/>
            </w:tcBorders>
            <w:shd w:val="clear" w:color="auto" w:fill="auto"/>
            <w:noWrap/>
            <w:vAlign w:val="bottom"/>
          </w:tcPr>
          <w:p w14:paraId="3CA7F47D" w14:textId="77777777" w:rsidR="00002FE4" w:rsidRPr="00FA65C7" w:rsidRDefault="00002FE4" w:rsidP="00F265E3">
            <w:pPr>
              <w:ind w:left="-110"/>
              <w:jc w:val="center"/>
              <w:rPr>
                <w:rFonts w:ascii="Verdana" w:hAnsi="Verdana"/>
                <w:color w:val="000000"/>
                <w:sz w:val="22"/>
                <w:szCs w:val="22"/>
                <w:u w:val="single"/>
                <w:lang w:val="es-CR"/>
              </w:rPr>
            </w:pPr>
            <w:r w:rsidRPr="00FA65C7">
              <w:rPr>
                <w:rFonts w:ascii="Verdana" w:hAnsi="Verdana"/>
                <w:color w:val="000000"/>
                <w:sz w:val="22"/>
                <w:szCs w:val="22"/>
                <w:u w:val="single"/>
                <w:lang w:val="es-CR"/>
              </w:rPr>
              <w:t>31 de diciembre del</w:t>
            </w:r>
          </w:p>
        </w:tc>
      </w:tr>
      <w:tr w:rsidR="00002FE4" w:rsidRPr="00205C60" w14:paraId="3CA7F484" w14:textId="77777777" w:rsidTr="008C7B6A">
        <w:trPr>
          <w:trHeight w:val="330"/>
        </w:trPr>
        <w:tc>
          <w:tcPr>
            <w:tcW w:w="4473" w:type="dxa"/>
            <w:tcBorders>
              <w:top w:val="nil"/>
              <w:left w:val="nil"/>
              <w:bottom w:val="nil"/>
              <w:right w:val="nil"/>
            </w:tcBorders>
            <w:shd w:val="clear" w:color="auto" w:fill="auto"/>
            <w:noWrap/>
            <w:vAlign w:val="center"/>
          </w:tcPr>
          <w:p w14:paraId="3CA7F47F" w14:textId="77777777" w:rsidR="00002FE4" w:rsidRPr="00205C60" w:rsidRDefault="00002FE4" w:rsidP="00F265E3">
            <w:pPr>
              <w:rPr>
                <w:rFonts w:ascii="Verdana" w:hAnsi="Verdana"/>
                <w:color w:val="000000"/>
                <w:sz w:val="22"/>
                <w:szCs w:val="22"/>
                <w:u w:val="single"/>
              </w:rPr>
            </w:pPr>
          </w:p>
        </w:tc>
        <w:tc>
          <w:tcPr>
            <w:tcW w:w="356" w:type="dxa"/>
            <w:tcBorders>
              <w:top w:val="nil"/>
              <w:left w:val="nil"/>
              <w:bottom w:val="nil"/>
              <w:right w:val="nil"/>
            </w:tcBorders>
            <w:shd w:val="clear" w:color="auto" w:fill="auto"/>
            <w:noWrap/>
            <w:vAlign w:val="bottom"/>
          </w:tcPr>
          <w:p w14:paraId="3CA7F480" w14:textId="77777777" w:rsidR="00002FE4" w:rsidRPr="00205C60" w:rsidRDefault="00002FE4" w:rsidP="00F265E3">
            <w:pPr>
              <w:rPr>
                <w:rFonts w:ascii="Verdana" w:hAnsi="Verdana"/>
                <w:color w:val="000000"/>
                <w:sz w:val="22"/>
                <w:szCs w:val="22"/>
                <w:lang w:val="es-CR"/>
              </w:rPr>
            </w:pPr>
          </w:p>
        </w:tc>
        <w:tc>
          <w:tcPr>
            <w:tcW w:w="1455" w:type="dxa"/>
            <w:tcBorders>
              <w:top w:val="nil"/>
              <w:left w:val="nil"/>
              <w:right w:val="nil"/>
            </w:tcBorders>
            <w:shd w:val="clear" w:color="auto" w:fill="auto"/>
            <w:noWrap/>
            <w:vAlign w:val="bottom"/>
          </w:tcPr>
          <w:p w14:paraId="3CA7F481" w14:textId="01875F93" w:rsidR="00002FE4" w:rsidRPr="00FA65C7" w:rsidRDefault="00002FE4" w:rsidP="00F265E3">
            <w:pPr>
              <w:ind w:left="-110"/>
              <w:jc w:val="center"/>
              <w:rPr>
                <w:rFonts w:ascii="Verdana" w:hAnsi="Verdana"/>
                <w:color w:val="000000"/>
                <w:sz w:val="22"/>
                <w:szCs w:val="22"/>
                <w:u w:val="single"/>
                <w:lang w:val="es-CR"/>
              </w:rPr>
            </w:pPr>
            <w:r w:rsidRPr="00FA65C7">
              <w:rPr>
                <w:rFonts w:ascii="Verdana" w:hAnsi="Verdana"/>
                <w:color w:val="000000"/>
                <w:sz w:val="22"/>
                <w:szCs w:val="22"/>
                <w:u w:val="single"/>
                <w:lang w:val="es-CR"/>
              </w:rPr>
              <w:t>202</w:t>
            </w:r>
            <w:r w:rsidR="00FA65C7" w:rsidRPr="00FA65C7">
              <w:rPr>
                <w:rFonts w:ascii="Verdana" w:hAnsi="Verdana"/>
                <w:color w:val="000000"/>
                <w:sz w:val="22"/>
                <w:szCs w:val="22"/>
                <w:u w:val="single"/>
                <w:lang w:val="es-CR"/>
              </w:rPr>
              <w:t>2</w:t>
            </w:r>
          </w:p>
        </w:tc>
        <w:tc>
          <w:tcPr>
            <w:tcW w:w="240" w:type="dxa"/>
            <w:tcBorders>
              <w:top w:val="nil"/>
              <w:left w:val="nil"/>
              <w:bottom w:val="nil"/>
              <w:right w:val="nil"/>
            </w:tcBorders>
            <w:shd w:val="clear" w:color="auto" w:fill="auto"/>
            <w:noWrap/>
            <w:vAlign w:val="bottom"/>
          </w:tcPr>
          <w:p w14:paraId="3CA7F482" w14:textId="77777777" w:rsidR="00002FE4" w:rsidRPr="00FA65C7" w:rsidRDefault="00002FE4" w:rsidP="00F265E3">
            <w:pPr>
              <w:jc w:val="center"/>
              <w:rPr>
                <w:rFonts w:ascii="Verdana" w:hAnsi="Verdana"/>
                <w:color w:val="000000"/>
                <w:sz w:val="22"/>
                <w:szCs w:val="22"/>
                <w:u w:val="single"/>
                <w:lang w:val="es-CR"/>
              </w:rPr>
            </w:pPr>
          </w:p>
        </w:tc>
        <w:tc>
          <w:tcPr>
            <w:tcW w:w="1461" w:type="dxa"/>
            <w:tcBorders>
              <w:top w:val="nil"/>
              <w:left w:val="nil"/>
              <w:right w:val="nil"/>
            </w:tcBorders>
            <w:shd w:val="clear" w:color="auto" w:fill="auto"/>
            <w:noWrap/>
            <w:vAlign w:val="bottom"/>
          </w:tcPr>
          <w:p w14:paraId="3CA7F483" w14:textId="250564B4" w:rsidR="00002FE4" w:rsidRPr="00FA65C7" w:rsidRDefault="00002FE4" w:rsidP="00F265E3">
            <w:pPr>
              <w:ind w:left="-110"/>
              <w:jc w:val="center"/>
              <w:rPr>
                <w:rFonts w:ascii="Verdana" w:hAnsi="Verdana"/>
                <w:color w:val="000000"/>
                <w:sz w:val="22"/>
                <w:szCs w:val="22"/>
                <w:u w:val="single"/>
                <w:lang w:val="es-CR"/>
              </w:rPr>
            </w:pPr>
            <w:r w:rsidRPr="00FA65C7">
              <w:rPr>
                <w:rFonts w:ascii="Verdana" w:hAnsi="Verdana"/>
                <w:color w:val="000000"/>
                <w:sz w:val="22"/>
                <w:szCs w:val="22"/>
                <w:u w:val="single"/>
                <w:lang w:val="es-CR"/>
              </w:rPr>
              <w:t>20</w:t>
            </w:r>
            <w:r w:rsidR="008C7B6A" w:rsidRPr="00FA65C7">
              <w:rPr>
                <w:rFonts w:ascii="Verdana" w:hAnsi="Verdana"/>
                <w:color w:val="000000"/>
                <w:sz w:val="22"/>
                <w:szCs w:val="22"/>
                <w:u w:val="single"/>
                <w:lang w:val="es-CR"/>
              </w:rPr>
              <w:t>2</w:t>
            </w:r>
            <w:r w:rsidR="00FA65C7" w:rsidRPr="00FA65C7">
              <w:rPr>
                <w:rFonts w:ascii="Verdana" w:hAnsi="Verdana"/>
                <w:color w:val="000000"/>
                <w:sz w:val="22"/>
                <w:szCs w:val="22"/>
                <w:u w:val="single"/>
                <w:lang w:val="es-CR"/>
              </w:rPr>
              <w:t>1</w:t>
            </w:r>
          </w:p>
        </w:tc>
      </w:tr>
      <w:tr w:rsidR="00F23416" w:rsidRPr="00205C60" w14:paraId="3CA7F48A" w14:textId="77777777" w:rsidTr="008C7B6A">
        <w:trPr>
          <w:trHeight w:val="330"/>
        </w:trPr>
        <w:tc>
          <w:tcPr>
            <w:tcW w:w="4473" w:type="dxa"/>
            <w:tcBorders>
              <w:top w:val="nil"/>
              <w:left w:val="nil"/>
              <w:bottom w:val="nil"/>
              <w:right w:val="nil"/>
            </w:tcBorders>
            <w:shd w:val="clear" w:color="auto" w:fill="auto"/>
            <w:noWrap/>
            <w:vAlign w:val="center"/>
          </w:tcPr>
          <w:p w14:paraId="3CA7F485" w14:textId="77777777" w:rsidR="00F23416" w:rsidRPr="00205C60" w:rsidRDefault="00F23416" w:rsidP="00F23416">
            <w:pPr>
              <w:rPr>
                <w:rFonts w:ascii="Verdana" w:hAnsi="Verdana"/>
                <w:color w:val="000000"/>
                <w:sz w:val="22"/>
                <w:szCs w:val="22"/>
                <w:lang w:val="es-419"/>
              </w:rPr>
            </w:pPr>
            <w:r w:rsidRPr="00205C60">
              <w:rPr>
                <w:rFonts w:ascii="Verdana" w:hAnsi="Verdana"/>
                <w:color w:val="000000"/>
                <w:sz w:val="22"/>
                <w:szCs w:val="22"/>
                <w:lang w:val="es-419"/>
              </w:rPr>
              <w:t>Beneficios a corto plazo</w:t>
            </w:r>
          </w:p>
        </w:tc>
        <w:tc>
          <w:tcPr>
            <w:tcW w:w="356" w:type="dxa"/>
            <w:tcBorders>
              <w:top w:val="nil"/>
              <w:left w:val="nil"/>
              <w:bottom w:val="nil"/>
              <w:right w:val="nil"/>
            </w:tcBorders>
            <w:shd w:val="clear" w:color="auto" w:fill="auto"/>
            <w:noWrap/>
            <w:vAlign w:val="bottom"/>
          </w:tcPr>
          <w:p w14:paraId="3CA7F486" w14:textId="77777777" w:rsidR="00F23416" w:rsidRPr="00205C60" w:rsidRDefault="00F23416" w:rsidP="00F23416">
            <w:pPr>
              <w:rPr>
                <w:rFonts w:ascii="Verdana" w:hAnsi="Verdana"/>
                <w:color w:val="000000"/>
                <w:sz w:val="22"/>
                <w:szCs w:val="22"/>
                <w:lang w:val="es-CR"/>
              </w:rPr>
            </w:pPr>
            <w:r w:rsidRPr="00205C60">
              <w:rPr>
                <w:rFonts w:ascii="Verdana" w:hAnsi="Verdana"/>
                <w:color w:val="000000"/>
                <w:sz w:val="22"/>
                <w:szCs w:val="22"/>
                <w:lang w:val="es-CR"/>
              </w:rPr>
              <w:t>¢</w:t>
            </w:r>
          </w:p>
        </w:tc>
        <w:tc>
          <w:tcPr>
            <w:tcW w:w="1455" w:type="dxa"/>
            <w:tcBorders>
              <w:top w:val="nil"/>
              <w:left w:val="nil"/>
              <w:right w:val="nil"/>
            </w:tcBorders>
            <w:shd w:val="clear" w:color="auto" w:fill="auto"/>
            <w:noWrap/>
            <w:vAlign w:val="bottom"/>
          </w:tcPr>
          <w:p w14:paraId="3CA7F487" w14:textId="5C99D505" w:rsidR="00F23416" w:rsidRPr="00205C60" w:rsidRDefault="00F23416" w:rsidP="00F23416">
            <w:pPr>
              <w:ind w:left="-110"/>
              <w:jc w:val="right"/>
              <w:rPr>
                <w:rFonts w:ascii="Verdana" w:hAnsi="Verdana"/>
                <w:color w:val="000000"/>
                <w:sz w:val="22"/>
                <w:szCs w:val="22"/>
                <w:lang w:val="es-CR"/>
              </w:rPr>
            </w:pPr>
            <w:r w:rsidRPr="00205C60">
              <w:rPr>
                <w:rFonts w:ascii="Verdana" w:hAnsi="Verdana"/>
                <w:color w:val="000000"/>
                <w:sz w:val="22"/>
                <w:szCs w:val="22"/>
                <w:lang w:val="es-CR"/>
              </w:rPr>
              <w:t>7</w:t>
            </w:r>
            <w:r w:rsidR="0060027A" w:rsidRPr="00205C60">
              <w:rPr>
                <w:rFonts w:ascii="Verdana" w:hAnsi="Verdana"/>
                <w:color w:val="000000"/>
                <w:sz w:val="22"/>
                <w:szCs w:val="22"/>
                <w:lang w:val="es-CR"/>
              </w:rPr>
              <w:t>86</w:t>
            </w:r>
            <w:r w:rsidRPr="00205C60">
              <w:rPr>
                <w:rFonts w:ascii="Verdana" w:hAnsi="Verdana"/>
                <w:color w:val="000000"/>
                <w:sz w:val="22"/>
                <w:szCs w:val="22"/>
                <w:lang w:val="es-CR"/>
              </w:rPr>
              <w:t>.</w:t>
            </w:r>
            <w:r w:rsidR="0060027A" w:rsidRPr="00205C60">
              <w:rPr>
                <w:rFonts w:ascii="Verdana" w:hAnsi="Verdana"/>
                <w:color w:val="000000"/>
                <w:sz w:val="22"/>
                <w:szCs w:val="22"/>
                <w:lang w:val="es-CR"/>
              </w:rPr>
              <w:t>999</w:t>
            </w:r>
          </w:p>
        </w:tc>
        <w:tc>
          <w:tcPr>
            <w:tcW w:w="240" w:type="dxa"/>
            <w:tcBorders>
              <w:top w:val="nil"/>
              <w:left w:val="nil"/>
              <w:bottom w:val="nil"/>
              <w:right w:val="nil"/>
            </w:tcBorders>
            <w:shd w:val="clear" w:color="auto" w:fill="auto"/>
            <w:noWrap/>
            <w:vAlign w:val="bottom"/>
          </w:tcPr>
          <w:p w14:paraId="3CA7F488" w14:textId="77777777" w:rsidR="00F23416" w:rsidRPr="00205C60" w:rsidRDefault="00F23416" w:rsidP="00F23416">
            <w:pPr>
              <w:jc w:val="right"/>
              <w:rPr>
                <w:rFonts w:ascii="Verdana" w:hAnsi="Verdana"/>
                <w:color w:val="000000"/>
                <w:sz w:val="22"/>
                <w:szCs w:val="22"/>
                <w:lang w:val="es-CR"/>
              </w:rPr>
            </w:pPr>
          </w:p>
        </w:tc>
        <w:tc>
          <w:tcPr>
            <w:tcW w:w="1461" w:type="dxa"/>
            <w:tcBorders>
              <w:top w:val="nil"/>
              <w:left w:val="nil"/>
              <w:right w:val="nil"/>
            </w:tcBorders>
            <w:shd w:val="clear" w:color="auto" w:fill="auto"/>
            <w:noWrap/>
            <w:vAlign w:val="bottom"/>
          </w:tcPr>
          <w:p w14:paraId="3CA7F489" w14:textId="0971825B" w:rsidR="00F23416" w:rsidRPr="00205C60" w:rsidRDefault="00F23416" w:rsidP="00F23416">
            <w:pPr>
              <w:ind w:left="-110"/>
              <w:jc w:val="right"/>
              <w:rPr>
                <w:rFonts w:ascii="Verdana" w:hAnsi="Verdana"/>
                <w:color w:val="000000"/>
                <w:sz w:val="22"/>
                <w:szCs w:val="22"/>
                <w:lang w:val="es-CR"/>
              </w:rPr>
            </w:pPr>
            <w:r w:rsidRPr="00205C60">
              <w:rPr>
                <w:rFonts w:ascii="Verdana" w:hAnsi="Verdana"/>
                <w:color w:val="000000"/>
                <w:sz w:val="22"/>
                <w:szCs w:val="22"/>
                <w:lang w:val="es-CR"/>
              </w:rPr>
              <w:t>758.883</w:t>
            </w:r>
          </w:p>
        </w:tc>
      </w:tr>
      <w:tr w:rsidR="00F23416" w:rsidRPr="00205C60" w14:paraId="1442E382" w14:textId="77777777" w:rsidTr="008C7B6A">
        <w:trPr>
          <w:trHeight w:val="80"/>
        </w:trPr>
        <w:tc>
          <w:tcPr>
            <w:tcW w:w="4473" w:type="dxa"/>
            <w:tcBorders>
              <w:top w:val="nil"/>
              <w:left w:val="nil"/>
              <w:bottom w:val="nil"/>
              <w:right w:val="nil"/>
            </w:tcBorders>
            <w:shd w:val="clear" w:color="auto" w:fill="auto"/>
            <w:noWrap/>
            <w:vAlign w:val="center"/>
          </w:tcPr>
          <w:p w14:paraId="44974D83" w14:textId="5CA3FD16" w:rsidR="00F23416" w:rsidRPr="00205C60" w:rsidRDefault="00F23416" w:rsidP="00F23416">
            <w:pPr>
              <w:ind w:left="702" w:right="-118" w:hanging="702"/>
              <w:rPr>
                <w:rFonts w:ascii="Verdana" w:hAnsi="Verdana"/>
                <w:color w:val="000000"/>
                <w:sz w:val="22"/>
                <w:szCs w:val="22"/>
                <w:lang w:val="es-419"/>
              </w:rPr>
            </w:pPr>
            <w:r w:rsidRPr="00205C60">
              <w:rPr>
                <w:rFonts w:ascii="Verdana" w:hAnsi="Verdana"/>
                <w:color w:val="000000"/>
                <w:sz w:val="22"/>
                <w:szCs w:val="22"/>
                <w:lang w:val="es-419"/>
              </w:rPr>
              <w:t>Beneficios post-empleo</w:t>
            </w:r>
          </w:p>
        </w:tc>
        <w:tc>
          <w:tcPr>
            <w:tcW w:w="356" w:type="dxa"/>
            <w:tcBorders>
              <w:top w:val="nil"/>
              <w:left w:val="nil"/>
              <w:bottom w:val="nil"/>
              <w:right w:val="nil"/>
            </w:tcBorders>
            <w:shd w:val="clear" w:color="auto" w:fill="auto"/>
            <w:noWrap/>
            <w:vAlign w:val="bottom"/>
          </w:tcPr>
          <w:p w14:paraId="7B856E5B" w14:textId="77777777" w:rsidR="00F23416" w:rsidRPr="00205C60" w:rsidRDefault="00F23416" w:rsidP="00F23416">
            <w:pPr>
              <w:rPr>
                <w:rFonts w:ascii="Verdana" w:hAnsi="Verdana"/>
                <w:color w:val="000000"/>
                <w:sz w:val="22"/>
                <w:szCs w:val="22"/>
                <w:lang w:val="es-CR"/>
              </w:rPr>
            </w:pPr>
          </w:p>
        </w:tc>
        <w:tc>
          <w:tcPr>
            <w:tcW w:w="1455" w:type="dxa"/>
            <w:tcBorders>
              <w:top w:val="nil"/>
              <w:left w:val="nil"/>
              <w:right w:val="nil"/>
            </w:tcBorders>
            <w:shd w:val="clear" w:color="auto" w:fill="auto"/>
            <w:noWrap/>
            <w:vAlign w:val="bottom"/>
          </w:tcPr>
          <w:p w14:paraId="48E79C1C" w14:textId="165B0D7A" w:rsidR="00F23416" w:rsidRPr="00205C60" w:rsidRDefault="00F23416" w:rsidP="00F23416">
            <w:pPr>
              <w:jc w:val="right"/>
              <w:rPr>
                <w:rFonts w:ascii="Verdana" w:hAnsi="Verdana"/>
                <w:sz w:val="22"/>
                <w:szCs w:val="22"/>
              </w:rPr>
            </w:pPr>
            <w:r w:rsidRPr="00205C60">
              <w:rPr>
                <w:rFonts w:ascii="Verdana" w:hAnsi="Verdana"/>
                <w:sz w:val="22"/>
                <w:szCs w:val="22"/>
              </w:rPr>
              <w:t>121.067</w:t>
            </w:r>
          </w:p>
        </w:tc>
        <w:tc>
          <w:tcPr>
            <w:tcW w:w="240" w:type="dxa"/>
            <w:tcBorders>
              <w:top w:val="nil"/>
              <w:left w:val="nil"/>
              <w:bottom w:val="nil"/>
              <w:right w:val="nil"/>
            </w:tcBorders>
            <w:shd w:val="clear" w:color="auto" w:fill="auto"/>
            <w:noWrap/>
            <w:vAlign w:val="bottom"/>
          </w:tcPr>
          <w:p w14:paraId="785CAC2B" w14:textId="77777777" w:rsidR="00F23416" w:rsidRPr="00205C60" w:rsidRDefault="00F23416" w:rsidP="00F23416">
            <w:pPr>
              <w:jc w:val="right"/>
              <w:rPr>
                <w:rFonts w:ascii="Verdana" w:hAnsi="Verdana"/>
                <w:color w:val="000000"/>
                <w:sz w:val="22"/>
                <w:szCs w:val="22"/>
                <w:lang w:val="es-CR"/>
              </w:rPr>
            </w:pPr>
          </w:p>
        </w:tc>
        <w:tc>
          <w:tcPr>
            <w:tcW w:w="1461" w:type="dxa"/>
            <w:tcBorders>
              <w:top w:val="nil"/>
              <w:left w:val="nil"/>
              <w:right w:val="nil"/>
            </w:tcBorders>
            <w:shd w:val="clear" w:color="auto" w:fill="auto"/>
            <w:noWrap/>
            <w:vAlign w:val="bottom"/>
          </w:tcPr>
          <w:p w14:paraId="1645F133" w14:textId="62A2976D" w:rsidR="00F23416" w:rsidRPr="00205C60" w:rsidRDefault="00F23416" w:rsidP="00F23416">
            <w:pPr>
              <w:jc w:val="right"/>
              <w:rPr>
                <w:rFonts w:ascii="Verdana" w:hAnsi="Verdana"/>
                <w:sz w:val="22"/>
                <w:szCs w:val="22"/>
              </w:rPr>
            </w:pPr>
            <w:r w:rsidRPr="00205C60">
              <w:rPr>
                <w:rFonts w:ascii="Verdana" w:hAnsi="Verdana"/>
                <w:sz w:val="22"/>
                <w:szCs w:val="22"/>
              </w:rPr>
              <w:t>121.067</w:t>
            </w:r>
          </w:p>
        </w:tc>
      </w:tr>
      <w:tr w:rsidR="00F23416" w:rsidRPr="00205C60" w14:paraId="3CA7F490" w14:textId="77777777" w:rsidTr="008C7B6A">
        <w:trPr>
          <w:trHeight w:val="80"/>
        </w:trPr>
        <w:tc>
          <w:tcPr>
            <w:tcW w:w="4473" w:type="dxa"/>
            <w:tcBorders>
              <w:top w:val="nil"/>
              <w:left w:val="nil"/>
              <w:bottom w:val="nil"/>
              <w:right w:val="nil"/>
            </w:tcBorders>
            <w:shd w:val="clear" w:color="auto" w:fill="auto"/>
            <w:noWrap/>
            <w:vAlign w:val="center"/>
          </w:tcPr>
          <w:p w14:paraId="3CA7F48B" w14:textId="77777777" w:rsidR="00F23416" w:rsidRPr="00205C60" w:rsidRDefault="00F23416" w:rsidP="00F23416">
            <w:pPr>
              <w:ind w:left="702" w:right="-118" w:hanging="702"/>
              <w:rPr>
                <w:rFonts w:ascii="Verdana" w:hAnsi="Verdana"/>
                <w:color w:val="000000"/>
                <w:sz w:val="22"/>
                <w:szCs w:val="22"/>
                <w:lang w:val="es-419"/>
              </w:rPr>
            </w:pPr>
            <w:r w:rsidRPr="00205C60">
              <w:rPr>
                <w:rFonts w:ascii="Verdana" w:hAnsi="Verdana"/>
                <w:color w:val="000000"/>
                <w:sz w:val="22"/>
                <w:szCs w:val="22"/>
                <w:lang w:val="es-419"/>
              </w:rPr>
              <w:t>Otros beneficios a largo plazo</w:t>
            </w:r>
          </w:p>
        </w:tc>
        <w:tc>
          <w:tcPr>
            <w:tcW w:w="356" w:type="dxa"/>
            <w:tcBorders>
              <w:top w:val="nil"/>
              <w:left w:val="nil"/>
              <w:bottom w:val="nil"/>
              <w:right w:val="nil"/>
            </w:tcBorders>
            <w:shd w:val="clear" w:color="auto" w:fill="auto"/>
            <w:noWrap/>
            <w:vAlign w:val="bottom"/>
          </w:tcPr>
          <w:p w14:paraId="3CA7F48C" w14:textId="77777777" w:rsidR="00F23416" w:rsidRPr="00205C60" w:rsidRDefault="00F23416" w:rsidP="00F23416">
            <w:pPr>
              <w:rPr>
                <w:rFonts w:ascii="Verdana" w:hAnsi="Verdana"/>
                <w:color w:val="000000"/>
                <w:sz w:val="22"/>
                <w:szCs w:val="22"/>
                <w:lang w:val="es-CR"/>
              </w:rPr>
            </w:pPr>
          </w:p>
        </w:tc>
        <w:tc>
          <w:tcPr>
            <w:tcW w:w="1455" w:type="dxa"/>
            <w:tcBorders>
              <w:top w:val="nil"/>
              <w:left w:val="nil"/>
              <w:right w:val="nil"/>
            </w:tcBorders>
            <w:shd w:val="clear" w:color="auto" w:fill="auto"/>
            <w:noWrap/>
            <w:vAlign w:val="bottom"/>
          </w:tcPr>
          <w:p w14:paraId="3CA7F48D" w14:textId="6236A287" w:rsidR="00F23416" w:rsidRPr="00205C60" w:rsidRDefault="00F23416" w:rsidP="00F23416">
            <w:pPr>
              <w:jc w:val="right"/>
              <w:rPr>
                <w:rFonts w:ascii="Verdana" w:hAnsi="Verdana"/>
                <w:sz w:val="22"/>
                <w:szCs w:val="22"/>
              </w:rPr>
            </w:pPr>
            <w:r w:rsidRPr="00205C60">
              <w:rPr>
                <w:rFonts w:ascii="Verdana" w:hAnsi="Verdana"/>
                <w:sz w:val="22"/>
                <w:szCs w:val="22"/>
              </w:rPr>
              <w:t>4</w:t>
            </w:r>
            <w:r w:rsidR="0060027A" w:rsidRPr="00205C60">
              <w:rPr>
                <w:rFonts w:ascii="Verdana" w:hAnsi="Verdana"/>
                <w:sz w:val="22"/>
                <w:szCs w:val="22"/>
              </w:rPr>
              <w:t>0</w:t>
            </w:r>
            <w:r w:rsidRPr="00205C60">
              <w:rPr>
                <w:rFonts w:ascii="Verdana" w:hAnsi="Verdana"/>
                <w:sz w:val="22"/>
                <w:szCs w:val="22"/>
              </w:rPr>
              <w:t>.9</w:t>
            </w:r>
            <w:r w:rsidR="0060027A" w:rsidRPr="00205C60">
              <w:rPr>
                <w:rFonts w:ascii="Verdana" w:hAnsi="Verdana"/>
                <w:sz w:val="22"/>
                <w:szCs w:val="22"/>
              </w:rPr>
              <w:t>82</w:t>
            </w:r>
          </w:p>
        </w:tc>
        <w:tc>
          <w:tcPr>
            <w:tcW w:w="240" w:type="dxa"/>
            <w:tcBorders>
              <w:top w:val="nil"/>
              <w:left w:val="nil"/>
              <w:bottom w:val="nil"/>
              <w:right w:val="nil"/>
            </w:tcBorders>
            <w:shd w:val="clear" w:color="auto" w:fill="auto"/>
            <w:noWrap/>
            <w:vAlign w:val="bottom"/>
          </w:tcPr>
          <w:p w14:paraId="3CA7F48E" w14:textId="77777777" w:rsidR="00F23416" w:rsidRPr="00205C60" w:rsidRDefault="00F23416" w:rsidP="00F23416">
            <w:pPr>
              <w:jc w:val="right"/>
              <w:rPr>
                <w:rFonts w:ascii="Verdana" w:hAnsi="Verdana"/>
                <w:color w:val="000000"/>
                <w:sz w:val="22"/>
                <w:szCs w:val="22"/>
                <w:lang w:val="es-CR"/>
              </w:rPr>
            </w:pPr>
          </w:p>
        </w:tc>
        <w:tc>
          <w:tcPr>
            <w:tcW w:w="1461" w:type="dxa"/>
            <w:tcBorders>
              <w:top w:val="nil"/>
              <w:left w:val="nil"/>
              <w:right w:val="nil"/>
            </w:tcBorders>
            <w:shd w:val="clear" w:color="auto" w:fill="auto"/>
            <w:noWrap/>
            <w:vAlign w:val="bottom"/>
          </w:tcPr>
          <w:p w14:paraId="3CA7F48F" w14:textId="70B23B61" w:rsidR="00F23416" w:rsidRPr="00205C60" w:rsidRDefault="00F23416" w:rsidP="00F23416">
            <w:pPr>
              <w:jc w:val="right"/>
              <w:rPr>
                <w:rFonts w:ascii="Verdana" w:hAnsi="Verdana"/>
                <w:sz w:val="22"/>
                <w:szCs w:val="22"/>
              </w:rPr>
            </w:pPr>
            <w:r w:rsidRPr="00205C60">
              <w:rPr>
                <w:rFonts w:ascii="Verdana" w:hAnsi="Verdana"/>
                <w:sz w:val="22"/>
                <w:szCs w:val="22"/>
              </w:rPr>
              <w:t>48.999</w:t>
            </w:r>
          </w:p>
        </w:tc>
      </w:tr>
      <w:tr w:rsidR="00F23416" w:rsidRPr="00205C60" w14:paraId="3CA7F496" w14:textId="77777777" w:rsidTr="008C7B6A">
        <w:trPr>
          <w:trHeight w:val="80"/>
        </w:trPr>
        <w:tc>
          <w:tcPr>
            <w:tcW w:w="4473" w:type="dxa"/>
            <w:tcBorders>
              <w:top w:val="nil"/>
              <w:left w:val="nil"/>
              <w:bottom w:val="nil"/>
              <w:right w:val="nil"/>
            </w:tcBorders>
            <w:shd w:val="clear" w:color="auto" w:fill="auto"/>
            <w:noWrap/>
            <w:vAlign w:val="bottom"/>
          </w:tcPr>
          <w:p w14:paraId="3CA7F491" w14:textId="77777777" w:rsidR="00F23416" w:rsidRPr="00205C60" w:rsidRDefault="00F23416" w:rsidP="00F23416">
            <w:pPr>
              <w:ind w:left="702" w:right="-118" w:hanging="702"/>
              <w:rPr>
                <w:rFonts w:ascii="Verdana" w:hAnsi="Verdana"/>
                <w:color w:val="000000"/>
                <w:sz w:val="22"/>
                <w:szCs w:val="22"/>
                <w:lang w:val="es-419"/>
              </w:rPr>
            </w:pPr>
          </w:p>
        </w:tc>
        <w:tc>
          <w:tcPr>
            <w:tcW w:w="356" w:type="dxa"/>
            <w:tcBorders>
              <w:top w:val="nil"/>
              <w:left w:val="nil"/>
              <w:bottom w:val="nil"/>
              <w:right w:val="nil"/>
            </w:tcBorders>
            <w:shd w:val="clear" w:color="auto" w:fill="auto"/>
            <w:noWrap/>
            <w:vAlign w:val="bottom"/>
          </w:tcPr>
          <w:p w14:paraId="3CA7F492" w14:textId="77777777" w:rsidR="00F23416" w:rsidRPr="00205C60" w:rsidRDefault="00F23416" w:rsidP="00F23416">
            <w:pPr>
              <w:rPr>
                <w:rFonts w:ascii="Verdana" w:hAnsi="Verdana"/>
                <w:color w:val="000000"/>
                <w:sz w:val="22"/>
                <w:szCs w:val="22"/>
                <w:lang w:val="es-CR"/>
              </w:rPr>
            </w:pPr>
            <w:r w:rsidRPr="00205C60">
              <w:rPr>
                <w:rFonts w:ascii="Verdana" w:hAnsi="Verdana"/>
                <w:color w:val="000000"/>
                <w:sz w:val="22"/>
                <w:szCs w:val="22"/>
                <w:lang w:val="es-CR"/>
              </w:rPr>
              <w:t>¢</w:t>
            </w:r>
          </w:p>
        </w:tc>
        <w:tc>
          <w:tcPr>
            <w:tcW w:w="1455" w:type="dxa"/>
            <w:tcBorders>
              <w:top w:val="single" w:sz="4" w:space="0" w:color="auto"/>
              <w:left w:val="nil"/>
              <w:bottom w:val="double" w:sz="4" w:space="0" w:color="auto"/>
              <w:right w:val="nil"/>
            </w:tcBorders>
            <w:shd w:val="clear" w:color="auto" w:fill="auto"/>
            <w:noWrap/>
            <w:vAlign w:val="bottom"/>
          </w:tcPr>
          <w:p w14:paraId="3CA7F493" w14:textId="78497406" w:rsidR="00F23416" w:rsidRPr="00205C60" w:rsidRDefault="00F23416" w:rsidP="00F23416">
            <w:pPr>
              <w:jc w:val="right"/>
              <w:rPr>
                <w:rFonts w:ascii="Verdana" w:hAnsi="Verdana"/>
                <w:sz w:val="22"/>
                <w:szCs w:val="22"/>
              </w:rPr>
            </w:pPr>
            <w:r w:rsidRPr="00205C60">
              <w:rPr>
                <w:rFonts w:ascii="Verdana" w:hAnsi="Verdana"/>
                <w:sz w:val="22"/>
                <w:szCs w:val="22"/>
              </w:rPr>
              <w:t>9</w:t>
            </w:r>
            <w:r w:rsidR="0060027A" w:rsidRPr="00205C60">
              <w:rPr>
                <w:rFonts w:ascii="Verdana" w:hAnsi="Verdana"/>
                <w:sz w:val="22"/>
                <w:szCs w:val="22"/>
              </w:rPr>
              <w:t>49</w:t>
            </w:r>
            <w:r w:rsidRPr="00205C60">
              <w:rPr>
                <w:rFonts w:ascii="Verdana" w:hAnsi="Verdana"/>
                <w:sz w:val="22"/>
                <w:szCs w:val="22"/>
              </w:rPr>
              <w:t>.</w:t>
            </w:r>
            <w:r w:rsidR="0060027A" w:rsidRPr="00205C60">
              <w:rPr>
                <w:rFonts w:ascii="Verdana" w:hAnsi="Verdana"/>
                <w:sz w:val="22"/>
                <w:szCs w:val="22"/>
              </w:rPr>
              <w:t>745</w:t>
            </w:r>
          </w:p>
        </w:tc>
        <w:tc>
          <w:tcPr>
            <w:tcW w:w="240" w:type="dxa"/>
            <w:tcBorders>
              <w:top w:val="nil"/>
              <w:left w:val="nil"/>
              <w:bottom w:val="nil"/>
              <w:right w:val="nil"/>
            </w:tcBorders>
            <w:shd w:val="clear" w:color="auto" w:fill="auto"/>
            <w:noWrap/>
            <w:vAlign w:val="bottom"/>
          </w:tcPr>
          <w:p w14:paraId="3CA7F494" w14:textId="77777777" w:rsidR="00F23416" w:rsidRPr="00205C60" w:rsidRDefault="00F23416" w:rsidP="00F23416">
            <w:pPr>
              <w:jc w:val="right"/>
              <w:rPr>
                <w:rFonts w:ascii="Verdana" w:hAnsi="Verdana"/>
                <w:color w:val="000000"/>
                <w:sz w:val="22"/>
                <w:szCs w:val="22"/>
                <w:lang w:val="es-CR"/>
              </w:rPr>
            </w:pPr>
          </w:p>
        </w:tc>
        <w:tc>
          <w:tcPr>
            <w:tcW w:w="1461" w:type="dxa"/>
            <w:tcBorders>
              <w:top w:val="single" w:sz="4" w:space="0" w:color="auto"/>
              <w:left w:val="nil"/>
              <w:bottom w:val="double" w:sz="4" w:space="0" w:color="auto"/>
              <w:right w:val="nil"/>
            </w:tcBorders>
            <w:shd w:val="clear" w:color="auto" w:fill="auto"/>
            <w:noWrap/>
            <w:vAlign w:val="bottom"/>
          </w:tcPr>
          <w:p w14:paraId="3CA7F495" w14:textId="1EA0D37F" w:rsidR="00F23416" w:rsidRPr="00205C60" w:rsidRDefault="00F23416" w:rsidP="00F23416">
            <w:pPr>
              <w:jc w:val="right"/>
              <w:rPr>
                <w:rFonts w:ascii="Verdana" w:hAnsi="Verdana"/>
                <w:sz w:val="22"/>
                <w:szCs w:val="22"/>
              </w:rPr>
            </w:pPr>
            <w:r w:rsidRPr="00205C60">
              <w:rPr>
                <w:rFonts w:ascii="Verdana" w:hAnsi="Verdana"/>
                <w:sz w:val="22"/>
                <w:szCs w:val="22"/>
              </w:rPr>
              <w:t>928.949</w:t>
            </w:r>
          </w:p>
        </w:tc>
      </w:tr>
    </w:tbl>
    <w:p w14:paraId="3CA7F497" w14:textId="77777777" w:rsidR="00002FE4" w:rsidRPr="00205C60" w:rsidRDefault="00002FE4" w:rsidP="00002FE4">
      <w:pPr>
        <w:rPr>
          <w:rFonts w:ascii="Verdana" w:hAnsi="Verdana" w:cs="Segoe UI"/>
          <w:sz w:val="22"/>
          <w:szCs w:val="22"/>
          <w:lang w:val="es-CR" w:eastAsia="es-CR"/>
        </w:rPr>
      </w:pPr>
    </w:p>
    <w:p w14:paraId="3CA7F498" w14:textId="77777777" w:rsidR="00002FE4" w:rsidRPr="00205C60" w:rsidRDefault="00002FE4" w:rsidP="00BC6414">
      <w:pPr>
        <w:ind w:left="1440" w:hanging="720"/>
        <w:jc w:val="both"/>
        <w:rPr>
          <w:rFonts w:ascii="Verdana" w:hAnsi="Verdana"/>
          <w:sz w:val="22"/>
          <w:szCs w:val="22"/>
          <w:lang w:val="es-CR"/>
        </w:rPr>
      </w:pPr>
      <w:r w:rsidRPr="00205C60">
        <w:rPr>
          <w:rFonts w:ascii="Verdana" w:hAnsi="Verdana"/>
          <w:sz w:val="22"/>
          <w:szCs w:val="22"/>
          <w:lang w:val="es-CR"/>
        </w:rPr>
        <w:t>La compensación del personal clave de la gerencia incluye sueldos y aportaciones al plan de beneficios definidos post-empleo, por terminación y otros beneficios a largo plazo, pagados durante el período.</w:t>
      </w:r>
    </w:p>
    <w:bookmarkEnd w:id="186"/>
    <w:p w14:paraId="3CA7F499" w14:textId="77777777" w:rsidR="00002FE4" w:rsidRPr="00205C60" w:rsidRDefault="00002FE4" w:rsidP="00BC6414">
      <w:pPr>
        <w:jc w:val="both"/>
        <w:rPr>
          <w:rFonts w:ascii="Verdana" w:hAnsi="Verdana"/>
          <w:sz w:val="22"/>
          <w:szCs w:val="22"/>
          <w:lang w:val="es-CR"/>
        </w:rPr>
      </w:pPr>
    </w:p>
    <w:p w14:paraId="3CA7F49A" w14:textId="2CF250FD" w:rsidR="00AE0535" w:rsidRPr="00205C60" w:rsidRDefault="00AE0535" w:rsidP="00AE0535">
      <w:pPr>
        <w:ind w:left="1440" w:hanging="720"/>
        <w:rPr>
          <w:rFonts w:ascii="Verdana" w:hAnsi="Verdana"/>
          <w:sz w:val="22"/>
          <w:szCs w:val="22"/>
          <w:lang w:val="es-CR"/>
        </w:rPr>
      </w:pPr>
      <w:r w:rsidRPr="00205C60">
        <w:rPr>
          <w:rFonts w:ascii="Verdana" w:hAnsi="Verdana"/>
          <w:sz w:val="22"/>
          <w:szCs w:val="22"/>
          <w:lang w:val="es-CR"/>
        </w:rPr>
        <w:t>La siguiente es una descripción de las principales transacciones efectuadas con compañías relacionadas:</w:t>
      </w:r>
    </w:p>
    <w:p w14:paraId="6719B999" w14:textId="60F20B8E" w:rsidR="00324B8A" w:rsidRPr="00205C60" w:rsidRDefault="00324B8A" w:rsidP="00AE0535">
      <w:pPr>
        <w:ind w:left="1440" w:hanging="720"/>
        <w:rPr>
          <w:rFonts w:ascii="Verdana" w:hAnsi="Verdana"/>
          <w:sz w:val="22"/>
          <w:szCs w:val="22"/>
          <w:lang w:val="es-CR"/>
        </w:rPr>
      </w:pPr>
    </w:p>
    <w:p w14:paraId="53E1AACF" w14:textId="77777777" w:rsidR="00324B8A" w:rsidRPr="00205C60" w:rsidRDefault="00324B8A" w:rsidP="00324B8A">
      <w:pPr>
        <w:autoSpaceDE w:val="0"/>
        <w:autoSpaceDN w:val="0"/>
        <w:adjustRightInd w:val="0"/>
        <w:rPr>
          <w:color w:val="000000"/>
          <w:szCs w:val="24"/>
          <w:lang w:val="es-CR" w:eastAsia="es-CR"/>
        </w:rPr>
      </w:pPr>
    </w:p>
    <w:p w14:paraId="1362A516" w14:textId="223A2FD3" w:rsidR="00324B8A" w:rsidRPr="00205C60" w:rsidRDefault="00324B8A" w:rsidP="00324B8A">
      <w:pPr>
        <w:jc w:val="both"/>
        <w:rPr>
          <w:rFonts w:ascii="Verdana" w:hAnsi="Verdana" w:cs="Arial"/>
          <w:sz w:val="22"/>
          <w:szCs w:val="22"/>
        </w:rPr>
      </w:pPr>
      <w:r w:rsidRPr="00205C60">
        <w:rPr>
          <w:rFonts w:ascii="Verdana" w:hAnsi="Verdana" w:cs="Arial"/>
          <w:sz w:val="22"/>
          <w:szCs w:val="22"/>
        </w:rPr>
        <w:t xml:space="preserve">a) Las cuentas por cobrar al ICE se originan por la venta de servicios eléctricos, alquiler de postes, ductos y fibra óptica, entre otros servicios. </w:t>
      </w:r>
    </w:p>
    <w:p w14:paraId="2D4979A9" w14:textId="77777777" w:rsidR="00324B8A" w:rsidRPr="00205C60" w:rsidRDefault="00324B8A" w:rsidP="00324B8A">
      <w:pPr>
        <w:jc w:val="both"/>
        <w:rPr>
          <w:rFonts w:ascii="Verdana" w:hAnsi="Verdana" w:cs="Arial"/>
          <w:sz w:val="22"/>
          <w:szCs w:val="22"/>
        </w:rPr>
      </w:pPr>
    </w:p>
    <w:p w14:paraId="341AA6D4" w14:textId="77777777" w:rsidR="00324B8A" w:rsidRPr="00205C60" w:rsidRDefault="00324B8A" w:rsidP="00324B8A">
      <w:pPr>
        <w:jc w:val="both"/>
        <w:rPr>
          <w:rFonts w:ascii="Verdana" w:hAnsi="Verdana" w:cs="Arial"/>
          <w:sz w:val="22"/>
          <w:szCs w:val="22"/>
        </w:rPr>
      </w:pPr>
      <w:r w:rsidRPr="00205C60">
        <w:rPr>
          <w:rFonts w:ascii="Verdana" w:hAnsi="Verdana" w:cs="Arial"/>
          <w:sz w:val="22"/>
          <w:szCs w:val="22"/>
        </w:rPr>
        <w:t>b) Los saldos por cobrar a estas compañías relacionadas se originan por la venta de servicios eléctricos, alquiler de postes, ductos y fibra óptica.</w:t>
      </w:r>
    </w:p>
    <w:p w14:paraId="4A640752" w14:textId="76CD1139" w:rsidR="00324B8A" w:rsidRPr="00205C60" w:rsidRDefault="00324B8A" w:rsidP="00324B8A">
      <w:pPr>
        <w:jc w:val="both"/>
        <w:rPr>
          <w:rFonts w:ascii="Verdana" w:hAnsi="Verdana" w:cs="Arial"/>
          <w:sz w:val="22"/>
          <w:szCs w:val="22"/>
        </w:rPr>
      </w:pPr>
      <w:r w:rsidRPr="00205C60">
        <w:rPr>
          <w:rFonts w:ascii="Verdana" w:hAnsi="Verdana" w:cs="Arial"/>
          <w:sz w:val="22"/>
          <w:szCs w:val="22"/>
        </w:rPr>
        <w:t xml:space="preserve"> </w:t>
      </w:r>
    </w:p>
    <w:p w14:paraId="7A79B5D1" w14:textId="7D7ED4E0" w:rsidR="00324B8A" w:rsidRPr="00205C60" w:rsidRDefault="00324B8A" w:rsidP="00324B8A">
      <w:pPr>
        <w:jc w:val="both"/>
        <w:rPr>
          <w:rFonts w:ascii="Verdana" w:hAnsi="Verdana" w:cs="Arial"/>
          <w:sz w:val="22"/>
          <w:szCs w:val="22"/>
        </w:rPr>
      </w:pPr>
      <w:r w:rsidRPr="00205C60">
        <w:rPr>
          <w:rFonts w:ascii="Verdana" w:hAnsi="Verdana" w:cs="Arial"/>
          <w:sz w:val="22"/>
          <w:szCs w:val="22"/>
        </w:rPr>
        <w:t xml:space="preserve">c) Los depósitos de garantía corresponden al efectivo pagado a, o recibido de esas partes relaciona por concepto de servicios de electricidad brindados. </w:t>
      </w:r>
    </w:p>
    <w:p w14:paraId="05B9889E" w14:textId="77777777" w:rsidR="00324B8A" w:rsidRPr="00205C60" w:rsidRDefault="00324B8A" w:rsidP="00324B8A">
      <w:pPr>
        <w:jc w:val="both"/>
        <w:rPr>
          <w:rFonts w:ascii="Verdana" w:hAnsi="Verdana" w:cs="Arial"/>
          <w:sz w:val="22"/>
          <w:szCs w:val="22"/>
        </w:rPr>
      </w:pPr>
    </w:p>
    <w:p w14:paraId="2A411BBF" w14:textId="39BAD6F6" w:rsidR="00324B8A" w:rsidRPr="00205C60" w:rsidRDefault="00324B8A" w:rsidP="00324B8A">
      <w:pPr>
        <w:jc w:val="both"/>
        <w:rPr>
          <w:rFonts w:ascii="Verdana" w:hAnsi="Verdana" w:cs="Arial"/>
          <w:sz w:val="22"/>
          <w:szCs w:val="22"/>
        </w:rPr>
      </w:pPr>
      <w:r w:rsidRPr="00205C60">
        <w:rPr>
          <w:rFonts w:ascii="Verdana" w:hAnsi="Verdana" w:cs="Arial"/>
          <w:sz w:val="22"/>
          <w:szCs w:val="22"/>
        </w:rPr>
        <w:t xml:space="preserve">d) Los saldos por pagar a estas entidades relacionadas se originan por la compra de energía, así como por servicios telefónicos, relocalización de líneas telefónicas por ejecución de estudios de ingeniería y otros servicios de mantenimiento recibidos. Estos saldos por pagar no devengan intereses y no tiene plazo de vencimiento definido. </w:t>
      </w:r>
    </w:p>
    <w:p w14:paraId="4FD572BC" w14:textId="77777777" w:rsidR="00324B8A" w:rsidRPr="00205C60" w:rsidRDefault="00324B8A" w:rsidP="009C799D">
      <w:pPr>
        <w:jc w:val="both"/>
        <w:rPr>
          <w:rFonts w:ascii="Verdana" w:hAnsi="Verdana" w:cs="Arial"/>
          <w:sz w:val="22"/>
          <w:szCs w:val="22"/>
        </w:rPr>
      </w:pPr>
    </w:p>
    <w:p w14:paraId="1ED23BF1" w14:textId="393FA2A3" w:rsidR="00324B8A" w:rsidRPr="00205C60" w:rsidRDefault="00324B8A" w:rsidP="009C799D">
      <w:pPr>
        <w:jc w:val="both"/>
        <w:rPr>
          <w:rFonts w:ascii="Verdana" w:hAnsi="Verdana" w:cs="Arial"/>
          <w:sz w:val="22"/>
          <w:szCs w:val="22"/>
        </w:rPr>
      </w:pPr>
      <w:r w:rsidRPr="00205C60">
        <w:rPr>
          <w:rFonts w:ascii="Verdana" w:hAnsi="Verdana" w:cs="Arial"/>
          <w:sz w:val="22"/>
          <w:szCs w:val="22"/>
        </w:rPr>
        <w:lastRenderedPageBreak/>
        <w:t xml:space="preserve">e) </w:t>
      </w:r>
      <w:r w:rsidR="009C799D" w:rsidRPr="00205C60">
        <w:rPr>
          <w:rFonts w:ascii="Verdana" w:hAnsi="Verdana" w:cs="Arial"/>
          <w:sz w:val="22"/>
          <w:szCs w:val="22"/>
        </w:rPr>
        <w:t>Corresponde al gasto de interés que generó una deuda por pagar al ICE por un financiamiento en colones proveniente de la reestructuración de saldos adeudados a esa entidad (Casa Matriz de CNFL), el cual fue suscrito en noviembre del 2016 y se canceló en el 2021. Tal financiamiento devengaba una tasa de interés anual equivalente a la tasa básica pasiva más 2,75%.</w:t>
      </w:r>
    </w:p>
    <w:p w14:paraId="40B232C8" w14:textId="77777777" w:rsidR="00324B8A" w:rsidRPr="00205C60" w:rsidRDefault="00324B8A" w:rsidP="001E2C6A">
      <w:pPr>
        <w:rPr>
          <w:rFonts w:ascii="Verdana" w:hAnsi="Verdana"/>
          <w:sz w:val="22"/>
          <w:szCs w:val="22"/>
          <w:lang w:val="es-CR"/>
        </w:rPr>
      </w:pPr>
    </w:p>
    <w:p w14:paraId="3CA7F4AE" w14:textId="77777777" w:rsidR="006045F8" w:rsidRPr="00205C60" w:rsidRDefault="006045F8" w:rsidP="006045F8">
      <w:pPr>
        <w:pStyle w:val="Prrafodelista"/>
        <w:tabs>
          <w:tab w:val="left" w:pos="447"/>
          <w:tab w:val="left" w:pos="8505"/>
        </w:tabs>
        <w:autoSpaceDE w:val="0"/>
        <w:autoSpaceDN w:val="0"/>
        <w:adjustRightInd w:val="0"/>
        <w:ind w:left="1440"/>
        <w:jc w:val="both"/>
        <w:rPr>
          <w:rFonts w:ascii="Verdana" w:hAnsi="Verdana" w:cs="Arial"/>
          <w:sz w:val="22"/>
          <w:szCs w:val="22"/>
          <w:lang w:val="es-CR"/>
        </w:rPr>
      </w:pPr>
    </w:p>
    <w:p w14:paraId="3CA7F4AF" w14:textId="77777777" w:rsidR="002D7530" w:rsidRPr="00205C60" w:rsidRDefault="002D7530" w:rsidP="00307E2B">
      <w:pPr>
        <w:pStyle w:val="Ttulo2"/>
        <w:numPr>
          <w:ilvl w:val="1"/>
          <w:numId w:val="3"/>
        </w:numPr>
        <w:tabs>
          <w:tab w:val="clear" w:pos="720"/>
          <w:tab w:val="left" w:pos="708"/>
        </w:tabs>
        <w:rPr>
          <w:rFonts w:ascii="Verdana" w:hAnsi="Verdana" w:cs="Arial"/>
          <w:sz w:val="22"/>
          <w:szCs w:val="22"/>
        </w:rPr>
      </w:pPr>
      <w:bookmarkStart w:id="187" w:name="_Toc104529500"/>
      <w:r w:rsidRPr="00205C60">
        <w:rPr>
          <w:rFonts w:ascii="Verdana" w:hAnsi="Verdana" w:cs="Arial"/>
          <w:sz w:val="22"/>
          <w:szCs w:val="22"/>
        </w:rPr>
        <w:t>Participación de asesores y consejeros</w:t>
      </w:r>
      <w:bookmarkEnd w:id="187"/>
    </w:p>
    <w:p w14:paraId="3CA7F4B0" w14:textId="77777777" w:rsidR="00EB3DD7" w:rsidRPr="00205C60" w:rsidRDefault="00EB3DD7" w:rsidP="00EB3DD7">
      <w:pPr>
        <w:rPr>
          <w:rFonts w:ascii="Verdana" w:hAnsi="Verdana"/>
          <w:sz w:val="22"/>
          <w:szCs w:val="22"/>
        </w:rPr>
      </w:pPr>
    </w:p>
    <w:p w14:paraId="3CA7F4B1" w14:textId="6F611513" w:rsidR="00B44125" w:rsidRPr="00205C60" w:rsidRDefault="003435DB" w:rsidP="003435DB">
      <w:pPr>
        <w:jc w:val="both"/>
        <w:rPr>
          <w:rFonts w:ascii="Verdana" w:hAnsi="Verdana" w:cs="Arial"/>
          <w:sz w:val="22"/>
          <w:szCs w:val="22"/>
        </w:rPr>
      </w:pPr>
      <w:r w:rsidRPr="00205C60">
        <w:rPr>
          <w:rFonts w:ascii="Verdana" w:hAnsi="Verdana" w:cs="Arial"/>
          <w:sz w:val="22"/>
          <w:szCs w:val="22"/>
        </w:rPr>
        <w:t>Los</w:t>
      </w:r>
      <w:r w:rsidR="002D7530" w:rsidRPr="00205C60">
        <w:rPr>
          <w:rFonts w:ascii="Verdana" w:hAnsi="Verdana" w:cs="Arial"/>
          <w:sz w:val="22"/>
          <w:szCs w:val="22"/>
        </w:rPr>
        <w:t xml:space="preserve"> asesores</w:t>
      </w:r>
      <w:r w:rsidRPr="00205C60">
        <w:rPr>
          <w:rFonts w:ascii="Verdana" w:hAnsi="Verdana" w:cs="Arial"/>
          <w:sz w:val="22"/>
          <w:szCs w:val="22"/>
        </w:rPr>
        <w:t xml:space="preserve"> para </w:t>
      </w:r>
      <w:r w:rsidR="0023264C" w:rsidRPr="00205C60">
        <w:rPr>
          <w:rFonts w:ascii="Verdana" w:hAnsi="Verdana" w:cs="Arial"/>
          <w:sz w:val="22"/>
          <w:szCs w:val="22"/>
        </w:rPr>
        <w:t>el trámite</w:t>
      </w:r>
      <w:r w:rsidR="002D7530" w:rsidRPr="00205C60">
        <w:rPr>
          <w:rFonts w:ascii="Verdana" w:hAnsi="Verdana" w:cs="Arial"/>
          <w:sz w:val="22"/>
          <w:szCs w:val="22"/>
        </w:rPr>
        <w:t xml:space="preserve"> de </w:t>
      </w:r>
      <w:r w:rsidRPr="00205C60">
        <w:rPr>
          <w:rFonts w:ascii="Verdana" w:hAnsi="Verdana" w:cs="Arial"/>
          <w:sz w:val="22"/>
          <w:szCs w:val="22"/>
        </w:rPr>
        <w:t xml:space="preserve">la </w:t>
      </w:r>
      <w:r w:rsidR="002D7530" w:rsidRPr="00205C60">
        <w:rPr>
          <w:rFonts w:ascii="Verdana" w:hAnsi="Verdana" w:cs="Arial"/>
          <w:sz w:val="22"/>
          <w:szCs w:val="22"/>
        </w:rPr>
        <w:t>solicitud de oferta pública</w:t>
      </w:r>
      <w:r w:rsidRPr="00205C60">
        <w:rPr>
          <w:rFonts w:ascii="Verdana" w:hAnsi="Verdana" w:cs="Arial"/>
          <w:sz w:val="22"/>
          <w:szCs w:val="22"/>
        </w:rPr>
        <w:t xml:space="preserve"> no figuran como accionistas, directores o gerentes de la Compañía Nacional de Fuerza y Luz</w:t>
      </w:r>
      <w:r w:rsidR="008729EC" w:rsidRPr="00205C60">
        <w:rPr>
          <w:rFonts w:ascii="Verdana" w:hAnsi="Verdana" w:cs="Arial"/>
          <w:sz w:val="22"/>
          <w:szCs w:val="22"/>
        </w:rPr>
        <w:t>,</w:t>
      </w:r>
      <w:r w:rsidRPr="00205C60">
        <w:rPr>
          <w:rFonts w:ascii="Verdana" w:hAnsi="Verdana" w:cs="Arial"/>
          <w:sz w:val="22"/>
          <w:szCs w:val="22"/>
        </w:rPr>
        <w:t xml:space="preserve"> S.A.</w:t>
      </w:r>
    </w:p>
    <w:bookmarkEnd w:id="0"/>
    <w:p w14:paraId="3CA7F4B2" w14:textId="77777777" w:rsidR="002E4C92" w:rsidRPr="00205C60" w:rsidRDefault="002E4C92" w:rsidP="005044C5">
      <w:pPr>
        <w:pStyle w:val="Ttulo1"/>
        <w:numPr>
          <w:ilvl w:val="0"/>
          <w:numId w:val="0"/>
        </w:numPr>
        <w:jc w:val="center"/>
        <w:rPr>
          <w:rFonts w:ascii="Verdana" w:hAnsi="Verdana" w:cs="Arial"/>
          <w:bCs/>
          <w:sz w:val="22"/>
          <w:szCs w:val="22"/>
        </w:rPr>
      </w:pPr>
    </w:p>
    <w:p w14:paraId="3CA7F4B3" w14:textId="5C7E7B85" w:rsidR="00030877" w:rsidRPr="00205C60" w:rsidRDefault="00030877">
      <w:pPr>
        <w:rPr>
          <w:rFonts w:ascii="Verdana" w:hAnsi="Verdana"/>
          <w:sz w:val="22"/>
          <w:szCs w:val="22"/>
        </w:rPr>
      </w:pPr>
      <w:r w:rsidRPr="00205C60">
        <w:rPr>
          <w:rFonts w:ascii="Verdana" w:hAnsi="Verdana"/>
          <w:sz w:val="22"/>
          <w:szCs w:val="22"/>
        </w:rPr>
        <w:br w:type="page"/>
      </w:r>
    </w:p>
    <w:p w14:paraId="7B55883C" w14:textId="77777777" w:rsidR="00BC1A42" w:rsidRPr="00205C60" w:rsidRDefault="00BC1A42" w:rsidP="00BC1A42">
      <w:pPr>
        <w:rPr>
          <w:rFonts w:ascii="Verdana" w:hAnsi="Verdana"/>
          <w:sz w:val="22"/>
          <w:szCs w:val="22"/>
        </w:rPr>
      </w:pPr>
    </w:p>
    <w:p w14:paraId="3CA7F4D7" w14:textId="77777777" w:rsidR="007E30DF" w:rsidRPr="00205C60" w:rsidRDefault="007E30DF" w:rsidP="005044C5">
      <w:pPr>
        <w:pStyle w:val="Ttulo1"/>
        <w:numPr>
          <w:ilvl w:val="0"/>
          <w:numId w:val="0"/>
        </w:numPr>
        <w:jc w:val="center"/>
        <w:rPr>
          <w:rFonts w:ascii="Verdana" w:hAnsi="Verdana" w:cs="Arial"/>
          <w:bCs/>
          <w:sz w:val="22"/>
          <w:szCs w:val="22"/>
        </w:rPr>
      </w:pPr>
    </w:p>
    <w:p w14:paraId="3CA7F4D8" w14:textId="77777777" w:rsidR="005044C5" w:rsidRPr="00205C60" w:rsidRDefault="005044C5" w:rsidP="005044C5">
      <w:pPr>
        <w:pStyle w:val="Ttulo1"/>
        <w:numPr>
          <w:ilvl w:val="0"/>
          <w:numId w:val="0"/>
        </w:numPr>
        <w:jc w:val="center"/>
        <w:rPr>
          <w:rFonts w:ascii="Verdana" w:hAnsi="Verdana" w:cs="Arial"/>
          <w:bCs/>
          <w:sz w:val="22"/>
          <w:szCs w:val="22"/>
        </w:rPr>
      </w:pPr>
      <w:bookmarkStart w:id="188" w:name="_Toc104529501"/>
      <w:r w:rsidRPr="00205C60">
        <w:rPr>
          <w:rFonts w:ascii="Verdana" w:hAnsi="Verdana" w:cs="Arial"/>
          <w:bCs/>
          <w:sz w:val="22"/>
          <w:szCs w:val="22"/>
        </w:rPr>
        <w:t>CAPITULO VII</w:t>
      </w:r>
      <w:bookmarkEnd w:id="188"/>
    </w:p>
    <w:p w14:paraId="3CA7F4D9" w14:textId="77777777" w:rsidR="005044C5" w:rsidRPr="00205C60" w:rsidRDefault="005044C5" w:rsidP="005044C5">
      <w:pPr>
        <w:jc w:val="center"/>
        <w:rPr>
          <w:rFonts w:ascii="Verdana" w:hAnsi="Verdana" w:cs="Arial"/>
          <w:b/>
          <w:sz w:val="22"/>
          <w:szCs w:val="22"/>
        </w:rPr>
      </w:pPr>
      <w:r w:rsidRPr="00205C60">
        <w:rPr>
          <w:rFonts w:ascii="Verdana" w:hAnsi="Verdana" w:cs="Arial"/>
          <w:b/>
          <w:sz w:val="22"/>
          <w:szCs w:val="22"/>
        </w:rPr>
        <w:t>INFORMACION FINANCIERA</w:t>
      </w:r>
    </w:p>
    <w:p w14:paraId="3CA7F4DA" w14:textId="77777777" w:rsidR="005044C5" w:rsidRPr="00205C60" w:rsidRDefault="005044C5" w:rsidP="005044C5">
      <w:pPr>
        <w:jc w:val="center"/>
        <w:rPr>
          <w:rFonts w:ascii="Verdana" w:hAnsi="Verdana" w:cs="Arial"/>
          <w:b/>
          <w:sz w:val="22"/>
          <w:szCs w:val="22"/>
        </w:rPr>
      </w:pPr>
    </w:p>
    <w:p w14:paraId="3CA7F4DB" w14:textId="77777777" w:rsidR="00090C2D" w:rsidRPr="00205C60" w:rsidRDefault="00090C2D" w:rsidP="005044C5">
      <w:pPr>
        <w:jc w:val="center"/>
        <w:rPr>
          <w:rFonts w:ascii="Verdana" w:hAnsi="Verdana" w:cs="Arial"/>
          <w:b/>
          <w:sz w:val="22"/>
          <w:szCs w:val="22"/>
        </w:rPr>
      </w:pPr>
    </w:p>
    <w:p w14:paraId="3CA7F4DC" w14:textId="42FAF9BB" w:rsidR="00BB1BCD" w:rsidRPr="00205C60" w:rsidRDefault="004E5327" w:rsidP="005044C5">
      <w:pPr>
        <w:jc w:val="both"/>
        <w:rPr>
          <w:rFonts w:ascii="Verdana" w:hAnsi="Verdana" w:cs="Arial"/>
          <w:b/>
          <w:sz w:val="22"/>
          <w:szCs w:val="22"/>
        </w:rPr>
      </w:pPr>
      <w:r w:rsidRPr="00205C60">
        <w:rPr>
          <w:rFonts w:ascii="Verdana" w:hAnsi="Verdana" w:cs="Arial"/>
          <w:b/>
          <w:sz w:val="22"/>
          <w:szCs w:val="22"/>
        </w:rPr>
        <w:t>7.1 Anexos</w:t>
      </w:r>
      <w:r w:rsidR="00BB1BCD" w:rsidRPr="00205C60">
        <w:rPr>
          <w:rFonts w:ascii="Verdana" w:hAnsi="Verdana" w:cs="Arial"/>
          <w:b/>
          <w:sz w:val="22"/>
          <w:szCs w:val="22"/>
        </w:rPr>
        <w:t xml:space="preserve"> al prospecto</w:t>
      </w:r>
    </w:p>
    <w:p w14:paraId="3CA7F4DD" w14:textId="77777777" w:rsidR="00EB3DD7" w:rsidRPr="00205C60" w:rsidRDefault="00EB3DD7" w:rsidP="005044C5">
      <w:pPr>
        <w:jc w:val="both"/>
        <w:rPr>
          <w:rFonts w:ascii="Verdana" w:hAnsi="Verdana" w:cs="Arial"/>
          <w:b/>
          <w:sz w:val="22"/>
          <w:szCs w:val="22"/>
        </w:rPr>
      </w:pPr>
    </w:p>
    <w:p w14:paraId="3CA7F4DE" w14:textId="3557D1B4" w:rsidR="005044C5" w:rsidRPr="00205C60" w:rsidRDefault="005044C5" w:rsidP="005044C5">
      <w:pPr>
        <w:jc w:val="both"/>
        <w:rPr>
          <w:rFonts w:ascii="Verdana" w:hAnsi="Verdana" w:cs="Arial"/>
          <w:sz w:val="22"/>
          <w:szCs w:val="22"/>
        </w:rPr>
      </w:pPr>
      <w:r w:rsidRPr="00205C60">
        <w:rPr>
          <w:rFonts w:ascii="Verdana" w:hAnsi="Verdana" w:cs="Arial"/>
          <w:sz w:val="22"/>
          <w:szCs w:val="22"/>
        </w:rPr>
        <w:t xml:space="preserve">A </w:t>
      </w:r>
      <w:r w:rsidR="00180A0B" w:rsidRPr="00205C60">
        <w:rPr>
          <w:rFonts w:ascii="Verdana" w:hAnsi="Verdana" w:cs="Arial"/>
          <w:sz w:val="22"/>
          <w:szCs w:val="22"/>
        </w:rPr>
        <w:t>continuación,</w:t>
      </w:r>
      <w:r w:rsidRPr="00205C60">
        <w:rPr>
          <w:rFonts w:ascii="Verdana" w:hAnsi="Verdana" w:cs="Arial"/>
          <w:sz w:val="22"/>
          <w:szCs w:val="22"/>
        </w:rPr>
        <w:t xml:space="preserve"> se lista la información financiera que se anexa al prospecto:</w:t>
      </w:r>
    </w:p>
    <w:p w14:paraId="3CA7F4DF" w14:textId="77777777" w:rsidR="00C9620B" w:rsidRPr="00205C60" w:rsidRDefault="00C9620B" w:rsidP="005044C5">
      <w:pPr>
        <w:jc w:val="both"/>
        <w:rPr>
          <w:rFonts w:ascii="Verdana" w:hAnsi="Verdana" w:cs="Arial"/>
          <w:sz w:val="22"/>
          <w:szCs w:val="22"/>
        </w:rPr>
      </w:pPr>
    </w:p>
    <w:p w14:paraId="7BB886F1" w14:textId="72EBC2CF" w:rsidR="00161E5C" w:rsidRPr="00205C60" w:rsidRDefault="00227EE7" w:rsidP="00F36AB2">
      <w:pPr>
        <w:numPr>
          <w:ilvl w:val="0"/>
          <w:numId w:val="12"/>
        </w:numPr>
        <w:tabs>
          <w:tab w:val="num" w:pos="360"/>
        </w:tabs>
        <w:ind w:left="720"/>
        <w:jc w:val="both"/>
        <w:rPr>
          <w:rFonts w:ascii="Verdana" w:hAnsi="Verdana" w:cs="Arial"/>
          <w:sz w:val="22"/>
          <w:szCs w:val="22"/>
        </w:rPr>
      </w:pPr>
      <w:r w:rsidRPr="00205C60">
        <w:rPr>
          <w:rFonts w:ascii="Verdana" w:hAnsi="Verdana" w:cs="Arial"/>
          <w:sz w:val="22"/>
          <w:szCs w:val="22"/>
        </w:rPr>
        <w:t xml:space="preserve">Calificación </w:t>
      </w:r>
      <w:r w:rsidR="00F67837" w:rsidRPr="00205C60">
        <w:rPr>
          <w:rFonts w:ascii="Verdana" w:hAnsi="Verdana" w:cs="Arial"/>
          <w:sz w:val="22"/>
          <w:szCs w:val="22"/>
        </w:rPr>
        <w:t xml:space="preserve">otorgada por la empresa calificadora </w:t>
      </w:r>
      <w:r w:rsidRPr="00205C60">
        <w:rPr>
          <w:rFonts w:ascii="Verdana" w:hAnsi="Verdana" w:cs="Arial"/>
          <w:sz w:val="22"/>
          <w:szCs w:val="22"/>
        </w:rPr>
        <w:t xml:space="preserve">de riesgo </w:t>
      </w:r>
      <w:r w:rsidR="000645B5" w:rsidRPr="00205C60">
        <w:rPr>
          <w:rFonts w:ascii="Verdana" w:hAnsi="Verdana" w:cs="Arial"/>
          <w:sz w:val="22"/>
          <w:szCs w:val="22"/>
        </w:rPr>
        <w:t>a</w:t>
      </w:r>
      <w:r w:rsidR="00F67837" w:rsidRPr="00205C60">
        <w:rPr>
          <w:rFonts w:ascii="Verdana" w:hAnsi="Verdana" w:cs="Arial"/>
          <w:sz w:val="22"/>
          <w:szCs w:val="22"/>
        </w:rPr>
        <w:t xml:space="preserve">l </w:t>
      </w:r>
      <w:r w:rsidR="000645B5" w:rsidRPr="00205C60">
        <w:rPr>
          <w:rFonts w:ascii="Verdana" w:hAnsi="Verdana" w:cs="Arial"/>
          <w:sz w:val="22"/>
          <w:szCs w:val="22"/>
        </w:rPr>
        <w:t>P</w:t>
      </w:r>
      <w:r w:rsidR="00F67837" w:rsidRPr="00205C60">
        <w:rPr>
          <w:rFonts w:ascii="Verdana" w:hAnsi="Verdana" w:cs="Arial"/>
          <w:sz w:val="22"/>
          <w:szCs w:val="22"/>
        </w:rPr>
        <w:t xml:space="preserve">rograma de </w:t>
      </w:r>
      <w:r w:rsidR="000645B5" w:rsidRPr="00205C60">
        <w:rPr>
          <w:rFonts w:ascii="Verdana" w:hAnsi="Verdana" w:cs="Arial"/>
          <w:sz w:val="22"/>
          <w:szCs w:val="22"/>
        </w:rPr>
        <w:t>E</w:t>
      </w:r>
      <w:r w:rsidR="00F67837" w:rsidRPr="00205C60">
        <w:rPr>
          <w:rFonts w:ascii="Verdana" w:hAnsi="Verdana" w:cs="Arial"/>
          <w:sz w:val="22"/>
          <w:szCs w:val="22"/>
        </w:rPr>
        <w:t xml:space="preserve">misiones </w:t>
      </w:r>
      <w:r w:rsidR="000645B5" w:rsidRPr="00205C60">
        <w:rPr>
          <w:rFonts w:ascii="Verdana" w:hAnsi="Verdana" w:cs="Arial"/>
          <w:sz w:val="22"/>
          <w:szCs w:val="22"/>
        </w:rPr>
        <w:t xml:space="preserve">de Bonos Estandarizados </w:t>
      </w:r>
      <w:r w:rsidR="00F67837" w:rsidRPr="00205C60">
        <w:rPr>
          <w:rFonts w:ascii="Verdana" w:hAnsi="Verdana" w:cs="Arial"/>
          <w:sz w:val="22"/>
          <w:szCs w:val="22"/>
        </w:rPr>
        <w:t xml:space="preserve">Serie B </w:t>
      </w:r>
      <w:r w:rsidRPr="00205C60">
        <w:rPr>
          <w:rFonts w:ascii="Verdana" w:hAnsi="Verdana" w:cs="Arial"/>
          <w:sz w:val="22"/>
          <w:szCs w:val="22"/>
        </w:rPr>
        <w:t xml:space="preserve">con base en </w:t>
      </w:r>
      <w:r w:rsidR="00AF6777" w:rsidRPr="00205C60">
        <w:rPr>
          <w:rFonts w:ascii="Verdana" w:hAnsi="Verdana" w:cs="Arial"/>
          <w:sz w:val="22"/>
          <w:szCs w:val="22"/>
        </w:rPr>
        <w:t xml:space="preserve">información financiera </w:t>
      </w:r>
      <w:r w:rsidR="00EC3F43" w:rsidRPr="00205C60">
        <w:rPr>
          <w:rFonts w:ascii="Verdana" w:hAnsi="Verdana" w:cs="Arial"/>
          <w:sz w:val="22"/>
          <w:szCs w:val="22"/>
        </w:rPr>
        <w:t xml:space="preserve">no </w:t>
      </w:r>
      <w:r w:rsidR="00AF6777" w:rsidRPr="00205C60">
        <w:rPr>
          <w:rFonts w:ascii="Verdana" w:hAnsi="Verdana" w:cs="Arial"/>
          <w:sz w:val="22"/>
          <w:szCs w:val="22"/>
        </w:rPr>
        <w:t xml:space="preserve">auditada </w:t>
      </w:r>
      <w:r w:rsidR="005D6D1D" w:rsidRPr="00205C60">
        <w:rPr>
          <w:rFonts w:ascii="Verdana" w:hAnsi="Verdana" w:cs="Arial"/>
          <w:sz w:val="22"/>
          <w:szCs w:val="22"/>
        </w:rPr>
        <w:t xml:space="preserve">al 31 de diciembre </w:t>
      </w:r>
      <w:r w:rsidR="003D4B7A" w:rsidRPr="00205C60">
        <w:rPr>
          <w:rFonts w:ascii="Verdana" w:hAnsi="Verdana" w:cs="Arial"/>
          <w:sz w:val="22"/>
          <w:szCs w:val="22"/>
        </w:rPr>
        <w:t>20</w:t>
      </w:r>
      <w:r w:rsidR="00B45012" w:rsidRPr="00205C60">
        <w:rPr>
          <w:rFonts w:ascii="Verdana" w:hAnsi="Verdana" w:cs="Arial"/>
          <w:sz w:val="22"/>
          <w:szCs w:val="22"/>
        </w:rPr>
        <w:t>2</w:t>
      </w:r>
      <w:r w:rsidR="00D353E6" w:rsidRPr="00205C60">
        <w:rPr>
          <w:rFonts w:ascii="Verdana" w:hAnsi="Verdana" w:cs="Arial"/>
          <w:sz w:val="22"/>
          <w:szCs w:val="22"/>
        </w:rPr>
        <w:t>2</w:t>
      </w:r>
      <w:r w:rsidR="003D4B7A" w:rsidRPr="00205C60">
        <w:rPr>
          <w:rFonts w:ascii="Verdana" w:hAnsi="Verdana" w:cs="Arial"/>
          <w:sz w:val="22"/>
          <w:szCs w:val="22"/>
        </w:rPr>
        <w:t>.</w:t>
      </w:r>
      <w:r w:rsidR="005F01B3" w:rsidRPr="00205C60">
        <w:rPr>
          <w:rFonts w:ascii="Verdana" w:hAnsi="Verdana" w:cs="Arial"/>
          <w:sz w:val="22"/>
          <w:szCs w:val="22"/>
        </w:rPr>
        <w:t xml:space="preserve"> (anexo 1)</w:t>
      </w:r>
    </w:p>
    <w:p w14:paraId="3CA7F4E1" w14:textId="0764843E" w:rsidR="0085149C" w:rsidRPr="00205C60" w:rsidRDefault="0085149C" w:rsidP="00046EA9">
      <w:pPr>
        <w:numPr>
          <w:ilvl w:val="0"/>
          <w:numId w:val="12"/>
        </w:numPr>
        <w:ind w:left="720"/>
        <w:jc w:val="both"/>
        <w:rPr>
          <w:rFonts w:ascii="Verdana" w:hAnsi="Verdana" w:cs="Arial"/>
          <w:sz w:val="22"/>
          <w:szCs w:val="22"/>
        </w:rPr>
      </w:pPr>
      <w:r w:rsidRPr="00205C60">
        <w:rPr>
          <w:rFonts w:ascii="Verdana" w:hAnsi="Verdana" w:cs="Arial"/>
          <w:sz w:val="22"/>
          <w:szCs w:val="22"/>
        </w:rPr>
        <w:t>Estados financieros auditados al 31 de diciembre del 20</w:t>
      </w:r>
      <w:r w:rsidR="004A0D81" w:rsidRPr="00205C60">
        <w:rPr>
          <w:rFonts w:ascii="Verdana" w:hAnsi="Verdana" w:cs="Arial"/>
          <w:sz w:val="22"/>
          <w:szCs w:val="22"/>
        </w:rPr>
        <w:t>2</w:t>
      </w:r>
      <w:r w:rsidR="00D353E6" w:rsidRPr="00205C60">
        <w:rPr>
          <w:rFonts w:ascii="Verdana" w:hAnsi="Verdana" w:cs="Arial"/>
          <w:sz w:val="22"/>
          <w:szCs w:val="22"/>
        </w:rPr>
        <w:t>2</w:t>
      </w:r>
      <w:r w:rsidR="0043787D" w:rsidRPr="00205C60">
        <w:rPr>
          <w:rFonts w:ascii="Verdana" w:hAnsi="Verdana" w:cs="Arial"/>
          <w:sz w:val="22"/>
          <w:szCs w:val="22"/>
        </w:rPr>
        <w:t>.</w:t>
      </w:r>
      <w:r w:rsidR="00EC3F43" w:rsidRPr="00205C60">
        <w:rPr>
          <w:rFonts w:ascii="Verdana" w:hAnsi="Verdana" w:cs="Arial"/>
          <w:sz w:val="22"/>
          <w:szCs w:val="22"/>
        </w:rPr>
        <w:t xml:space="preserve"> (anexo 2)</w:t>
      </w:r>
    </w:p>
    <w:p w14:paraId="3CA7F4E3" w14:textId="3406E838" w:rsidR="00BB1BCD" w:rsidRPr="00205C60" w:rsidRDefault="00227EE7" w:rsidP="007B4BBD">
      <w:pPr>
        <w:numPr>
          <w:ilvl w:val="0"/>
          <w:numId w:val="12"/>
        </w:numPr>
        <w:ind w:left="720"/>
        <w:jc w:val="both"/>
        <w:rPr>
          <w:rFonts w:ascii="Verdana" w:hAnsi="Verdana" w:cs="Arial"/>
          <w:sz w:val="22"/>
          <w:szCs w:val="22"/>
        </w:rPr>
      </w:pPr>
      <w:r w:rsidRPr="00205C60">
        <w:rPr>
          <w:rFonts w:ascii="Verdana" w:hAnsi="Verdana" w:cs="Arial"/>
          <w:sz w:val="22"/>
          <w:szCs w:val="22"/>
        </w:rPr>
        <w:t xml:space="preserve">Estado de los </w:t>
      </w:r>
      <w:r w:rsidR="00EC3F43" w:rsidRPr="00205C60">
        <w:rPr>
          <w:rFonts w:ascii="Verdana" w:hAnsi="Verdana" w:cs="Arial"/>
          <w:sz w:val="22"/>
          <w:szCs w:val="22"/>
        </w:rPr>
        <w:t>J</w:t>
      </w:r>
      <w:r w:rsidRPr="00205C60">
        <w:rPr>
          <w:rFonts w:ascii="Verdana" w:hAnsi="Verdana" w:cs="Arial"/>
          <w:sz w:val="22"/>
          <w:szCs w:val="22"/>
        </w:rPr>
        <w:t xml:space="preserve">uicios </w:t>
      </w:r>
      <w:r w:rsidR="00EC3F43" w:rsidRPr="00205C60">
        <w:rPr>
          <w:rFonts w:ascii="Verdana" w:hAnsi="Verdana" w:cs="Arial"/>
          <w:sz w:val="22"/>
          <w:szCs w:val="22"/>
        </w:rPr>
        <w:t>C</w:t>
      </w:r>
      <w:r w:rsidRPr="00205C60">
        <w:rPr>
          <w:rFonts w:ascii="Verdana" w:hAnsi="Verdana" w:cs="Arial"/>
          <w:sz w:val="22"/>
          <w:szCs w:val="22"/>
        </w:rPr>
        <w:t xml:space="preserve">ontenciosos </w:t>
      </w:r>
      <w:r w:rsidR="00EC3F43" w:rsidRPr="00205C60">
        <w:rPr>
          <w:rFonts w:ascii="Verdana" w:hAnsi="Verdana" w:cs="Arial"/>
          <w:sz w:val="22"/>
          <w:szCs w:val="22"/>
        </w:rPr>
        <w:t>A</w:t>
      </w:r>
      <w:r w:rsidRPr="00205C60">
        <w:rPr>
          <w:rFonts w:ascii="Verdana" w:hAnsi="Verdana" w:cs="Arial"/>
          <w:sz w:val="22"/>
          <w:szCs w:val="22"/>
        </w:rPr>
        <w:t>dministrativos al 31 de diciembre del 20</w:t>
      </w:r>
      <w:r w:rsidR="004A0D81" w:rsidRPr="00205C60">
        <w:rPr>
          <w:rFonts w:ascii="Verdana" w:hAnsi="Verdana" w:cs="Arial"/>
          <w:sz w:val="22"/>
          <w:szCs w:val="22"/>
        </w:rPr>
        <w:t>2</w:t>
      </w:r>
      <w:r w:rsidR="00D353E6" w:rsidRPr="00205C60">
        <w:rPr>
          <w:rFonts w:ascii="Verdana" w:hAnsi="Verdana" w:cs="Arial"/>
          <w:sz w:val="22"/>
          <w:szCs w:val="22"/>
        </w:rPr>
        <w:t>2</w:t>
      </w:r>
      <w:r w:rsidR="00EC3F43" w:rsidRPr="00205C60">
        <w:rPr>
          <w:rFonts w:ascii="Verdana" w:hAnsi="Verdana" w:cs="Arial"/>
          <w:sz w:val="22"/>
          <w:szCs w:val="22"/>
        </w:rPr>
        <w:t xml:space="preserve"> (anexo 3)</w:t>
      </w:r>
    </w:p>
    <w:p w14:paraId="3CA7F4E4" w14:textId="77777777" w:rsidR="00090C2D" w:rsidRPr="00205C60" w:rsidRDefault="00090C2D" w:rsidP="00C2198A">
      <w:pPr>
        <w:jc w:val="both"/>
        <w:rPr>
          <w:rFonts w:ascii="Verdana" w:hAnsi="Verdana" w:cs="Arial"/>
          <w:color w:val="C00000"/>
          <w:sz w:val="22"/>
          <w:szCs w:val="22"/>
        </w:rPr>
      </w:pPr>
    </w:p>
    <w:p w14:paraId="3CA7F4E5" w14:textId="77777777" w:rsidR="00BB1BCD" w:rsidRPr="00205C60" w:rsidRDefault="00BB1BCD" w:rsidP="00046EA9">
      <w:pPr>
        <w:numPr>
          <w:ilvl w:val="1"/>
          <w:numId w:val="13"/>
        </w:numPr>
        <w:jc w:val="both"/>
        <w:rPr>
          <w:rFonts w:ascii="Verdana" w:hAnsi="Verdana" w:cs="Arial"/>
          <w:b/>
          <w:sz w:val="22"/>
          <w:szCs w:val="22"/>
        </w:rPr>
      </w:pPr>
      <w:r w:rsidRPr="00205C60">
        <w:rPr>
          <w:rFonts w:ascii="Verdana" w:hAnsi="Verdana" w:cs="Arial"/>
          <w:b/>
          <w:sz w:val="22"/>
          <w:szCs w:val="22"/>
        </w:rPr>
        <w:t>Periodicidad de la información a los inversionistas</w:t>
      </w:r>
    </w:p>
    <w:p w14:paraId="3CA7F4E6" w14:textId="77777777" w:rsidR="00EB3DD7" w:rsidRPr="00205C60" w:rsidRDefault="00EB3DD7" w:rsidP="00EB3DD7">
      <w:pPr>
        <w:ind w:left="450"/>
        <w:jc w:val="both"/>
        <w:rPr>
          <w:rFonts w:ascii="Verdana" w:hAnsi="Verdana" w:cs="Arial"/>
          <w:b/>
          <w:sz w:val="22"/>
          <w:szCs w:val="22"/>
        </w:rPr>
      </w:pPr>
    </w:p>
    <w:p w14:paraId="3CA7F4E7" w14:textId="77777777" w:rsidR="00BB1BCD" w:rsidRPr="00205C60" w:rsidRDefault="00BB1BCD" w:rsidP="00C2198A">
      <w:pPr>
        <w:jc w:val="both"/>
        <w:rPr>
          <w:rFonts w:ascii="Verdana" w:hAnsi="Verdana" w:cs="Arial"/>
          <w:sz w:val="22"/>
          <w:szCs w:val="22"/>
        </w:rPr>
      </w:pPr>
      <w:r w:rsidRPr="00205C60">
        <w:rPr>
          <w:rFonts w:ascii="Verdana" w:hAnsi="Verdana" w:cs="Arial"/>
          <w:sz w:val="22"/>
          <w:szCs w:val="22"/>
        </w:rPr>
        <w:t>Señor inversionista, la siguiente información sobre la empresa y su situación financiera, estará a disposición en la empresa y en la Superintendencia General de Valores para su consulta:</w:t>
      </w:r>
    </w:p>
    <w:p w14:paraId="3CA7F4E8" w14:textId="77777777" w:rsidR="005044C5" w:rsidRPr="00205C60" w:rsidRDefault="005044C5">
      <w:pPr>
        <w:jc w:val="both"/>
        <w:rPr>
          <w:rFonts w:ascii="Verdana" w:hAnsi="Verdana"/>
          <w:b/>
          <w:sz w:val="22"/>
          <w:szCs w:val="22"/>
        </w:rPr>
      </w:pPr>
    </w:p>
    <w:p w14:paraId="3CA7F4E9" w14:textId="77777777" w:rsidR="00BB1BCD" w:rsidRPr="00205C60" w:rsidRDefault="00BB1BCD" w:rsidP="00046EA9">
      <w:pPr>
        <w:numPr>
          <w:ilvl w:val="0"/>
          <w:numId w:val="14"/>
        </w:numPr>
        <w:jc w:val="both"/>
        <w:rPr>
          <w:rFonts w:ascii="Verdana" w:hAnsi="Verdana" w:cs="Arial"/>
          <w:sz w:val="22"/>
          <w:szCs w:val="22"/>
        </w:rPr>
      </w:pPr>
      <w:r w:rsidRPr="00205C60">
        <w:rPr>
          <w:rFonts w:ascii="Verdana" w:hAnsi="Verdana" w:cs="Arial"/>
          <w:sz w:val="22"/>
          <w:szCs w:val="22"/>
        </w:rPr>
        <w:t>Hechos relevantes en el momento en que la empresa tenga conocimiento del evento.</w:t>
      </w:r>
    </w:p>
    <w:p w14:paraId="3CA7F4EA" w14:textId="77777777" w:rsidR="00B8132E" w:rsidRPr="00205C60" w:rsidRDefault="00BB1BCD" w:rsidP="00046EA9">
      <w:pPr>
        <w:numPr>
          <w:ilvl w:val="0"/>
          <w:numId w:val="14"/>
        </w:numPr>
        <w:jc w:val="both"/>
        <w:rPr>
          <w:rFonts w:ascii="Verdana" w:hAnsi="Verdana" w:cs="Arial"/>
          <w:sz w:val="22"/>
          <w:szCs w:val="22"/>
        </w:rPr>
      </w:pPr>
      <w:r w:rsidRPr="00205C60">
        <w:rPr>
          <w:rFonts w:ascii="Verdana" w:hAnsi="Verdana" w:cs="Arial"/>
          <w:sz w:val="22"/>
          <w:szCs w:val="22"/>
        </w:rPr>
        <w:t>Prospecto actualizado con la última informació</w:t>
      </w:r>
      <w:r w:rsidR="00B8132E" w:rsidRPr="00205C60">
        <w:rPr>
          <w:rFonts w:ascii="Verdana" w:hAnsi="Verdana" w:cs="Arial"/>
          <w:sz w:val="22"/>
          <w:szCs w:val="22"/>
        </w:rPr>
        <w:t>n a disposición de la empresa.</w:t>
      </w:r>
    </w:p>
    <w:p w14:paraId="3CA7F4EB" w14:textId="77777777" w:rsidR="006E3753" w:rsidRPr="00205C60" w:rsidRDefault="006E3753" w:rsidP="00046EA9">
      <w:pPr>
        <w:numPr>
          <w:ilvl w:val="0"/>
          <w:numId w:val="14"/>
        </w:numPr>
        <w:jc w:val="both"/>
        <w:rPr>
          <w:rFonts w:ascii="Verdana" w:hAnsi="Verdana" w:cs="Arial"/>
          <w:sz w:val="22"/>
          <w:szCs w:val="22"/>
        </w:rPr>
      </w:pPr>
      <w:r w:rsidRPr="00205C60">
        <w:rPr>
          <w:rFonts w:ascii="Verdana" w:hAnsi="Verdana" w:cs="Arial"/>
          <w:sz w:val="22"/>
          <w:szCs w:val="22"/>
        </w:rPr>
        <w:t>Estados financieros trimestrales.</w:t>
      </w:r>
    </w:p>
    <w:p w14:paraId="3CA7F4EC" w14:textId="77777777" w:rsidR="00BB1BCD" w:rsidRPr="00205C60" w:rsidRDefault="00BB1BCD" w:rsidP="00046EA9">
      <w:pPr>
        <w:numPr>
          <w:ilvl w:val="0"/>
          <w:numId w:val="14"/>
        </w:numPr>
        <w:jc w:val="both"/>
        <w:rPr>
          <w:rFonts w:ascii="Verdana" w:hAnsi="Verdana" w:cs="Arial"/>
          <w:sz w:val="22"/>
          <w:szCs w:val="22"/>
        </w:rPr>
      </w:pPr>
      <w:r w:rsidRPr="00205C60">
        <w:rPr>
          <w:rFonts w:ascii="Verdana" w:hAnsi="Verdana" w:cs="Arial"/>
          <w:sz w:val="22"/>
          <w:szCs w:val="22"/>
        </w:rPr>
        <w:t>Estado</w:t>
      </w:r>
      <w:r w:rsidR="008152CA" w:rsidRPr="00205C60">
        <w:rPr>
          <w:rFonts w:ascii="Verdana" w:hAnsi="Verdana" w:cs="Arial"/>
          <w:sz w:val="22"/>
          <w:szCs w:val="22"/>
        </w:rPr>
        <w:t>s</w:t>
      </w:r>
      <w:r w:rsidRPr="00205C60">
        <w:rPr>
          <w:rFonts w:ascii="Verdana" w:hAnsi="Verdana" w:cs="Arial"/>
          <w:sz w:val="22"/>
          <w:szCs w:val="22"/>
        </w:rPr>
        <w:t xml:space="preserve"> financieros auditados anuales.</w:t>
      </w:r>
    </w:p>
    <w:p w14:paraId="3CA7F4ED" w14:textId="77777777" w:rsidR="00BB1BCD" w:rsidRPr="004B0A8F" w:rsidRDefault="00BB1BCD" w:rsidP="00BB1BCD">
      <w:pPr>
        <w:ind w:left="360"/>
        <w:jc w:val="both"/>
        <w:rPr>
          <w:rFonts w:ascii="Verdana" w:hAnsi="Verdana" w:cs="Arial"/>
          <w:sz w:val="22"/>
          <w:szCs w:val="22"/>
        </w:rPr>
      </w:pPr>
    </w:p>
    <w:sectPr w:rsidR="00BB1BCD" w:rsidRPr="004B0A8F" w:rsidSect="009C618C">
      <w:headerReference w:type="default" r:id="rId21"/>
      <w:footerReference w:type="default" r:id="rId22"/>
      <w:pgSz w:w="12242" w:h="15842" w:code="1"/>
      <w:pgMar w:top="993" w:right="1412" w:bottom="1440" w:left="1701" w:header="851" w:footer="4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7B0A4" w14:textId="77777777" w:rsidR="009C618C" w:rsidRDefault="009C618C">
      <w:r>
        <w:separator/>
      </w:r>
    </w:p>
  </w:endnote>
  <w:endnote w:type="continuationSeparator" w:id="0">
    <w:p w14:paraId="2D7930AA" w14:textId="77777777" w:rsidR="009C618C" w:rsidRDefault="009C6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venirNext LT Pro Regular">
    <w:altName w:val="Arial"/>
    <w:panose1 w:val="00000000000000000000"/>
    <w:charset w:val="00"/>
    <w:family w:val="swiss"/>
    <w:notTrueType/>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R-01T">
    <w:panose1 w:val="00000000000000000000"/>
    <w:charset w:val="00"/>
    <w:family w:val="roman"/>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7F515" w14:textId="39CEE3DF" w:rsidR="00660D89" w:rsidRPr="0050477A" w:rsidRDefault="00660D89" w:rsidP="00C522A6">
    <w:pPr>
      <w:pStyle w:val="Piedepgina"/>
      <w:pBdr>
        <w:top w:val="single" w:sz="4" w:space="1" w:color="auto"/>
      </w:pBdr>
      <w:ind w:right="360"/>
      <w:jc w:val="center"/>
      <w:rPr>
        <w:rFonts w:ascii="Monotype Corsiva" w:hAnsi="Monotype Corsiva" w:cs="Arial"/>
        <w:szCs w:val="16"/>
      </w:rPr>
    </w:pPr>
    <w:r w:rsidRPr="0050477A">
      <w:rPr>
        <w:rFonts w:ascii="Monotype Corsiva" w:hAnsi="Monotype Corsiva" w:cs="Arial"/>
        <w:szCs w:val="16"/>
      </w:rPr>
      <w:t xml:space="preserve">Página </w:t>
    </w:r>
    <w:r w:rsidRPr="0050477A">
      <w:rPr>
        <w:rStyle w:val="Nmerodepgina"/>
        <w:rFonts w:ascii="Monotype Corsiva" w:hAnsi="Monotype Corsiva" w:cs="Arial"/>
        <w:szCs w:val="16"/>
      </w:rPr>
      <w:t xml:space="preserve"> </w:t>
    </w:r>
    <w:r w:rsidRPr="0050477A">
      <w:rPr>
        <w:rStyle w:val="Nmerodepgina"/>
        <w:rFonts w:ascii="Monotype Corsiva" w:hAnsi="Monotype Corsiva" w:cs="Arial"/>
        <w:szCs w:val="16"/>
      </w:rPr>
      <w:fldChar w:fldCharType="begin"/>
    </w:r>
    <w:r w:rsidRPr="0050477A">
      <w:rPr>
        <w:rStyle w:val="Nmerodepgina"/>
        <w:rFonts w:ascii="Monotype Corsiva" w:hAnsi="Monotype Corsiva" w:cs="Arial"/>
        <w:szCs w:val="16"/>
      </w:rPr>
      <w:instrText xml:space="preserve">PAGE  </w:instrText>
    </w:r>
    <w:r w:rsidRPr="0050477A">
      <w:rPr>
        <w:rStyle w:val="Nmerodepgina"/>
        <w:rFonts w:ascii="Monotype Corsiva" w:hAnsi="Monotype Corsiva" w:cs="Arial"/>
        <w:szCs w:val="16"/>
      </w:rPr>
      <w:fldChar w:fldCharType="separate"/>
    </w:r>
    <w:r w:rsidR="00117AFF">
      <w:rPr>
        <w:rStyle w:val="Nmerodepgina"/>
        <w:rFonts w:ascii="Monotype Corsiva" w:hAnsi="Monotype Corsiva" w:cs="Arial"/>
        <w:noProof/>
        <w:szCs w:val="16"/>
      </w:rPr>
      <w:t>74</w:t>
    </w:r>
    <w:r w:rsidRPr="0050477A">
      <w:rPr>
        <w:rStyle w:val="Nmerodepgina"/>
        <w:rFonts w:ascii="Monotype Corsiva" w:hAnsi="Monotype Corsiva" w:cs="Arial"/>
        <w:szCs w:val="16"/>
      </w:rPr>
      <w:fldChar w:fldCharType="end"/>
    </w:r>
    <w:r w:rsidRPr="0050477A">
      <w:rPr>
        <w:rFonts w:ascii="Monotype Corsiva" w:hAnsi="Monotype Corsiva" w:cs="Arial"/>
        <w:szCs w:val="16"/>
      </w:rPr>
      <w:t xml:space="preserve"> de </w:t>
    </w:r>
    <w:r w:rsidR="000F5C38">
      <w:rPr>
        <w:rFonts w:ascii="Monotype Corsiva" w:hAnsi="Monotype Corsiva" w:cs="Arial"/>
        <w:szCs w:val="16"/>
      </w:rPr>
      <w:t>8</w:t>
    </w:r>
    <w:r w:rsidR="00F20789">
      <w:rPr>
        <w:rFonts w:ascii="Monotype Corsiva" w:hAnsi="Monotype Corsiva" w:cs="Arial"/>
        <w:szCs w:val="16"/>
      </w:rPr>
      <w:t>2</w:t>
    </w:r>
    <w:r w:rsidRPr="0050477A">
      <w:rPr>
        <w:rFonts w:ascii="Monotype Corsiva" w:hAnsi="Monotype Corsiva" w:cs="Arial"/>
        <w:szCs w:val="16"/>
      </w:rPr>
      <w:t xml:space="preserve"> Prospecto</w:t>
    </w:r>
  </w:p>
  <w:p w14:paraId="3CA7F516" w14:textId="77777777" w:rsidR="00660D89" w:rsidRDefault="00660D89">
    <w:pPr>
      <w:pStyle w:val="Piedepgina"/>
      <w:jc w:val="center"/>
      <w:rPr>
        <w:caps/>
        <w:color w:val="4F81BD" w:themeColor="accent1"/>
      </w:rPr>
    </w:pPr>
  </w:p>
  <w:p w14:paraId="3CA7F517" w14:textId="77777777" w:rsidR="00660D89" w:rsidRPr="00C522A6" w:rsidRDefault="00660D89" w:rsidP="00C522A6">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ABECA" w14:textId="77777777" w:rsidR="009C618C" w:rsidRDefault="009C618C">
      <w:r>
        <w:separator/>
      </w:r>
    </w:p>
  </w:footnote>
  <w:footnote w:type="continuationSeparator" w:id="0">
    <w:p w14:paraId="235768BE" w14:textId="77777777" w:rsidR="009C618C" w:rsidRDefault="009C6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7F514" w14:textId="77777777" w:rsidR="00660D89" w:rsidRPr="0050477A" w:rsidRDefault="00660D89" w:rsidP="00DB5038">
    <w:pPr>
      <w:pStyle w:val="Encabezado"/>
      <w:jc w:val="center"/>
      <w:rPr>
        <w:rFonts w:ascii="Monotype Corsiva" w:hAnsi="Monotype Corsiva"/>
        <w:lang w:val="es-CR"/>
      </w:rPr>
    </w:pPr>
    <w:r w:rsidRPr="0050477A">
      <w:rPr>
        <w:rFonts w:ascii="Monotype Corsiva" w:hAnsi="Monotype Corsiva"/>
        <w:lang w:val="es-CR"/>
      </w:rPr>
      <w:t>Programa de Emisiones de Bonos Estandarizados Serie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D00FE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669EA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8C39E1"/>
    <w:multiLevelType w:val="multilevel"/>
    <w:tmpl w:val="7A266610"/>
    <w:styleLink w:val="Estilo2"/>
    <w:lvl w:ilvl="0">
      <w:start w:val="4"/>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010D3F"/>
    <w:multiLevelType w:val="hybridMultilevel"/>
    <w:tmpl w:val="FB9A0384"/>
    <w:lvl w:ilvl="0" w:tplc="2A380174">
      <w:start w:val="1"/>
      <w:numFmt w:val="lowerLetter"/>
      <w:lvlText w:val="%1)"/>
      <w:lvlJc w:val="left"/>
      <w:pPr>
        <w:tabs>
          <w:tab w:val="num" w:pos="1428"/>
        </w:tabs>
        <w:ind w:left="1428" w:hanging="72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4" w15:restartNumberingAfterBreak="0">
    <w:nsid w:val="05135127"/>
    <w:multiLevelType w:val="hybridMultilevel"/>
    <w:tmpl w:val="AE36E790"/>
    <w:lvl w:ilvl="0" w:tplc="1F14832A">
      <w:start w:val="1"/>
      <w:numFmt w:val="lowerLetter"/>
      <w:lvlText w:val="%1)"/>
      <w:lvlJc w:val="left"/>
      <w:pPr>
        <w:ind w:left="360" w:hanging="360"/>
      </w:pPr>
      <w:rPr>
        <w:rFonts w:ascii="Verdana" w:hAnsi="Verdana" w:hint="default"/>
        <w:b w:val="0"/>
        <w:i w:val="0"/>
        <w:sz w:val="22"/>
      </w:rPr>
    </w:lvl>
    <w:lvl w:ilvl="1" w:tplc="140A0019">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 w15:restartNumberingAfterBreak="0">
    <w:nsid w:val="081F41B2"/>
    <w:multiLevelType w:val="multilevel"/>
    <w:tmpl w:val="13F4C448"/>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C4C7C82"/>
    <w:multiLevelType w:val="hybridMultilevel"/>
    <w:tmpl w:val="D836459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92676B"/>
    <w:multiLevelType w:val="multilevel"/>
    <w:tmpl w:val="EE8AEC5E"/>
    <w:styleLink w:val="Estilo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1F4B410"/>
    <w:multiLevelType w:val="hybridMultilevel"/>
    <w:tmpl w:val="F1BA3F0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8AE7157"/>
    <w:multiLevelType w:val="multilevel"/>
    <w:tmpl w:val="1B62D20C"/>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6"/>
      <w:numFmt w:val="decimal"/>
      <w:lvlText w:val="%1.%2.%3"/>
      <w:lvlJc w:val="left"/>
      <w:pPr>
        <w:ind w:left="1200" w:hanging="720"/>
      </w:pPr>
      <w:rPr>
        <w:rFonts w:hint="default"/>
      </w:rPr>
    </w:lvl>
    <w:lvl w:ilvl="3">
      <w:start w:val="2"/>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1CB32310"/>
    <w:multiLevelType w:val="hybridMultilevel"/>
    <w:tmpl w:val="C51EA9A4"/>
    <w:lvl w:ilvl="0" w:tplc="21A07AFE">
      <w:numFmt w:val="bullet"/>
      <w:lvlText w:val=""/>
      <w:lvlJc w:val="left"/>
      <w:pPr>
        <w:ind w:left="720" w:hanging="360"/>
      </w:pPr>
      <w:rPr>
        <w:rFonts w:ascii="Symbol" w:eastAsia="Times New Roman" w:hAnsi="Symbol" w:cs="Arial" w:hint="default"/>
        <w:sz w:val="18"/>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1E7075AD"/>
    <w:multiLevelType w:val="hybridMultilevel"/>
    <w:tmpl w:val="9314CE68"/>
    <w:lvl w:ilvl="0" w:tplc="156E7A74">
      <w:start w:val="1"/>
      <w:numFmt w:val="lowerLetter"/>
      <w:lvlText w:val="%1)"/>
      <w:lvlJc w:val="left"/>
      <w:pPr>
        <w:ind w:left="3417" w:hanging="360"/>
      </w:pPr>
      <w:rPr>
        <w:rFonts w:hint="default"/>
        <w:i w:val="0"/>
      </w:rPr>
    </w:lvl>
    <w:lvl w:ilvl="1" w:tplc="777E97A8">
      <w:numFmt w:val="bullet"/>
      <w:lvlText w:val="-"/>
      <w:lvlJc w:val="left"/>
      <w:pPr>
        <w:ind w:left="4137" w:hanging="360"/>
      </w:pPr>
      <w:rPr>
        <w:rFonts w:ascii="Times New Roman" w:eastAsia="Times New Roman" w:hAnsi="Times New Roman" w:cs="Times New Roman" w:hint="default"/>
      </w:rPr>
    </w:lvl>
    <w:lvl w:ilvl="2" w:tplc="140A001B" w:tentative="1">
      <w:start w:val="1"/>
      <w:numFmt w:val="lowerRoman"/>
      <w:lvlText w:val="%3."/>
      <w:lvlJc w:val="right"/>
      <w:pPr>
        <w:ind w:left="4857" w:hanging="180"/>
      </w:pPr>
    </w:lvl>
    <w:lvl w:ilvl="3" w:tplc="140A000F" w:tentative="1">
      <w:start w:val="1"/>
      <w:numFmt w:val="decimal"/>
      <w:lvlText w:val="%4."/>
      <w:lvlJc w:val="left"/>
      <w:pPr>
        <w:ind w:left="5577" w:hanging="360"/>
      </w:pPr>
    </w:lvl>
    <w:lvl w:ilvl="4" w:tplc="140A0019" w:tentative="1">
      <w:start w:val="1"/>
      <w:numFmt w:val="lowerLetter"/>
      <w:lvlText w:val="%5."/>
      <w:lvlJc w:val="left"/>
      <w:pPr>
        <w:ind w:left="6297" w:hanging="360"/>
      </w:pPr>
    </w:lvl>
    <w:lvl w:ilvl="5" w:tplc="140A001B" w:tentative="1">
      <w:start w:val="1"/>
      <w:numFmt w:val="lowerRoman"/>
      <w:lvlText w:val="%6."/>
      <w:lvlJc w:val="right"/>
      <w:pPr>
        <w:ind w:left="7017" w:hanging="180"/>
      </w:pPr>
    </w:lvl>
    <w:lvl w:ilvl="6" w:tplc="140A000F" w:tentative="1">
      <w:start w:val="1"/>
      <w:numFmt w:val="decimal"/>
      <w:lvlText w:val="%7."/>
      <w:lvlJc w:val="left"/>
      <w:pPr>
        <w:ind w:left="7737" w:hanging="360"/>
      </w:pPr>
    </w:lvl>
    <w:lvl w:ilvl="7" w:tplc="140A0019" w:tentative="1">
      <w:start w:val="1"/>
      <w:numFmt w:val="lowerLetter"/>
      <w:lvlText w:val="%8."/>
      <w:lvlJc w:val="left"/>
      <w:pPr>
        <w:ind w:left="8457" w:hanging="360"/>
      </w:pPr>
    </w:lvl>
    <w:lvl w:ilvl="8" w:tplc="140A001B" w:tentative="1">
      <w:start w:val="1"/>
      <w:numFmt w:val="lowerRoman"/>
      <w:lvlText w:val="%9."/>
      <w:lvlJc w:val="right"/>
      <w:pPr>
        <w:ind w:left="9177" w:hanging="180"/>
      </w:pPr>
    </w:lvl>
  </w:abstractNum>
  <w:abstractNum w:abstractNumId="12" w15:restartNumberingAfterBreak="0">
    <w:nsid w:val="2CD63BDD"/>
    <w:multiLevelType w:val="multilevel"/>
    <w:tmpl w:val="1B4823B0"/>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13" w15:restartNumberingAfterBreak="0">
    <w:nsid w:val="2D8347B0"/>
    <w:multiLevelType w:val="hybridMultilevel"/>
    <w:tmpl w:val="7E8E9AD4"/>
    <w:lvl w:ilvl="0" w:tplc="140A0017">
      <w:start w:val="1"/>
      <w:numFmt w:val="lowerLetter"/>
      <w:lvlText w:val="%1)"/>
      <w:lvlJc w:val="left"/>
      <w:pPr>
        <w:ind w:left="1066" w:hanging="360"/>
      </w:pPr>
    </w:lvl>
    <w:lvl w:ilvl="1" w:tplc="140A0019" w:tentative="1">
      <w:start w:val="1"/>
      <w:numFmt w:val="lowerLetter"/>
      <w:lvlText w:val="%2."/>
      <w:lvlJc w:val="left"/>
      <w:pPr>
        <w:ind w:left="1786" w:hanging="360"/>
      </w:pPr>
    </w:lvl>
    <w:lvl w:ilvl="2" w:tplc="140A001B" w:tentative="1">
      <w:start w:val="1"/>
      <w:numFmt w:val="lowerRoman"/>
      <w:lvlText w:val="%3."/>
      <w:lvlJc w:val="right"/>
      <w:pPr>
        <w:ind w:left="2506" w:hanging="180"/>
      </w:pPr>
    </w:lvl>
    <w:lvl w:ilvl="3" w:tplc="140A000F" w:tentative="1">
      <w:start w:val="1"/>
      <w:numFmt w:val="decimal"/>
      <w:lvlText w:val="%4."/>
      <w:lvlJc w:val="left"/>
      <w:pPr>
        <w:ind w:left="3226" w:hanging="360"/>
      </w:pPr>
    </w:lvl>
    <w:lvl w:ilvl="4" w:tplc="140A0019" w:tentative="1">
      <w:start w:val="1"/>
      <w:numFmt w:val="lowerLetter"/>
      <w:lvlText w:val="%5."/>
      <w:lvlJc w:val="left"/>
      <w:pPr>
        <w:ind w:left="3946" w:hanging="360"/>
      </w:pPr>
    </w:lvl>
    <w:lvl w:ilvl="5" w:tplc="140A001B" w:tentative="1">
      <w:start w:val="1"/>
      <w:numFmt w:val="lowerRoman"/>
      <w:lvlText w:val="%6."/>
      <w:lvlJc w:val="right"/>
      <w:pPr>
        <w:ind w:left="4666" w:hanging="180"/>
      </w:pPr>
    </w:lvl>
    <w:lvl w:ilvl="6" w:tplc="140A000F" w:tentative="1">
      <w:start w:val="1"/>
      <w:numFmt w:val="decimal"/>
      <w:lvlText w:val="%7."/>
      <w:lvlJc w:val="left"/>
      <w:pPr>
        <w:ind w:left="5386" w:hanging="360"/>
      </w:pPr>
    </w:lvl>
    <w:lvl w:ilvl="7" w:tplc="140A0019" w:tentative="1">
      <w:start w:val="1"/>
      <w:numFmt w:val="lowerLetter"/>
      <w:lvlText w:val="%8."/>
      <w:lvlJc w:val="left"/>
      <w:pPr>
        <w:ind w:left="6106" w:hanging="360"/>
      </w:pPr>
    </w:lvl>
    <w:lvl w:ilvl="8" w:tplc="140A001B" w:tentative="1">
      <w:start w:val="1"/>
      <w:numFmt w:val="lowerRoman"/>
      <w:lvlText w:val="%9."/>
      <w:lvlJc w:val="right"/>
      <w:pPr>
        <w:ind w:left="6826" w:hanging="180"/>
      </w:pPr>
    </w:lvl>
  </w:abstractNum>
  <w:abstractNum w:abstractNumId="14" w15:restartNumberingAfterBreak="0">
    <w:nsid w:val="2E233678"/>
    <w:multiLevelType w:val="hybridMultilevel"/>
    <w:tmpl w:val="46800B4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16751D"/>
    <w:multiLevelType w:val="multilevel"/>
    <w:tmpl w:val="3B2EE46A"/>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03E6885"/>
    <w:multiLevelType w:val="hybridMultilevel"/>
    <w:tmpl w:val="4B9276BC"/>
    <w:lvl w:ilvl="0" w:tplc="140A000F">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8572919"/>
    <w:multiLevelType w:val="hybridMultilevel"/>
    <w:tmpl w:val="BFD4A4F6"/>
    <w:lvl w:ilvl="0" w:tplc="7FEE3DDC">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8" w15:restartNumberingAfterBreak="0">
    <w:nsid w:val="3A367673"/>
    <w:multiLevelType w:val="hybridMultilevel"/>
    <w:tmpl w:val="86A04F3C"/>
    <w:lvl w:ilvl="0" w:tplc="785C0808">
      <w:start w:val="1"/>
      <w:numFmt w:val="lowerLetter"/>
      <w:lvlText w:val="%1)"/>
      <w:lvlJc w:val="left"/>
      <w:pPr>
        <w:tabs>
          <w:tab w:val="num" w:pos="780"/>
        </w:tabs>
        <w:ind w:left="780" w:hanging="4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B41624E"/>
    <w:multiLevelType w:val="hybridMultilevel"/>
    <w:tmpl w:val="541E6D30"/>
    <w:lvl w:ilvl="0" w:tplc="EB06D5C4">
      <w:start w:val="5"/>
      <w:numFmt w:val="bullet"/>
      <w:lvlText w:val="-"/>
      <w:lvlJc w:val="left"/>
      <w:pPr>
        <w:ind w:left="360" w:hanging="360"/>
      </w:pPr>
      <w:rPr>
        <w:rFonts w:ascii="AvenirNext LT Pro Regular" w:eastAsiaTheme="minorHAnsi" w:hAnsi="AvenirNext LT Pro Regular" w:cs="Arial" w:hint="default"/>
        <w:color w:val="0070C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C2E61B7"/>
    <w:multiLevelType w:val="multilevel"/>
    <w:tmpl w:val="25DCF060"/>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1" w15:restartNumberingAfterBreak="0">
    <w:nsid w:val="40B519A0"/>
    <w:multiLevelType w:val="hybridMultilevel"/>
    <w:tmpl w:val="704CA012"/>
    <w:lvl w:ilvl="0" w:tplc="140A0017">
      <w:start w:val="1"/>
      <w:numFmt w:val="lowerLetter"/>
      <w:lvlText w:val="%1)"/>
      <w:lvlJc w:val="left"/>
      <w:pPr>
        <w:ind w:left="1066" w:hanging="360"/>
      </w:pPr>
    </w:lvl>
    <w:lvl w:ilvl="1" w:tplc="140A0019">
      <w:start w:val="1"/>
      <w:numFmt w:val="lowerLetter"/>
      <w:lvlText w:val="%2."/>
      <w:lvlJc w:val="left"/>
      <w:pPr>
        <w:ind w:left="1786" w:hanging="360"/>
      </w:pPr>
    </w:lvl>
    <w:lvl w:ilvl="2" w:tplc="140A001B" w:tentative="1">
      <w:start w:val="1"/>
      <w:numFmt w:val="lowerRoman"/>
      <w:lvlText w:val="%3."/>
      <w:lvlJc w:val="right"/>
      <w:pPr>
        <w:ind w:left="2506" w:hanging="180"/>
      </w:pPr>
    </w:lvl>
    <w:lvl w:ilvl="3" w:tplc="140A000F" w:tentative="1">
      <w:start w:val="1"/>
      <w:numFmt w:val="decimal"/>
      <w:lvlText w:val="%4."/>
      <w:lvlJc w:val="left"/>
      <w:pPr>
        <w:ind w:left="3226" w:hanging="360"/>
      </w:pPr>
    </w:lvl>
    <w:lvl w:ilvl="4" w:tplc="140A0019" w:tentative="1">
      <w:start w:val="1"/>
      <w:numFmt w:val="lowerLetter"/>
      <w:lvlText w:val="%5."/>
      <w:lvlJc w:val="left"/>
      <w:pPr>
        <w:ind w:left="3946" w:hanging="360"/>
      </w:pPr>
    </w:lvl>
    <w:lvl w:ilvl="5" w:tplc="140A001B" w:tentative="1">
      <w:start w:val="1"/>
      <w:numFmt w:val="lowerRoman"/>
      <w:lvlText w:val="%6."/>
      <w:lvlJc w:val="right"/>
      <w:pPr>
        <w:ind w:left="4666" w:hanging="180"/>
      </w:pPr>
    </w:lvl>
    <w:lvl w:ilvl="6" w:tplc="140A000F" w:tentative="1">
      <w:start w:val="1"/>
      <w:numFmt w:val="decimal"/>
      <w:lvlText w:val="%7."/>
      <w:lvlJc w:val="left"/>
      <w:pPr>
        <w:ind w:left="5386" w:hanging="360"/>
      </w:pPr>
    </w:lvl>
    <w:lvl w:ilvl="7" w:tplc="140A0019" w:tentative="1">
      <w:start w:val="1"/>
      <w:numFmt w:val="lowerLetter"/>
      <w:lvlText w:val="%8."/>
      <w:lvlJc w:val="left"/>
      <w:pPr>
        <w:ind w:left="6106" w:hanging="360"/>
      </w:pPr>
    </w:lvl>
    <w:lvl w:ilvl="8" w:tplc="140A001B" w:tentative="1">
      <w:start w:val="1"/>
      <w:numFmt w:val="lowerRoman"/>
      <w:lvlText w:val="%9."/>
      <w:lvlJc w:val="right"/>
      <w:pPr>
        <w:ind w:left="6826" w:hanging="180"/>
      </w:pPr>
    </w:lvl>
  </w:abstractNum>
  <w:abstractNum w:abstractNumId="22" w15:restartNumberingAfterBreak="0">
    <w:nsid w:val="42C24A02"/>
    <w:multiLevelType w:val="multilevel"/>
    <w:tmpl w:val="E592A5D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2.%3"/>
      <w:lvlJc w:val="left"/>
      <w:pPr>
        <w:ind w:left="1224" w:hanging="504"/>
      </w:pPr>
      <w:rPr>
        <w:rFonts w:hint="default"/>
        <w:spacing w:val="0"/>
        <w:kern w:val="2"/>
        <w:position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4C56BF6"/>
    <w:multiLevelType w:val="hybridMultilevel"/>
    <w:tmpl w:val="9B1E639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A380FB1"/>
    <w:multiLevelType w:val="hybridMultilevel"/>
    <w:tmpl w:val="21341284"/>
    <w:lvl w:ilvl="0" w:tplc="F30CC690">
      <w:start w:val="1"/>
      <w:numFmt w:val="lowerLetter"/>
      <w:lvlText w:val="%1)"/>
      <w:lvlJc w:val="left"/>
      <w:pPr>
        <w:tabs>
          <w:tab w:val="num" w:pos="1428"/>
        </w:tabs>
        <w:ind w:left="1428" w:hanging="360"/>
      </w:pPr>
      <w:rPr>
        <w:rFonts w:hint="default"/>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25" w15:restartNumberingAfterBreak="0">
    <w:nsid w:val="4B901914"/>
    <w:multiLevelType w:val="hybridMultilevel"/>
    <w:tmpl w:val="7E8E9AD4"/>
    <w:lvl w:ilvl="0" w:tplc="140A0017">
      <w:start w:val="1"/>
      <w:numFmt w:val="lowerLetter"/>
      <w:lvlText w:val="%1)"/>
      <w:lvlJc w:val="left"/>
      <w:pPr>
        <w:ind w:left="1066" w:hanging="360"/>
      </w:pPr>
    </w:lvl>
    <w:lvl w:ilvl="1" w:tplc="140A0019" w:tentative="1">
      <w:start w:val="1"/>
      <w:numFmt w:val="lowerLetter"/>
      <w:lvlText w:val="%2."/>
      <w:lvlJc w:val="left"/>
      <w:pPr>
        <w:ind w:left="1786" w:hanging="360"/>
      </w:pPr>
    </w:lvl>
    <w:lvl w:ilvl="2" w:tplc="140A001B" w:tentative="1">
      <w:start w:val="1"/>
      <w:numFmt w:val="lowerRoman"/>
      <w:lvlText w:val="%3."/>
      <w:lvlJc w:val="right"/>
      <w:pPr>
        <w:ind w:left="2506" w:hanging="180"/>
      </w:pPr>
    </w:lvl>
    <w:lvl w:ilvl="3" w:tplc="140A000F" w:tentative="1">
      <w:start w:val="1"/>
      <w:numFmt w:val="decimal"/>
      <w:lvlText w:val="%4."/>
      <w:lvlJc w:val="left"/>
      <w:pPr>
        <w:ind w:left="3226" w:hanging="360"/>
      </w:pPr>
    </w:lvl>
    <w:lvl w:ilvl="4" w:tplc="140A0019" w:tentative="1">
      <w:start w:val="1"/>
      <w:numFmt w:val="lowerLetter"/>
      <w:lvlText w:val="%5."/>
      <w:lvlJc w:val="left"/>
      <w:pPr>
        <w:ind w:left="3946" w:hanging="360"/>
      </w:pPr>
    </w:lvl>
    <w:lvl w:ilvl="5" w:tplc="140A001B" w:tentative="1">
      <w:start w:val="1"/>
      <w:numFmt w:val="lowerRoman"/>
      <w:lvlText w:val="%6."/>
      <w:lvlJc w:val="right"/>
      <w:pPr>
        <w:ind w:left="4666" w:hanging="180"/>
      </w:pPr>
    </w:lvl>
    <w:lvl w:ilvl="6" w:tplc="140A000F" w:tentative="1">
      <w:start w:val="1"/>
      <w:numFmt w:val="decimal"/>
      <w:lvlText w:val="%7."/>
      <w:lvlJc w:val="left"/>
      <w:pPr>
        <w:ind w:left="5386" w:hanging="360"/>
      </w:pPr>
    </w:lvl>
    <w:lvl w:ilvl="7" w:tplc="140A0019" w:tentative="1">
      <w:start w:val="1"/>
      <w:numFmt w:val="lowerLetter"/>
      <w:lvlText w:val="%8."/>
      <w:lvlJc w:val="left"/>
      <w:pPr>
        <w:ind w:left="6106" w:hanging="360"/>
      </w:pPr>
    </w:lvl>
    <w:lvl w:ilvl="8" w:tplc="140A001B" w:tentative="1">
      <w:start w:val="1"/>
      <w:numFmt w:val="lowerRoman"/>
      <w:lvlText w:val="%9."/>
      <w:lvlJc w:val="right"/>
      <w:pPr>
        <w:ind w:left="6826" w:hanging="180"/>
      </w:pPr>
    </w:lvl>
  </w:abstractNum>
  <w:abstractNum w:abstractNumId="26" w15:restartNumberingAfterBreak="0">
    <w:nsid w:val="4CF1770C"/>
    <w:multiLevelType w:val="multilevel"/>
    <w:tmpl w:val="EE8AEC5E"/>
    <w:numStyleLink w:val="Estilo1"/>
  </w:abstractNum>
  <w:abstractNum w:abstractNumId="27" w15:restartNumberingAfterBreak="0">
    <w:nsid w:val="4E4D384C"/>
    <w:multiLevelType w:val="hybridMultilevel"/>
    <w:tmpl w:val="8850D500"/>
    <w:lvl w:ilvl="0" w:tplc="33DAAB78">
      <w:start w:val="1"/>
      <w:numFmt w:val="lowerLetter"/>
      <w:lvlText w:val="%1)"/>
      <w:lvlJc w:val="left"/>
      <w:pPr>
        <w:tabs>
          <w:tab w:val="num" w:pos="1293"/>
        </w:tabs>
        <w:ind w:left="1293" w:hanging="585"/>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8" w15:restartNumberingAfterBreak="0">
    <w:nsid w:val="4F581D96"/>
    <w:multiLevelType w:val="multilevel"/>
    <w:tmpl w:val="D6E47EDC"/>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9" w15:restartNumberingAfterBreak="0">
    <w:nsid w:val="52507D48"/>
    <w:multiLevelType w:val="hybridMultilevel"/>
    <w:tmpl w:val="DF707AA0"/>
    <w:lvl w:ilvl="0" w:tplc="04090001">
      <w:start w:val="1"/>
      <w:numFmt w:val="bullet"/>
      <w:lvlText w:val=""/>
      <w:lvlJc w:val="left"/>
      <w:pPr>
        <w:ind w:left="2160" w:hanging="360"/>
      </w:pPr>
      <w:rPr>
        <w:rFonts w:ascii="Symbol" w:hAnsi="Symbol" w:hint="default"/>
        <w:u w:val="no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7F04A9F"/>
    <w:multiLevelType w:val="multilevel"/>
    <w:tmpl w:val="7A266610"/>
    <w:numStyleLink w:val="Estilo2"/>
  </w:abstractNum>
  <w:abstractNum w:abstractNumId="31" w15:restartNumberingAfterBreak="0">
    <w:nsid w:val="5BE36929"/>
    <w:multiLevelType w:val="multilevel"/>
    <w:tmpl w:val="0C0A0023"/>
    <w:lvl w:ilvl="0">
      <w:start w:val="1"/>
      <w:numFmt w:val="upperRoman"/>
      <w:pStyle w:val="Ttulo1"/>
      <w:lvlText w:val="Artículo %1."/>
      <w:lvlJc w:val="left"/>
      <w:pPr>
        <w:tabs>
          <w:tab w:val="num" w:pos="1800"/>
        </w:tabs>
        <w:ind w:left="0" w:firstLine="0"/>
      </w:pPr>
    </w:lvl>
    <w:lvl w:ilvl="1">
      <w:start w:val="1"/>
      <w:numFmt w:val="decimalZero"/>
      <w:pStyle w:val="Ttulo2"/>
      <w:isLgl/>
      <w:lvlText w:val="Sección %1.%2"/>
      <w:lvlJc w:val="left"/>
      <w:pPr>
        <w:tabs>
          <w:tab w:val="num" w:pos="1440"/>
        </w:tabs>
        <w:ind w:left="0" w:firstLine="0"/>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pStyle w:val="Ttulo8"/>
      <w:lvlText w:val="%8."/>
      <w:lvlJc w:val="left"/>
      <w:pPr>
        <w:tabs>
          <w:tab w:val="num" w:pos="1440"/>
        </w:tabs>
        <w:ind w:left="1440" w:hanging="432"/>
      </w:pPr>
    </w:lvl>
    <w:lvl w:ilvl="8">
      <w:start w:val="1"/>
      <w:numFmt w:val="lowerRoman"/>
      <w:pStyle w:val="Ttulo9"/>
      <w:lvlText w:val="%9."/>
      <w:lvlJc w:val="right"/>
      <w:pPr>
        <w:tabs>
          <w:tab w:val="num" w:pos="1584"/>
        </w:tabs>
        <w:ind w:left="1584" w:hanging="144"/>
      </w:pPr>
    </w:lvl>
  </w:abstractNum>
  <w:abstractNum w:abstractNumId="32" w15:restartNumberingAfterBreak="0">
    <w:nsid w:val="5E396FE6"/>
    <w:multiLevelType w:val="hybridMultilevel"/>
    <w:tmpl w:val="7E8E9AD4"/>
    <w:lvl w:ilvl="0" w:tplc="140A0017">
      <w:start w:val="1"/>
      <w:numFmt w:val="lowerLetter"/>
      <w:lvlText w:val="%1)"/>
      <w:lvlJc w:val="left"/>
      <w:pPr>
        <w:ind w:left="1066" w:hanging="360"/>
      </w:pPr>
    </w:lvl>
    <w:lvl w:ilvl="1" w:tplc="140A0019" w:tentative="1">
      <w:start w:val="1"/>
      <w:numFmt w:val="lowerLetter"/>
      <w:lvlText w:val="%2."/>
      <w:lvlJc w:val="left"/>
      <w:pPr>
        <w:ind w:left="1786" w:hanging="360"/>
      </w:pPr>
    </w:lvl>
    <w:lvl w:ilvl="2" w:tplc="140A001B" w:tentative="1">
      <w:start w:val="1"/>
      <w:numFmt w:val="lowerRoman"/>
      <w:lvlText w:val="%3."/>
      <w:lvlJc w:val="right"/>
      <w:pPr>
        <w:ind w:left="2506" w:hanging="180"/>
      </w:pPr>
    </w:lvl>
    <w:lvl w:ilvl="3" w:tplc="140A000F" w:tentative="1">
      <w:start w:val="1"/>
      <w:numFmt w:val="decimal"/>
      <w:lvlText w:val="%4."/>
      <w:lvlJc w:val="left"/>
      <w:pPr>
        <w:ind w:left="3226" w:hanging="360"/>
      </w:pPr>
    </w:lvl>
    <w:lvl w:ilvl="4" w:tplc="140A0019" w:tentative="1">
      <w:start w:val="1"/>
      <w:numFmt w:val="lowerLetter"/>
      <w:lvlText w:val="%5."/>
      <w:lvlJc w:val="left"/>
      <w:pPr>
        <w:ind w:left="3946" w:hanging="360"/>
      </w:pPr>
    </w:lvl>
    <w:lvl w:ilvl="5" w:tplc="140A001B" w:tentative="1">
      <w:start w:val="1"/>
      <w:numFmt w:val="lowerRoman"/>
      <w:lvlText w:val="%6."/>
      <w:lvlJc w:val="right"/>
      <w:pPr>
        <w:ind w:left="4666" w:hanging="180"/>
      </w:pPr>
    </w:lvl>
    <w:lvl w:ilvl="6" w:tplc="140A000F" w:tentative="1">
      <w:start w:val="1"/>
      <w:numFmt w:val="decimal"/>
      <w:lvlText w:val="%7."/>
      <w:lvlJc w:val="left"/>
      <w:pPr>
        <w:ind w:left="5386" w:hanging="360"/>
      </w:pPr>
    </w:lvl>
    <w:lvl w:ilvl="7" w:tplc="140A0019" w:tentative="1">
      <w:start w:val="1"/>
      <w:numFmt w:val="lowerLetter"/>
      <w:lvlText w:val="%8."/>
      <w:lvlJc w:val="left"/>
      <w:pPr>
        <w:ind w:left="6106" w:hanging="360"/>
      </w:pPr>
    </w:lvl>
    <w:lvl w:ilvl="8" w:tplc="140A001B" w:tentative="1">
      <w:start w:val="1"/>
      <w:numFmt w:val="lowerRoman"/>
      <w:lvlText w:val="%9."/>
      <w:lvlJc w:val="right"/>
      <w:pPr>
        <w:ind w:left="6826" w:hanging="180"/>
      </w:pPr>
    </w:lvl>
  </w:abstractNum>
  <w:abstractNum w:abstractNumId="33" w15:restartNumberingAfterBreak="0">
    <w:nsid w:val="6300514F"/>
    <w:multiLevelType w:val="hybridMultilevel"/>
    <w:tmpl w:val="601EBAA2"/>
    <w:lvl w:ilvl="0" w:tplc="15FCAAF8">
      <w:start w:val="1"/>
      <w:numFmt w:val="lowerLetter"/>
      <w:lvlText w:val="%1)"/>
      <w:lvlJc w:val="left"/>
      <w:pPr>
        <w:ind w:left="1080" w:hanging="360"/>
      </w:pPr>
      <w:rPr>
        <w:rFonts w:hint="default"/>
        <w:b/>
        <w:i/>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34" w15:restartNumberingAfterBreak="0">
    <w:nsid w:val="69B346C2"/>
    <w:multiLevelType w:val="multilevel"/>
    <w:tmpl w:val="503EBCA8"/>
    <w:lvl w:ilvl="0">
      <w:start w:val="3"/>
      <w:numFmt w:val="decimal"/>
      <w:lvlText w:val="%1"/>
      <w:lvlJc w:val="left"/>
      <w:pPr>
        <w:tabs>
          <w:tab w:val="num" w:pos="465"/>
        </w:tabs>
        <w:ind w:left="465" w:hanging="465"/>
      </w:pPr>
      <w:rPr>
        <w:rFonts w:hint="default"/>
      </w:rPr>
    </w:lvl>
    <w:lvl w:ilvl="1">
      <w:start w:val="11"/>
      <w:numFmt w:val="decimal"/>
      <w:lvlText w:val="%1.%2"/>
      <w:lvlJc w:val="left"/>
      <w:pPr>
        <w:tabs>
          <w:tab w:val="num" w:pos="645"/>
        </w:tabs>
        <w:ind w:left="645" w:hanging="46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AD0350A"/>
    <w:multiLevelType w:val="hybridMultilevel"/>
    <w:tmpl w:val="131922B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C1C2D84"/>
    <w:multiLevelType w:val="multilevel"/>
    <w:tmpl w:val="7A207E14"/>
    <w:lvl w:ilvl="0">
      <w:start w:val="3"/>
      <w:numFmt w:val="decimal"/>
      <w:lvlText w:val="%1"/>
      <w:lvlJc w:val="left"/>
      <w:pPr>
        <w:tabs>
          <w:tab w:val="num" w:pos="540"/>
        </w:tabs>
        <w:ind w:left="540" w:hanging="540"/>
      </w:pPr>
      <w:rPr>
        <w:rFonts w:hint="default"/>
        <w:color w:val="FFFFFF" w:themeColor="background1"/>
      </w:rPr>
    </w:lvl>
    <w:lvl w:ilvl="1">
      <w:start w:val="1"/>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CF65D4B"/>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82044B1"/>
    <w:multiLevelType w:val="hybridMultilevel"/>
    <w:tmpl w:val="A01C00A2"/>
    <w:lvl w:ilvl="0" w:tplc="D654EBEE">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AE215C2"/>
    <w:multiLevelType w:val="hybridMultilevel"/>
    <w:tmpl w:val="4C7A5FBE"/>
    <w:lvl w:ilvl="0" w:tplc="76F28C6E">
      <w:start w:val="1"/>
      <w:numFmt w:val="decimal"/>
      <w:lvlText w:val="%1."/>
      <w:lvlJc w:val="left"/>
      <w:pPr>
        <w:ind w:left="720" w:hanging="360"/>
      </w:pPr>
      <w:rPr>
        <w:rFonts w:hint="default"/>
        <w:sz w:val="20"/>
        <w:szCs w:val="16"/>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0" w15:restartNumberingAfterBreak="0">
    <w:nsid w:val="7BE426BA"/>
    <w:multiLevelType w:val="hybridMultilevel"/>
    <w:tmpl w:val="8A94F944"/>
    <w:lvl w:ilvl="0" w:tplc="140A0017">
      <w:start w:val="1"/>
      <w:numFmt w:val="lowerLetter"/>
      <w:lvlText w:val="%1)"/>
      <w:lvlJc w:val="left"/>
      <w:pPr>
        <w:ind w:left="1066" w:hanging="360"/>
      </w:pPr>
    </w:lvl>
    <w:lvl w:ilvl="1" w:tplc="140A0019" w:tentative="1">
      <w:start w:val="1"/>
      <w:numFmt w:val="lowerLetter"/>
      <w:lvlText w:val="%2."/>
      <w:lvlJc w:val="left"/>
      <w:pPr>
        <w:ind w:left="1786" w:hanging="360"/>
      </w:pPr>
    </w:lvl>
    <w:lvl w:ilvl="2" w:tplc="140A001B" w:tentative="1">
      <w:start w:val="1"/>
      <w:numFmt w:val="lowerRoman"/>
      <w:lvlText w:val="%3."/>
      <w:lvlJc w:val="right"/>
      <w:pPr>
        <w:ind w:left="2506" w:hanging="180"/>
      </w:pPr>
    </w:lvl>
    <w:lvl w:ilvl="3" w:tplc="140A000F" w:tentative="1">
      <w:start w:val="1"/>
      <w:numFmt w:val="decimal"/>
      <w:lvlText w:val="%4."/>
      <w:lvlJc w:val="left"/>
      <w:pPr>
        <w:ind w:left="3226" w:hanging="360"/>
      </w:pPr>
    </w:lvl>
    <w:lvl w:ilvl="4" w:tplc="140A0019" w:tentative="1">
      <w:start w:val="1"/>
      <w:numFmt w:val="lowerLetter"/>
      <w:lvlText w:val="%5."/>
      <w:lvlJc w:val="left"/>
      <w:pPr>
        <w:ind w:left="3946" w:hanging="360"/>
      </w:pPr>
    </w:lvl>
    <w:lvl w:ilvl="5" w:tplc="140A001B" w:tentative="1">
      <w:start w:val="1"/>
      <w:numFmt w:val="lowerRoman"/>
      <w:lvlText w:val="%6."/>
      <w:lvlJc w:val="right"/>
      <w:pPr>
        <w:ind w:left="4666" w:hanging="180"/>
      </w:pPr>
    </w:lvl>
    <w:lvl w:ilvl="6" w:tplc="140A000F" w:tentative="1">
      <w:start w:val="1"/>
      <w:numFmt w:val="decimal"/>
      <w:lvlText w:val="%7."/>
      <w:lvlJc w:val="left"/>
      <w:pPr>
        <w:ind w:left="5386" w:hanging="360"/>
      </w:pPr>
    </w:lvl>
    <w:lvl w:ilvl="7" w:tplc="140A0019" w:tentative="1">
      <w:start w:val="1"/>
      <w:numFmt w:val="lowerLetter"/>
      <w:lvlText w:val="%8."/>
      <w:lvlJc w:val="left"/>
      <w:pPr>
        <w:ind w:left="6106" w:hanging="360"/>
      </w:pPr>
    </w:lvl>
    <w:lvl w:ilvl="8" w:tplc="140A001B" w:tentative="1">
      <w:start w:val="1"/>
      <w:numFmt w:val="lowerRoman"/>
      <w:lvlText w:val="%9."/>
      <w:lvlJc w:val="right"/>
      <w:pPr>
        <w:ind w:left="6826" w:hanging="180"/>
      </w:pPr>
    </w:lvl>
  </w:abstractNum>
  <w:abstractNum w:abstractNumId="41" w15:restartNumberingAfterBreak="0">
    <w:nsid w:val="7E1D7AA3"/>
    <w:multiLevelType w:val="hybridMultilevel"/>
    <w:tmpl w:val="D6B8D3EE"/>
    <w:lvl w:ilvl="0" w:tplc="62EC8CCC">
      <w:start w:val="1"/>
      <w:numFmt w:val="lowerLetter"/>
      <w:lvlText w:val="%1)"/>
      <w:lvlJc w:val="left"/>
      <w:pPr>
        <w:ind w:left="1065" w:hanging="70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50344874">
    <w:abstractNumId w:val="36"/>
  </w:num>
  <w:num w:numId="2" w16cid:durableId="318652627">
    <w:abstractNumId w:val="20"/>
  </w:num>
  <w:num w:numId="3" w16cid:durableId="757680496">
    <w:abstractNumId w:val="28"/>
  </w:num>
  <w:num w:numId="4" w16cid:durableId="1501626515">
    <w:abstractNumId w:val="27"/>
  </w:num>
  <w:num w:numId="5" w16cid:durableId="1473405696">
    <w:abstractNumId w:val="3"/>
  </w:num>
  <w:num w:numId="6" w16cid:durableId="2113209313">
    <w:abstractNumId w:val="31"/>
  </w:num>
  <w:num w:numId="7" w16cid:durableId="1852641831">
    <w:abstractNumId w:val="7"/>
  </w:num>
  <w:num w:numId="8" w16cid:durableId="406997323">
    <w:abstractNumId w:val="6"/>
  </w:num>
  <w:num w:numId="9" w16cid:durableId="1763330487">
    <w:abstractNumId w:val="14"/>
  </w:num>
  <w:num w:numId="10" w16cid:durableId="78988598">
    <w:abstractNumId w:val="34"/>
  </w:num>
  <w:num w:numId="11" w16cid:durableId="300036049">
    <w:abstractNumId w:val="23"/>
  </w:num>
  <w:num w:numId="12" w16cid:durableId="1158031658">
    <w:abstractNumId w:val="24"/>
  </w:num>
  <w:num w:numId="13" w16cid:durableId="2062359281">
    <w:abstractNumId w:val="5"/>
  </w:num>
  <w:num w:numId="14" w16cid:durableId="1580404105">
    <w:abstractNumId w:val="18"/>
  </w:num>
  <w:num w:numId="15" w16cid:durableId="2000497208">
    <w:abstractNumId w:val="38"/>
  </w:num>
  <w:num w:numId="16" w16cid:durableId="1434471950">
    <w:abstractNumId w:val="6"/>
  </w:num>
  <w:num w:numId="17" w16cid:durableId="20469045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1409367">
    <w:abstractNumId w:val="37"/>
  </w:num>
  <w:num w:numId="19" w16cid:durableId="461505279">
    <w:abstractNumId w:val="22"/>
  </w:num>
  <w:num w:numId="20" w16cid:durableId="1582527061">
    <w:abstractNumId w:val="17"/>
  </w:num>
  <w:num w:numId="21" w16cid:durableId="1698969635">
    <w:abstractNumId w:val="15"/>
  </w:num>
  <w:num w:numId="22" w16cid:durableId="589432406">
    <w:abstractNumId w:val="9"/>
  </w:num>
  <w:num w:numId="23" w16cid:durableId="2024166127">
    <w:abstractNumId w:val="12"/>
  </w:num>
  <w:num w:numId="24" w16cid:durableId="1463889856">
    <w:abstractNumId w:val="17"/>
  </w:num>
  <w:num w:numId="25" w16cid:durableId="1918587315">
    <w:abstractNumId w:val="25"/>
  </w:num>
  <w:num w:numId="26" w16cid:durableId="940141979">
    <w:abstractNumId w:val="32"/>
  </w:num>
  <w:num w:numId="27" w16cid:durableId="384567001">
    <w:abstractNumId w:val="40"/>
  </w:num>
  <w:num w:numId="28" w16cid:durableId="790325371">
    <w:abstractNumId w:val="21"/>
  </w:num>
  <w:num w:numId="29" w16cid:durableId="744492582">
    <w:abstractNumId w:val="13"/>
  </w:num>
  <w:num w:numId="30" w16cid:durableId="1607536576">
    <w:abstractNumId w:val="4"/>
  </w:num>
  <w:num w:numId="31" w16cid:durableId="1145851576">
    <w:abstractNumId w:val="41"/>
  </w:num>
  <w:num w:numId="32" w16cid:durableId="434059501">
    <w:abstractNumId w:val="33"/>
  </w:num>
  <w:num w:numId="33" w16cid:durableId="1261328261">
    <w:abstractNumId w:val="17"/>
  </w:num>
  <w:num w:numId="34" w16cid:durableId="1488403942">
    <w:abstractNumId w:val="11"/>
  </w:num>
  <w:num w:numId="35" w16cid:durableId="1273437607">
    <w:abstractNumId w:val="29"/>
  </w:num>
  <w:num w:numId="36" w16cid:durableId="332414431">
    <w:abstractNumId w:val="10"/>
  </w:num>
  <w:num w:numId="37" w16cid:durableId="533079315">
    <w:abstractNumId w:val="8"/>
  </w:num>
  <w:num w:numId="38" w16cid:durableId="1411004583">
    <w:abstractNumId w:val="35"/>
  </w:num>
  <w:num w:numId="39" w16cid:durableId="929192534">
    <w:abstractNumId w:val="39"/>
  </w:num>
  <w:num w:numId="40" w16cid:durableId="946885300">
    <w:abstractNumId w:val="30"/>
  </w:num>
  <w:num w:numId="41" w16cid:durableId="2100444797">
    <w:abstractNumId w:val="16"/>
  </w:num>
  <w:num w:numId="42" w16cid:durableId="1963031798">
    <w:abstractNumId w:val="26"/>
  </w:num>
  <w:num w:numId="43" w16cid:durableId="1071661833">
    <w:abstractNumId w:val="2"/>
  </w:num>
  <w:num w:numId="44" w16cid:durableId="1535383208">
    <w:abstractNumId w:val="0"/>
  </w:num>
  <w:num w:numId="45" w16cid:durableId="1370258598">
    <w:abstractNumId w:val="1"/>
  </w:num>
  <w:num w:numId="46" w16cid:durableId="14158606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92958415">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ctiveWritingStyle w:appName="MSWord" w:lang="es-ES" w:vendorID="64" w:dllVersion="6" w:nlCheck="1" w:checkStyle="0"/>
  <w:activeWritingStyle w:appName="MSWord" w:lang="es-CR" w:vendorID="64" w:dllVersion="6" w:nlCheck="1" w:checkStyle="0"/>
  <w:activeWritingStyle w:appName="MSWord" w:lang="en-US" w:vendorID="64" w:dllVersion="6" w:nlCheck="1" w:checkStyle="1"/>
  <w:activeWritingStyle w:appName="MSWord" w:lang="es-PE" w:vendorID="64" w:dllVersion="6" w:nlCheck="1" w:checkStyle="1"/>
  <w:activeWritingStyle w:appName="MSWord" w:lang="es-ES_tradnl" w:vendorID="64" w:dllVersion="6" w:nlCheck="1" w:checkStyle="0"/>
  <w:activeWritingStyle w:appName="MSWord" w:lang="fr-FR" w:vendorID="64" w:dllVersion="6" w:nlCheck="1" w:checkStyle="1"/>
  <w:activeWritingStyle w:appName="MSWord" w:lang="es-MX" w:vendorID="64" w:dllVersion="6" w:nlCheck="1" w:checkStyle="1"/>
  <w:activeWritingStyle w:appName="MSWord" w:lang="pt-BR" w:vendorID="64" w:dllVersion="6" w:nlCheck="1" w:checkStyle="0"/>
  <w:activeWritingStyle w:appName="MSWord" w:lang="es-419" w:vendorID="64" w:dllVersion="6" w:nlCheck="1" w:checkStyle="0"/>
  <w:activeWritingStyle w:appName="MSWord" w:lang="es-US" w:vendorID="64" w:dllVersion="6" w:nlCheck="1" w:checkStyle="0"/>
  <w:activeWritingStyle w:appName="MSWord" w:lang="es-ES" w:vendorID="64" w:dllVersion="0" w:nlCheck="1" w:checkStyle="0"/>
  <w:activeWritingStyle w:appName="MSWord" w:lang="es-CR"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US" w:vendorID="64" w:dllVersion="0" w:nlCheck="1" w:checkStyle="0"/>
  <w:activeWritingStyle w:appName="MSWord" w:lang="en-US" w:vendorID="64" w:dllVersion="0" w:nlCheck="1" w:checkStyle="0"/>
  <w:activeWritingStyle w:appName="MSWord" w:lang="pt-BR"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125"/>
    <w:rsid w:val="00001709"/>
    <w:rsid w:val="00001913"/>
    <w:rsid w:val="00001C00"/>
    <w:rsid w:val="0000213C"/>
    <w:rsid w:val="000021B3"/>
    <w:rsid w:val="000026B3"/>
    <w:rsid w:val="0000278A"/>
    <w:rsid w:val="00002AB3"/>
    <w:rsid w:val="00002ABD"/>
    <w:rsid w:val="00002AFD"/>
    <w:rsid w:val="00002BD9"/>
    <w:rsid w:val="00002BF1"/>
    <w:rsid w:val="00002FE4"/>
    <w:rsid w:val="0000353D"/>
    <w:rsid w:val="00003B4F"/>
    <w:rsid w:val="00004543"/>
    <w:rsid w:val="00004A14"/>
    <w:rsid w:val="00004AB9"/>
    <w:rsid w:val="00004B11"/>
    <w:rsid w:val="00004B60"/>
    <w:rsid w:val="00005019"/>
    <w:rsid w:val="00005168"/>
    <w:rsid w:val="00005747"/>
    <w:rsid w:val="0000580B"/>
    <w:rsid w:val="000058D1"/>
    <w:rsid w:val="00005906"/>
    <w:rsid w:val="00005AAE"/>
    <w:rsid w:val="00005DCC"/>
    <w:rsid w:val="00005FAF"/>
    <w:rsid w:val="0000666D"/>
    <w:rsid w:val="00007906"/>
    <w:rsid w:val="00007A11"/>
    <w:rsid w:val="00007CBB"/>
    <w:rsid w:val="000103C2"/>
    <w:rsid w:val="0001071B"/>
    <w:rsid w:val="00010C03"/>
    <w:rsid w:val="00010EAE"/>
    <w:rsid w:val="00011148"/>
    <w:rsid w:val="000115C1"/>
    <w:rsid w:val="000117D1"/>
    <w:rsid w:val="00011956"/>
    <w:rsid w:val="00011D41"/>
    <w:rsid w:val="00011D87"/>
    <w:rsid w:val="00011EF4"/>
    <w:rsid w:val="0001216F"/>
    <w:rsid w:val="00012B83"/>
    <w:rsid w:val="00012FF8"/>
    <w:rsid w:val="0001327D"/>
    <w:rsid w:val="00013F6F"/>
    <w:rsid w:val="000140E9"/>
    <w:rsid w:val="00014586"/>
    <w:rsid w:val="00014A5F"/>
    <w:rsid w:val="00014C64"/>
    <w:rsid w:val="00014DBF"/>
    <w:rsid w:val="00014F94"/>
    <w:rsid w:val="000154E5"/>
    <w:rsid w:val="00015B85"/>
    <w:rsid w:val="00016B97"/>
    <w:rsid w:val="0001749E"/>
    <w:rsid w:val="000177A3"/>
    <w:rsid w:val="00017AAB"/>
    <w:rsid w:val="000208BB"/>
    <w:rsid w:val="00020C79"/>
    <w:rsid w:val="00021370"/>
    <w:rsid w:val="000215CA"/>
    <w:rsid w:val="00021738"/>
    <w:rsid w:val="00021B36"/>
    <w:rsid w:val="00021CEE"/>
    <w:rsid w:val="00021D2A"/>
    <w:rsid w:val="00022AEA"/>
    <w:rsid w:val="00022ECF"/>
    <w:rsid w:val="000237C6"/>
    <w:rsid w:val="00023F2F"/>
    <w:rsid w:val="0002442B"/>
    <w:rsid w:val="00024672"/>
    <w:rsid w:val="000246B5"/>
    <w:rsid w:val="0002480F"/>
    <w:rsid w:val="00024A15"/>
    <w:rsid w:val="00024B17"/>
    <w:rsid w:val="0002595D"/>
    <w:rsid w:val="00025BDB"/>
    <w:rsid w:val="0002624E"/>
    <w:rsid w:val="0002632F"/>
    <w:rsid w:val="00026465"/>
    <w:rsid w:val="00026F2E"/>
    <w:rsid w:val="000272DD"/>
    <w:rsid w:val="0003005A"/>
    <w:rsid w:val="000304ED"/>
    <w:rsid w:val="00030745"/>
    <w:rsid w:val="00030877"/>
    <w:rsid w:val="000309A6"/>
    <w:rsid w:val="00030CFC"/>
    <w:rsid w:val="00031100"/>
    <w:rsid w:val="0003121E"/>
    <w:rsid w:val="000312E1"/>
    <w:rsid w:val="00031932"/>
    <w:rsid w:val="00032CAB"/>
    <w:rsid w:val="000335DB"/>
    <w:rsid w:val="00033678"/>
    <w:rsid w:val="00033CB2"/>
    <w:rsid w:val="00033CEF"/>
    <w:rsid w:val="00033D24"/>
    <w:rsid w:val="000341D7"/>
    <w:rsid w:val="000345FA"/>
    <w:rsid w:val="0003506E"/>
    <w:rsid w:val="0003516D"/>
    <w:rsid w:val="00035711"/>
    <w:rsid w:val="00035715"/>
    <w:rsid w:val="000360B8"/>
    <w:rsid w:val="0003632E"/>
    <w:rsid w:val="000363F9"/>
    <w:rsid w:val="0003679B"/>
    <w:rsid w:val="00036901"/>
    <w:rsid w:val="00036AAD"/>
    <w:rsid w:val="00036C78"/>
    <w:rsid w:val="00036EC9"/>
    <w:rsid w:val="00037451"/>
    <w:rsid w:val="000376BD"/>
    <w:rsid w:val="00037A20"/>
    <w:rsid w:val="00037B3C"/>
    <w:rsid w:val="000401C2"/>
    <w:rsid w:val="0004030B"/>
    <w:rsid w:val="000409D5"/>
    <w:rsid w:val="00040C00"/>
    <w:rsid w:val="00040D87"/>
    <w:rsid w:val="00040F37"/>
    <w:rsid w:val="000416A0"/>
    <w:rsid w:val="0004190B"/>
    <w:rsid w:val="00041D34"/>
    <w:rsid w:val="00041FAC"/>
    <w:rsid w:val="000420F5"/>
    <w:rsid w:val="00042181"/>
    <w:rsid w:val="00042474"/>
    <w:rsid w:val="000428D0"/>
    <w:rsid w:val="00042BE4"/>
    <w:rsid w:val="00042C7A"/>
    <w:rsid w:val="000434F4"/>
    <w:rsid w:val="00043DAF"/>
    <w:rsid w:val="00043E25"/>
    <w:rsid w:val="00044573"/>
    <w:rsid w:val="00044A55"/>
    <w:rsid w:val="00044CF7"/>
    <w:rsid w:val="000457CB"/>
    <w:rsid w:val="00045826"/>
    <w:rsid w:val="00045853"/>
    <w:rsid w:val="00045FE3"/>
    <w:rsid w:val="00046130"/>
    <w:rsid w:val="0004631A"/>
    <w:rsid w:val="00046471"/>
    <w:rsid w:val="0004648F"/>
    <w:rsid w:val="00046AA9"/>
    <w:rsid w:val="00046D30"/>
    <w:rsid w:val="00046EA9"/>
    <w:rsid w:val="00046EDA"/>
    <w:rsid w:val="00047B67"/>
    <w:rsid w:val="00050065"/>
    <w:rsid w:val="00050404"/>
    <w:rsid w:val="00050452"/>
    <w:rsid w:val="000507B8"/>
    <w:rsid w:val="00050959"/>
    <w:rsid w:val="00050D2A"/>
    <w:rsid w:val="00051418"/>
    <w:rsid w:val="000517C9"/>
    <w:rsid w:val="00051F09"/>
    <w:rsid w:val="00052242"/>
    <w:rsid w:val="00052BA5"/>
    <w:rsid w:val="00052FD0"/>
    <w:rsid w:val="000532C0"/>
    <w:rsid w:val="0005364B"/>
    <w:rsid w:val="000539AC"/>
    <w:rsid w:val="00053B03"/>
    <w:rsid w:val="00053CF1"/>
    <w:rsid w:val="00053D5C"/>
    <w:rsid w:val="00053E6F"/>
    <w:rsid w:val="0005427A"/>
    <w:rsid w:val="00054EB2"/>
    <w:rsid w:val="00055111"/>
    <w:rsid w:val="00055354"/>
    <w:rsid w:val="00055640"/>
    <w:rsid w:val="00056189"/>
    <w:rsid w:val="000563B4"/>
    <w:rsid w:val="000564C5"/>
    <w:rsid w:val="0005669E"/>
    <w:rsid w:val="00056896"/>
    <w:rsid w:val="0005694B"/>
    <w:rsid w:val="00056B99"/>
    <w:rsid w:val="00056C48"/>
    <w:rsid w:val="000577AD"/>
    <w:rsid w:val="00057869"/>
    <w:rsid w:val="00057E99"/>
    <w:rsid w:val="000601D3"/>
    <w:rsid w:val="00060ABB"/>
    <w:rsid w:val="000611BD"/>
    <w:rsid w:val="00061CAE"/>
    <w:rsid w:val="00062070"/>
    <w:rsid w:val="000621AA"/>
    <w:rsid w:val="0006224D"/>
    <w:rsid w:val="00062861"/>
    <w:rsid w:val="00062866"/>
    <w:rsid w:val="00062C45"/>
    <w:rsid w:val="00063258"/>
    <w:rsid w:val="00063480"/>
    <w:rsid w:val="0006356D"/>
    <w:rsid w:val="00063BEA"/>
    <w:rsid w:val="00063D06"/>
    <w:rsid w:val="0006423F"/>
    <w:rsid w:val="000645B5"/>
    <w:rsid w:val="0006465A"/>
    <w:rsid w:val="000648B1"/>
    <w:rsid w:val="000654A5"/>
    <w:rsid w:val="00065672"/>
    <w:rsid w:val="00065E5C"/>
    <w:rsid w:val="00066015"/>
    <w:rsid w:val="00066DBE"/>
    <w:rsid w:val="00066FC0"/>
    <w:rsid w:val="0006737F"/>
    <w:rsid w:val="0006783B"/>
    <w:rsid w:val="000703D5"/>
    <w:rsid w:val="000705C5"/>
    <w:rsid w:val="00070601"/>
    <w:rsid w:val="0007110A"/>
    <w:rsid w:val="000712E7"/>
    <w:rsid w:val="00071466"/>
    <w:rsid w:val="00072BE2"/>
    <w:rsid w:val="00072C9D"/>
    <w:rsid w:val="00072E01"/>
    <w:rsid w:val="00072FC9"/>
    <w:rsid w:val="00073060"/>
    <w:rsid w:val="000734CB"/>
    <w:rsid w:val="0007386D"/>
    <w:rsid w:val="000738B9"/>
    <w:rsid w:val="0007406F"/>
    <w:rsid w:val="000742BC"/>
    <w:rsid w:val="00074D5E"/>
    <w:rsid w:val="00074E79"/>
    <w:rsid w:val="00074EF3"/>
    <w:rsid w:val="00075296"/>
    <w:rsid w:val="0007592C"/>
    <w:rsid w:val="000759AD"/>
    <w:rsid w:val="0007670B"/>
    <w:rsid w:val="00077500"/>
    <w:rsid w:val="00077529"/>
    <w:rsid w:val="00077FA6"/>
    <w:rsid w:val="0008004C"/>
    <w:rsid w:val="00080F1D"/>
    <w:rsid w:val="00081815"/>
    <w:rsid w:val="00081B5A"/>
    <w:rsid w:val="00081B94"/>
    <w:rsid w:val="00081B9E"/>
    <w:rsid w:val="000823AF"/>
    <w:rsid w:val="00082715"/>
    <w:rsid w:val="00082A48"/>
    <w:rsid w:val="00082AF9"/>
    <w:rsid w:val="00082BB7"/>
    <w:rsid w:val="0008306F"/>
    <w:rsid w:val="000830C1"/>
    <w:rsid w:val="000833A1"/>
    <w:rsid w:val="000837DF"/>
    <w:rsid w:val="00083A23"/>
    <w:rsid w:val="00083A47"/>
    <w:rsid w:val="000842AA"/>
    <w:rsid w:val="00084FAE"/>
    <w:rsid w:val="00085201"/>
    <w:rsid w:val="000859AF"/>
    <w:rsid w:val="00086D05"/>
    <w:rsid w:val="00086D73"/>
    <w:rsid w:val="000873A3"/>
    <w:rsid w:val="000874AC"/>
    <w:rsid w:val="00087D6F"/>
    <w:rsid w:val="00087E26"/>
    <w:rsid w:val="000903B0"/>
    <w:rsid w:val="000904BA"/>
    <w:rsid w:val="00090ACF"/>
    <w:rsid w:val="00090B14"/>
    <w:rsid w:val="00090BF3"/>
    <w:rsid w:val="00090C2D"/>
    <w:rsid w:val="00091212"/>
    <w:rsid w:val="00091A76"/>
    <w:rsid w:val="00091D3B"/>
    <w:rsid w:val="00091DC9"/>
    <w:rsid w:val="00091F75"/>
    <w:rsid w:val="000924FE"/>
    <w:rsid w:val="0009275B"/>
    <w:rsid w:val="000939A0"/>
    <w:rsid w:val="00093DDB"/>
    <w:rsid w:val="000945EA"/>
    <w:rsid w:val="0009474E"/>
    <w:rsid w:val="00094810"/>
    <w:rsid w:val="000949F6"/>
    <w:rsid w:val="000953F1"/>
    <w:rsid w:val="00095654"/>
    <w:rsid w:val="00095730"/>
    <w:rsid w:val="00095B7B"/>
    <w:rsid w:val="00096389"/>
    <w:rsid w:val="00096447"/>
    <w:rsid w:val="00097FC6"/>
    <w:rsid w:val="000A05D7"/>
    <w:rsid w:val="000A076A"/>
    <w:rsid w:val="000A0813"/>
    <w:rsid w:val="000A08EE"/>
    <w:rsid w:val="000A0A4D"/>
    <w:rsid w:val="000A0BBE"/>
    <w:rsid w:val="000A100E"/>
    <w:rsid w:val="000A1112"/>
    <w:rsid w:val="000A1ED5"/>
    <w:rsid w:val="000A1F97"/>
    <w:rsid w:val="000A2E3C"/>
    <w:rsid w:val="000A3128"/>
    <w:rsid w:val="000A37E6"/>
    <w:rsid w:val="000A43D0"/>
    <w:rsid w:val="000A4465"/>
    <w:rsid w:val="000A447C"/>
    <w:rsid w:val="000A4513"/>
    <w:rsid w:val="000A454D"/>
    <w:rsid w:val="000A47F4"/>
    <w:rsid w:val="000A48DA"/>
    <w:rsid w:val="000A4C32"/>
    <w:rsid w:val="000A55A5"/>
    <w:rsid w:val="000A5BDE"/>
    <w:rsid w:val="000A61BC"/>
    <w:rsid w:val="000A6DBC"/>
    <w:rsid w:val="000A7712"/>
    <w:rsid w:val="000A78AD"/>
    <w:rsid w:val="000A7A82"/>
    <w:rsid w:val="000A7AA8"/>
    <w:rsid w:val="000A7ADB"/>
    <w:rsid w:val="000B01C7"/>
    <w:rsid w:val="000B01DE"/>
    <w:rsid w:val="000B021A"/>
    <w:rsid w:val="000B02C3"/>
    <w:rsid w:val="000B0AB8"/>
    <w:rsid w:val="000B0B4E"/>
    <w:rsid w:val="000B0F50"/>
    <w:rsid w:val="000B11AA"/>
    <w:rsid w:val="000B139A"/>
    <w:rsid w:val="000B185E"/>
    <w:rsid w:val="000B1D4A"/>
    <w:rsid w:val="000B243A"/>
    <w:rsid w:val="000B3C62"/>
    <w:rsid w:val="000B3EBD"/>
    <w:rsid w:val="000B48F7"/>
    <w:rsid w:val="000B4E6C"/>
    <w:rsid w:val="000B5554"/>
    <w:rsid w:val="000B5632"/>
    <w:rsid w:val="000B5685"/>
    <w:rsid w:val="000B5BA2"/>
    <w:rsid w:val="000B689F"/>
    <w:rsid w:val="000B6FE6"/>
    <w:rsid w:val="000B708F"/>
    <w:rsid w:val="000B7AAC"/>
    <w:rsid w:val="000B7D9A"/>
    <w:rsid w:val="000C0070"/>
    <w:rsid w:val="000C06F1"/>
    <w:rsid w:val="000C0A5E"/>
    <w:rsid w:val="000C0B2D"/>
    <w:rsid w:val="000C0C0C"/>
    <w:rsid w:val="000C1266"/>
    <w:rsid w:val="000C1A6C"/>
    <w:rsid w:val="000C22BE"/>
    <w:rsid w:val="000C2488"/>
    <w:rsid w:val="000C2713"/>
    <w:rsid w:val="000C29D1"/>
    <w:rsid w:val="000C2D2C"/>
    <w:rsid w:val="000C2FCA"/>
    <w:rsid w:val="000C319B"/>
    <w:rsid w:val="000C3307"/>
    <w:rsid w:val="000C481D"/>
    <w:rsid w:val="000C526D"/>
    <w:rsid w:val="000C5440"/>
    <w:rsid w:val="000C56A6"/>
    <w:rsid w:val="000C59E8"/>
    <w:rsid w:val="000C5B60"/>
    <w:rsid w:val="000C60EE"/>
    <w:rsid w:val="000C666B"/>
    <w:rsid w:val="000C6844"/>
    <w:rsid w:val="000C6DD5"/>
    <w:rsid w:val="000C6F25"/>
    <w:rsid w:val="000C7230"/>
    <w:rsid w:val="000C7BBB"/>
    <w:rsid w:val="000C7D41"/>
    <w:rsid w:val="000D013A"/>
    <w:rsid w:val="000D0286"/>
    <w:rsid w:val="000D031A"/>
    <w:rsid w:val="000D0FD1"/>
    <w:rsid w:val="000D10C7"/>
    <w:rsid w:val="000D1220"/>
    <w:rsid w:val="000D13FA"/>
    <w:rsid w:val="000D1947"/>
    <w:rsid w:val="000D1A0D"/>
    <w:rsid w:val="000D2311"/>
    <w:rsid w:val="000D29E8"/>
    <w:rsid w:val="000D3452"/>
    <w:rsid w:val="000D3858"/>
    <w:rsid w:val="000D4402"/>
    <w:rsid w:val="000D4A4E"/>
    <w:rsid w:val="000D5B7E"/>
    <w:rsid w:val="000D5D5C"/>
    <w:rsid w:val="000D6008"/>
    <w:rsid w:val="000D64E8"/>
    <w:rsid w:val="000D67CD"/>
    <w:rsid w:val="000D68A4"/>
    <w:rsid w:val="000D6A93"/>
    <w:rsid w:val="000D6E67"/>
    <w:rsid w:val="000D7187"/>
    <w:rsid w:val="000D7360"/>
    <w:rsid w:val="000D7579"/>
    <w:rsid w:val="000E01D3"/>
    <w:rsid w:val="000E0AE2"/>
    <w:rsid w:val="000E1523"/>
    <w:rsid w:val="000E208F"/>
    <w:rsid w:val="000E26ED"/>
    <w:rsid w:val="000E2B02"/>
    <w:rsid w:val="000E2BAA"/>
    <w:rsid w:val="000E30D6"/>
    <w:rsid w:val="000E330A"/>
    <w:rsid w:val="000E3B70"/>
    <w:rsid w:val="000E4460"/>
    <w:rsid w:val="000E474F"/>
    <w:rsid w:val="000E4D28"/>
    <w:rsid w:val="000E5675"/>
    <w:rsid w:val="000E5E15"/>
    <w:rsid w:val="000E62CC"/>
    <w:rsid w:val="000E6872"/>
    <w:rsid w:val="000E70A5"/>
    <w:rsid w:val="000E71CC"/>
    <w:rsid w:val="000E7227"/>
    <w:rsid w:val="000E77FD"/>
    <w:rsid w:val="000E7FD7"/>
    <w:rsid w:val="000F0895"/>
    <w:rsid w:val="000F09FF"/>
    <w:rsid w:val="000F114E"/>
    <w:rsid w:val="000F191B"/>
    <w:rsid w:val="000F197E"/>
    <w:rsid w:val="000F2029"/>
    <w:rsid w:val="000F2A3F"/>
    <w:rsid w:val="000F380D"/>
    <w:rsid w:val="000F3EEC"/>
    <w:rsid w:val="000F48DA"/>
    <w:rsid w:val="000F4F89"/>
    <w:rsid w:val="000F5966"/>
    <w:rsid w:val="000F5C1A"/>
    <w:rsid w:val="000F5C38"/>
    <w:rsid w:val="000F6138"/>
    <w:rsid w:val="000F6A60"/>
    <w:rsid w:val="000F759D"/>
    <w:rsid w:val="000F792C"/>
    <w:rsid w:val="000F7D95"/>
    <w:rsid w:val="000F7DA4"/>
    <w:rsid w:val="0010056D"/>
    <w:rsid w:val="00100CA2"/>
    <w:rsid w:val="00100CF4"/>
    <w:rsid w:val="00100DCC"/>
    <w:rsid w:val="00100F5A"/>
    <w:rsid w:val="001013D4"/>
    <w:rsid w:val="00101A0F"/>
    <w:rsid w:val="00102690"/>
    <w:rsid w:val="001035E9"/>
    <w:rsid w:val="001037DD"/>
    <w:rsid w:val="001037E4"/>
    <w:rsid w:val="0010445E"/>
    <w:rsid w:val="0010493A"/>
    <w:rsid w:val="0010498F"/>
    <w:rsid w:val="00104DBD"/>
    <w:rsid w:val="0010555B"/>
    <w:rsid w:val="00105601"/>
    <w:rsid w:val="0010583C"/>
    <w:rsid w:val="00105E42"/>
    <w:rsid w:val="00106858"/>
    <w:rsid w:val="00106A25"/>
    <w:rsid w:val="00106B47"/>
    <w:rsid w:val="00106B5A"/>
    <w:rsid w:val="00106C23"/>
    <w:rsid w:val="00106D14"/>
    <w:rsid w:val="00106F2A"/>
    <w:rsid w:val="00107111"/>
    <w:rsid w:val="00110100"/>
    <w:rsid w:val="00110812"/>
    <w:rsid w:val="00110D15"/>
    <w:rsid w:val="00110DE7"/>
    <w:rsid w:val="00110F17"/>
    <w:rsid w:val="0011175D"/>
    <w:rsid w:val="00111838"/>
    <w:rsid w:val="00111D6F"/>
    <w:rsid w:val="001120EB"/>
    <w:rsid w:val="00112389"/>
    <w:rsid w:val="001123FB"/>
    <w:rsid w:val="00112792"/>
    <w:rsid w:val="00112968"/>
    <w:rsid w:val="001130C9"/>
    <w:rsid w:val="00113505"/>
    <w:rsid w:val="00113940"/>
    <w:rsid w:val="00113AE5"/>
    <w:rsid w:val="00113CF1"/>
    <w:rsid w:val="0011433C"/>
    <w:rsid w:val="00114900"/>
    <w:rsid w:val="00114BAC"/>
    <w:rsid w:val="00114BCE"/>
    <w:rsid w:val="00115122"/>
    <w:rsid w:val="00115EB4"/>
    <w:rsid w:val="0011613C"/>
    <w:rsid w:val="00116178"/>
    <w:rsid w:val="00116B90"/>
    <w:rsid w:val="001174F6"/>
    <w:rsid w:val="001177AA"/>
    <w:rsid w:val="00117A5E"/>
    <w:rsid w:val="00117AFF"/>
    <w:rsid w:val="00117CFE"/>
    <w:rsid w:val="00117D3C"/>
    <w:rsid w:val="00120230"/>
    <w:rsid w:val="0012086A"/>
    <w:rsid w:val="00120AE6"/>
    <w:rsid w:val="00121CC6"/>
    <w:rsid w:val="00121DE9"/>
    <w:rsid w:val="00122321"/>
    <w:rsid w:val="0012271C"/>
    <w:rsid w:val="00122753"/>
    <w:rsid w:val="0012298D"/>
    <w:rsid w:val="00122BD3"/>
    <w:rsid w:val="00122C25"/>
    <w:rsid w:val="00122D34"/>
    <w:rsid w:val="0012301D"/>
    <w:rsid w:val="001233C3"/>
    <w:rsid w:val="00123479"/>
    <w:rsid w:val="001234D4"/>
    <w:rsid w:val="0012376E"/>
    <w:rsid w:val="00123A5A"/>
    <w:rsid w:val="00124353"/>
    <w:rsid w:val="00124540"/>
    <w:rsid w:val="0012457A"/>
    <w:rsid w:val="001248E3"/>
    <w:rsid w:val="0012508B"/>
    <w:rsid w:val="00125671"/>
    <w:rsid w:val="001256B9"/>
    <w:rsid w:val="00125B75"/>
    <w:rsid w:val="00125FDC"/>
    <w:rsid w:val="00126139"/>
    <w:rsid w:val="0012676D"/>
    <w:rsid w:val="00126896"/>
    <w:rsid w:val="0012694D"/>
    <w:rsid w:val="00126A2E"/>
    <w:rsid w:val="00126E69"/>
    <w:rsid w:val="00127053"/>
    <w:rsid w:val="001272CF"/>
    <w:rsid w:val="00127498"/>
    <w:rsid w:val="00127857"/>
    <w:rsid w:val="00127DE8"/>
    <w:rsid w:val="00130000"/>
    <w:rsid w:val="00130225"/>
    <w:rsid w:val="00130D7A"/>
    <w:rsid w:val="00131077"/>
    <w:rsid w:val="001310D4"/>
    <w:rsid w:val="00131228"/>
    <w:rsid w:val="00131A62"/>
    <w:rsid w:val="00132A5E"/>
    <w:rsid w:val="00132DC5"/>
    <w:rsid w:val="00132E7C"/>
    <w:rsid w:val="00132F77"/>
    <w:rsid w:val="001330B1"/>
    <w:rsid w:val="001333A0"/>
    <w:rsid w:val="001338CF"/>
    <w:rsid w:val="00133BB9"/>
    <w:rsid w:val="00133BF1"/>
    <w:rsid w:val="00133CC6"/>
    <w:rsid w:val="00133E05"/>
    <w:rsid w:val="00133F2F"/>
    <w:rsid w:val="001341AD"/>
    <w:rsid w:val="001348F3"/>
    <w:rsid w:val="00134F3B"/>
    <w:rsid w:val="00135756"/>
    <w:rsid w:val="00135E1E"/>
    <w:rsid w:val="00135EA7"/>
    <w:rsid w:val="00137BE9"/>
    <w:rsid w:val="0014007F"/>
    <w:rsid w:val="001400E4"/>
    <w:rsid w:val="00140425"/>
    <w:rsid w:val="00140568"/>
    <w:rsid w:val="0014129B"/>
    <w:rsid w:val="001416B6"/>
    <w:rsid w:val="001416F9"/>
    <w:rsid w:val="00141F7F"/>
    <w:rsid w:val="0014206C"/>
    <w:rsid w:val="0014275A"/>
    <w:rsid w:val="00142ECC"/>
    <w:rsid w:val="00142F3E"/>
    <w:rsid w:val="0014326E"/>
    <w:rsid w:val="001433B2"/>
    <w:rsid w:val="0014351A"/>
    <w:rsid w:val="00143803"/>
    <w:rsid w:val="00143F41"/>
    <w:rsid w:val="00144049"/>
    <w:rsid w:val="00144375"/>
    <w:rsid w:val="0014438F"/>
    <w:rsid w:val="00144417"/>
    <w:rsid w:val="00144C7B"/>
    <w:rsid w:val="00145100"/>
    <w:rsid w:val="00145112"/>
    <w:rsid w:val="0014514A"/>
    <w:rsid w:val="00145220"/>
    <w:rsid w:val="00145788"/>
    <w:rsid w:val="001459F2"/>
    <w:rsid w:val="00145A98"/>
    <w:rsid w:val="00145C18"/>
    <w:rsid w:val="00145D08"/>
    <w:rsid w:val="00145D21"/>
    <w:rsid w:val="0014665A"/>
    <w:rsid w:val="001469B2"/>
    <w:rsid w:val="00146ABF"/>
    <w:rsid w:val="00147069"/>
    <w:rsid w:val="001473F6"/>
    <w:rsid w:val="00147756"/>
    <w:rsid w:val="00147AFD"/>
    <w:rsid w:val="00147E36"/>
    <w:rsid w:val="0015040E"/>
    <w:rsid w:val="00150A37"/>
    <w:rsid w:val="00150A60"/>
    <w:rsid w:val="00150DC2"/>
    <w:rsid w:val="00151F87"/>
    <w:rsid w:val="001529C8"/>
    <w:rsid w:val="00152ABE"/>
    <w:rsid w:val="00153FB5"/>
    <w:rsid w:val="00155740"/>
    <w:rsid w:val="00155E01"/>
    <w:rsid w:val="00157029"/>
    <w:rsid w:val="001575E6"/>
    <w:rsid w:val="00157E99"/>
    <w:rsid w:val="001607E8"/>
    <w:rsid w:val="00160C84"/>
    <w:rsid w:val="00161864"/>
    <w:rsid w:val="00161E5C"/>
    <w:rsid w:val="00162013"/>
    <w:rsid w:val="00162340"/>
    <w:rsid w:val="00162731"/>
    <w:rsid w:val="00163130"/>
    <w:rsid w:val="001636AA"/>
    <w:rsid w:val="00163C95"/>
    <w:rsid w:val="00163E25"/>
    <w:rsid w:val="00164117"/>
    <w:rsid w:val="00164190"/>
    <w:rsid w:val="001645D6"/>
    <w:rsid w:val="001649FF"/>
    <w:rsid w:val="001655F3"/>
    <w:rsid w:val="00165B64"/>
    <w:rsid w:val="00165BB1"/>
    <w:rsid w:val="00165BDE"/>
    <w:rsid w:val="00165DFA"/>
    <w:rsid w:val="00165E83"/>
    <w:rsid w:val="0016625A"/>
    <w:rsid w:val="001662BC"/>
    <w:rsid w:val="00166602"/>
    <w:rsid w:val="0016699A"/>
    <w:rsid w:val="00166ADF"/>
    <w:rsid w:val="00167621"/>
    <w:rsid w:val="00167890"/>
    <w:rsid w:val="00167BB9"/>
    <w:rsid w:val="001701C9"/>
    <w:rsid w:val="001705BA"/>
    <w:rsid w:val="001712F0"/>
    <w:rsid w:val="0017134F"/>
    <w:rsid w:val="001718D3"/>
    <w:rsid w:val="00171BBB"/>
    <w:rsid w:val="00172939"/>
    <w:rsid w:val="00172F93"/>
    <w:rsid w:val="00173D4E"/>
    <w:rsid w:val="00174044"/>
    <w:rsid w:val="001743A2"/>
    <w:rsid w:val="00174501"/>
    <w:rsid w:val="0017458A"/>
    <w:rsid w:val="001747A0"/>
    <w:rsid w:val="00174939"/>
    <w:rsid w:val="00174BCD"/>
    <w:rsid w:val="00175B0B"/>
    <w:rsid w:val="00175B0D"/>
    <w:rsid w:val="00175EA7"/>
    <w:rsid w:val="001760CF"/>
    <w:rsid w:val="0017676A"/>
    <w:rsid w:val="001769FD"/>
    <w:rsid w:val="00176A37"/>
    <w:rsid w:val="00176B9F"/>
    <w:rsid w:val="00177012"/>
    <w:rsid w:val="001773A6"/>
    <w:rsid w:val="00177A19"/>
    <w:rsid w:val="001801E7"/>
    <w:rsid w:val="00180A0B"/>
    <w:rsid w:val="00180A86"/>
    <w:rsid w:val="00181613"/>
    <w:rsid w:val="00181685"/>
    <w:rsid w:val="001826AA"/>
    <w:rsid w:val="00182C47"/>
    <w:rsid w:val="00182E99"/>
    <w:rsid w:val="00183244"/>
    <w:rsid w:val="001833DC"/>
    <w:rsid w:val="00183827"/>
    <w:rsid w:val="001842C7"/>
    <w:rsid w:val="001842CA"/>
    <w:rsid w:val="00184390"/>
    <w:rsid w:val="0018441F"/>
    <w:rsid w:val="00184785"/>
    <w:rsid w:val="00185915"/>
    <w:rsid w:val="00185CBE"/>
    <w:rsid w:val="00186787"/>
    <w:rsid w:val="00186793"/>
    <w:rsid w:val="00186B37"/>
    <w:rsid w:val="00186F4C"/>
    <w:rsid w:val="001875D3"/>
    <w:rsid w:val="00187EBA"/>
    <w:rsid w:val="001907CD"/>
    <w:rsid w:val="00191026"/>
    <w:rsid w:val="00191137"/>
    <w:rsid w:val="00191269"/>
    <w:rsid w:val="0019166B"/>
    <w:rsid w:val="001921D6"/>
    <w:rsid w:val="001928B2"/>
    <w:rsid w:val="00192ACF"/>
    <w:rsid w:val="00192F33"/>
    <w:rsid w:val="00192FCC"/>
    <w:rsid w:val="00193212"/>
    <w:rsid w:val="0019331E"/>
    <w:rsid w:val="001934D6"/>
    <w:rsid w:val="001939E7"/>
    <w:rsid w:val="00193C8D"/>
    <w:rsid w:val="00193D18"/>
    <w:rsid w:val="00194502"/>
    <w:rsid w:val="00194845"/>
    <w:rsid w:val="001949F2"/>
    <w:rsid w:val="00194B55"/>
    <w:rsid w:val="0019514E"/>
    <w:rsid w:val="001953C5"/>
    <w:rsid w:val="00195A1C"/>
    <w:rsid w:val="00195D5A"/>
    <w:rsid w:val="0019729F"/>
    <w:rsid w:val="0019745E"/>
    <w:rsid w:val="0019783D"/>
    <w:rsid w:val="00197C8B"/>
    <w:rsid w:val="00197D12"/>
    <w:rsid w:val="00197D4D"/>
    <w:rsid w:val="00197F54"/>
    <w:rsid w:val="001A00BE"/>
    <w:rsid w:val="001A0AFD"/>
    <w:rsid w:val="001A12EA"/>
    <w:rsid w:val="001A132A"/>
    <w:rsid w:val="001A140C"/>
    <w:rsid w:val="001A166A"/>
    <w:rsid w:val="001A1761"/>
    <w:rsid w:val="001A1859"/>
    <w:rsid w:val="001A1A1A"/>
    <w:rsid w:val="001A1F07"/>
    <w:rsid w:val="001A2579"/>
    <w:rsid w:val="001A2A49"/>
    <w:rsid w:val="001A2FB6"/>
    <w:rsid w:val="001A3253"/>
    <w:rsid w:val="001A3523"/>
    <w:rsid w:val="001A3FF7"/>
    <w:rsid w:val="001A43EA"/>
    <w:rsid w:val="001A46A7"/>
    <w:rsid w:val="001A47A0"/>
    <w:rsid w:val="001A4A2C"/>
    <w:rsid w:val="001A5552"/>
    <w:rsid w:val="001A5606"/>
    <w:rsid w:val="001A58A1"/>
    <w:rsid w:val="001A59AD"/>
    <w:rsid w:val="001A5DB8"/>
    <w:rsid w:val="001A5FED"/>
    <w:rsid w:val="001A6258"/>
    <w:rsid w:val="001A62DE"/>
    <w:rsid w:val="001A68C8"/>
    <w:rsid w:val="001A6A8B"/>
    <w:rsid w:val="001A6C61"/>
    <w:rsid w:val="001A6DBD"/>
    <w:rsid w:val="001A70FA"/>
    <w:rsid w:val="001A7A86"/>
    <w:rsid w:val="001A7D0E"/>
    <w:rsid w:val="001B0590"/>
    <w:rsid w:val="001B0732"/>
    <w:rsid w:val="001B0F2E"/>
    <w:rsid w:val="001B1235"/>
    <w:rsid w:val="001B1598"/>
    <w:rsid w:val="001B18F6"/>
    <w:rsid w:val="001B1DE6"/>
    <w:rsid w:val="001B24E7"/>
    <w:rsid w:val="001B2512"/>
    <w:rsid w:val="001B262C"/>
    <w:rsid w:val="001B3378"/>
    <w:rsid w:val="001B3632"/>
    <w:rsid w:val="001B37BA"/>
    <w:rsid w:val="001B38F4"/>
    <w:rsid w:val="001B3A02"/>
    <w:rsid w:val="001B3D80"/>
    <w:rsid w:val="001B4320"/>
    <w:rsid w:val="001B45AE"/>
    <w:rsid w:val="001B4677"/>
    <w:rsid w:val="001B48BF"/>
    <w:rsid w:val="001B4ABB"/>
    <w:rsid w:val="001B4FA4"/>
    <w:rsid w:val="001B519D"/>
    <w:rsid w:val="001B5DF4"/>
    <w:rsid w:val="001B615B"/>
    <w:rsid w:val="001B6779"/>
    <w:rsid w:val="001B6C0B"/>
    <w:rsid w:val="001B7308"/>
    <w:rsid w:val="001B73BB"/>
    <w:rsid w:val="001B75D0"/>
    <w:rsid w:val="001B7600"/>
    <w:rsid w:val="001B7E09"/>
    <w:rsid w:val="001C06AB"/>
    <w:rsid w:val="001C0B15"/>
    <w:rsid w:val="001C1721"/>
    <w:rsid w:val="001C1AA8"/>
    <w:rsid w:val="001C1B6F"/>
    <w:rsid w:val="001C1C3A"/>
    <w:rsid w:val="001C1C6F"/>
    <w:rsid w:val="001C3055"/>
    <w:rsid w:val="001C3E9F"/>
    <w:rsid w:val="001C4442"/>
    <w:rsid w:val="001C453E"/>
    <w:rsid w:val="001C539D"/>
    <w:rsid w:val="001C5758"/>
    <w:rsid w:val="001C5E6A"/>
    <w:rsid w:val="001C6452"/>
    <w:rsid w:val="001C6B77"/>
    <w:rsid w:val="001C6D9E"/>
    <w:rsid w:val="001C709D"/>
    <w:rsid w:val="001C7135"/>
    <w:rsid w:val="001C7349"/>
    <w:rsid w:val="001C77DE"/>
    <w:rsid w:val="001C78BF"/>
    <w:rsid w:val="001C7945"/>
    <w:rsid w:val="001C7C37"/>
    <w:rsid w:val="001C7C9C"/>
    <w:rsid w:val="001D061B"/>
    <w:rsid w:val="001D1D37"/>
    <w:rsid w:val="001D21AE"/>
    <w:rsid w:val="001D2502"/>
    <w:rsid w:val="001D2678"/>
    <w:rsid w:val="001D28E4"/>
    <w:rsid w:val="001D2B97"/>
    <w:rsid w:val="001D30FB"/>
    <w:rsid w:val="001D3239"/>
    <w:rsid w:val="001D3315"/>
    <w:rsid w:val="001D392C"/>
    <w:rsid w:val="001D41F4"/>
    <w:rsid w:val="001D4735"/>
    <w:rsid w:val="001D4EB9"/>
    <w:rsid w:val="001D4EE9"/>
    <w:rsid w:val="001D5F83"/>
    <w:rsid w:val="001D60D3"/>
    <w:rsid w:val="001D63B4"/>
    <w:rsid w:val="001D69FF"/>
    <w:rsid w:val="001D716A"/>
    <w:rsid w:val="001D74E1"/>
    <w:rsid w:val="001D7611"/>
    <w:rsid w:val="001D7984"/>
    <w:rsid w:val="001E04A7"/>
    <w:rsid w:val="001E06CA"/>
    <w:rsid w:val="001E0B3D"/>
    <w:rsid w:val="001E0C01"/>
    <w:rsid w:val="001E0F77"/>
    <w:rsid w:val="001E0FBF"/>
    <w:rsid w:val="001E10D9"/>
    <w:rsid w:val="001E17AF"/>
    <w:rsid w:val="001E183B"/>
    <w:rsid w:val="001E1944"/>
    <w:rsid w:val="001E1C53"/>
    <w:rsid w:val="001E1EAD"/>
    <w:rsid w:val="001E1F63"/>
    <w:rsid w:val="001E2089"/>
    <w:rsid w:val="001E222B"/>
    <w:rsid w:val="001E2910"/>
    <w:rsid w:val="001E2993"/>
    <w:rsid w:val="001E2BAA"/>
    <w:rsid w:val="001E2C6A"/>
    <w:rsid w:val="001E3244"/>
    <w:rsid w:val="001E3719"/>
    <w:rsid w:val="001E37CE"/>
    <w:rsid w:val="001E3C00"/>
    <w:rsid w:val="001E3DEC"/>
    <w:rsid w:val="001E40F1"/>
    <w:rsid w:val="001E44FE"/>
    <w:rsid w:val="001E4D26"/>
    <w:rsid w:val="001E4D67"/>
    <w:rsid w:val="001E5005"/>
    <w:rsid w:val="001E53C6"/>
    <w:rsid w:val="001E5409"/>
    <w:rsid w:val="001E55E9"/>
    <w:rsid w:val="001E5BD1"/>
    <w:rsid w:val="001E5C32"/>
    <w:rsid w:val="001E5C75"/>
    <w:rsid w:val="001E6A61"/>
    <w:rsid w:val="001E6AD0"/>
    <w:rsid w:val="001E6FF3"/>
    <w:rsid w:val="001E72A8"/>
    <w:rsid w:val="001E7A3C"/>
    <w:rsid w:val="001F0246"/>
    <w:rsid w:val="001F0A31"/>
    <w:rsid w:val="001F0F66"/>
    <w:rsid w:val="001F19F1"/>
    <w:rsid w:val="001F1D84"/>
    <w:rsid w:val="001F243B"/>
    <w:rsid w:val="001F2DC0"/>
    <w:rsid w:val="001F384A"/>
    <w:rsid w:val="001F3C5E"/>
    <w:rsid w:val="001F3E75"/>
    <w:rsid w:val="001F4A25"/>
    <w:rsid w:val="001F52DD"/>
    <w:rsid w:val="001F549B"/>
    <w:rsid w:val="001F55FE"/>
    <w:rsid w:val="001F5C5D"/>
    <w:rsid w:val="001F5CA6"/>
    <w:rsid w:val="001F61B1"/>
    <w:rsid w:val="001F62AF"/>
    <w:rsid w:val="001F7200"/>
    <w:rsid w:val="001F7322"/>
    <w:rsid w:val="001F7A2F"/>
    <w:rsid w:val="00200035"/>
    <w:rsid w:val="002000D8"/>
    <w:rsid w:val="00200873"/>
    <w:rsid w:val="0020098A"/>
    <w:rsid w:val="00200A61"/>
    <w:rsid w:val="00201229"/>
    <w:rsid w:val="0020138B"/>
    <w:rsid w:val="0020153F"/>
    <w:rsid w:val="00201682"/>
    <w:rsid w:val="00201917"/>
    <w:rsid w:val="00201F98"/>
    <w:rsid w:val="002025EE"/>
    <w:rsid w:val="00202AD8"/>
    <w:rsid w:val="00202BC1"/>
    <w:rsid w:val="00202E39"/>
    <w:rsid w:val="002033C3"/>
    <w:rsid w:val="00203C2E"/>
    <w:rsid w:val="00203E0B"/>
    <w:rsid w:val="00204A47"/>
    <w:rsid w:val="00204F64"/>
    <w:rsid w:val="00205030"/>
    <w:rsid w:val="002055EB"/>
    <w:rsid w:val="002057BB"/>
    <w:rsid w:val="00205914"/>
    <w:rsid w:val="00205C60"/>
    <w:rsid w:val="00206194"/>
    <w:rsid w:val="00206422"/>
    <w:rsid w:val="002074AE"/>
    <w:rsid w:val="00207A99"/>
    <w:rsid w:val="00210215"/>
    <w:rsid w:val="002103BD"/>
    <w:rsid w:val="002104D4"/>
    <w:rsid w:val="002106CB"/>
    <w:rsid w:val="002107A5"/>
    <w:rsid w:val="00210AAB"/>
    <w:rsid w:val="00210BC7"/>
    <w:rsid w:val="00211004"/>
    <w:rsid w:val="002110FF"/>
    <w:rsid w:val="002113AA"/>
    <w:rsid w:val="0021173D"/>
    <w:rsid w:val="00211EBA"/>
    <w:rsid w:val="00212164"/>
    <w:rsid w:val="00212857"/>
    <w:rsid w:val="00212F18"/>
    <w:rsid w:val="00213606"/>
    <w:rsid w:val="00214113"/>
    <w:rsid w:val="00214726"/>
    <w:rsid w:val="00214EFB"/>
    <w:rsid w:val="002159E4"/>
    <w:rsid w:val="00215BF9"/>
    <w:rsid w:val="0021613C"/>
    <w:rsid w:val="00216296"/>
    <w:rsid w:val="002164F0"/>
    <w:rsid w:val="00216953"/>
    <w:rsid w:val="0021724A"/>
    <w:rsid w:val="002173F4"/>
    <w:rsid w:val="00217B75"/>
    <w:rsid w:val="00217D02"/>
    <w:rsid w:val="0022057C"/>
    <w:rsid w:val="00220CFB"/>
    <w:rsid w:val="00220DD9"/>
    <w:rsid w:val="00221CFE"/>
    <w:rsid w:val="00222131"/>
    <w:rsid w:val="002223B6"/>
    <w:rsid w:val="00222628"/>
    <w:rsid w:val="002226BE"/>
    <w:rsid w:val="00222AD4"/>
    <w:rsid w:val="00223580"/>
    <w:rsid w:val="00223700"/>
    <w:rsid w:val="00223ACE"/>
    <w:rsid w:val="00223BF1"/>
    <w:rsid w:val="00223D80"/>
    <w:rsid w:val="00223FF5"/>
    <w:rsid w:val="00224609"/>
    <w:rsid w:val="002250E5"/>
    <w:rsid w:val="00225789"/>
    <w:rsid w:val="00225DAC"/>
    <w:rsid w:val="00225F42"/>
    <w:rsid w:val="00225FFE"/>
    <w:rsid w:val="002264A4"/>
    <w:rsid w:val="002264B5"/>
    <w:rsid w:val="00226DEB"/>
    <w:rsid w:val="002276C2"/>
    <w:rsid w:val="00227B66"/>
    <w:rsid w:val="00227EE7"/>
    <w:rsid w:val="00230140"/>
    <w:rsid w:val="0023062D"/>
    <w:rsid w:val="00230959"/>
    <w:rsid w:val="00230E9F"/>
    <w:rsid w:val="00230F2F"/>
    <w:rsid w:val="00230F33"/>
    <w:rsid w:val="00232039"/>
    <w:rsid w:val="0023220A"/>
    <w:rsid w:val="0023264C"/>
    <w:rsid w:val="00232C5C"/>
    <w:rsid w:val="002332A2"/>
    <w:rsid w:val="002333BB"/>
    <w:rsid w:val="00233459"/>
    <w:rsid w:val="00233D00"/>
    <w:rsid w:val="00233EEE"/>
    <w:rsid w:val="0023443A"/>
    <w:rsid w:val="00234736"/>
    <w:rsid w:val="00235063"/>
    <w:rsid w:val="002350BC"/>
    <w:rsid w:val="00236302"/>
    <w:rsid w:val="002365D0"/>
    <w:rsid w:val="00236621"/>
    <w:rsid w:val="00236DA7"/>
    <w:rsid w:val="00236F87"/>
    <w:rsid w:val="00237222"/>
    <w:rsid w:val="00237286"/>
    <w:rsid w:val="002375D1"/>
    <w:rsid w:val="00237F6D"/>
    <w:rsid w:val="00240294"/>
    <w:rsid w:val="00240A9F"/>
    <w:rsid w:val="002414EE"/>
    <w:rsid w:val="002414F7"/>
    <w:rsid w:val="00241D29"/>
    <w:rsid w:val="002425A4"/>
    <w:rsid w:val="00242A8B"/>
    <w:rsid w:val="00244075"/>
    <w:rsid w:val="002447C2"/>
    <w:rsid w:val="00244B58"/>
    <w:rsid w:val="00244F15"/>
    <w:rsid w:val="00245212"/>
    <w:rsid w:val="00246579"/>
    <w:rsid w:val="00246643"/>
    <w:rsid w:val="00246844"/>
    <w:rsid w:val="002468F8"/>
    <w:rsid w:val="002469DA"/>
    <w:rsid w:val="002470E3"/>
    <w:rsid w:val="0024723D"/>
    <w:rsid w:val="00247359"/>
    <w:rsid w:val="002474EA"/>
    <w:rsid w:val="00247DDD"/>
    <w:rsid w:val="00247E6F"/>
    <w:rsid w:val="002503B5"/>
    <w:rsid w:val="002507FD"/>
    <w:rsid w:val="00250AFB"/>
    <w:rsid w:val="002511B6"/>
    <w:rsid w:val="00251394"/>
    <w:rsid w:val="002518C3"/>
    <w:rsid w:val="00251DE7"/>
    <w:rsid w:val="00251F73"/>
    <w:rsid w:val="00252046"/>
    <w:rsid w:val="002520EE"/>
    <w:rsid w:val="00252602"/>
    <w:rsid w:val="002527A3"/>
    <w:rsid w:val="00252A2D"/>
    <w:rsid w:val="002531DD"/>
    <w:rsid w:val="002531FA"/>
    <w:rsid w:val="0025325C"/>
    <w:rsid w:val="00253EC8"/>
    <w:rsid w:val="00253F4D"/>
    <w:rsid w:val="00253FA7"/>
    <w:rsid w:val="00254311"/>
    <w:rsid w:val="002546BE"/>
    <w:rsid w:val="00254A1E"/>
    <w:rsid w:val="00254B16"/>
    <w:rsid w:val="00254EB8"/>
    <w:rsid w:val="00254F02"/>
    <w:rsid w:val="00255F92"/>
    <w:rsid w:val="00255FCC"/>
    <w:rsid w:val="00256B48"/>
    <w:rsid w:val="00256F7F"/>
    <w:rsid w:val="002575DC"/>
    <w:rsid w:val="00260838"/>
    <w:rsid w:val="00260CA6"/>
    <w:rsid w:val="0026199B"/>
    <w:rsid w:val="002619CF"/>
    <w:rsid w:val="00261B9E"/>
    <w:rsid w:val="00262FAF"/>
    <w:rsid w:val="00262FE2"/>
    <w:rsid w:val="00263204"/>
    <w:rsid w:val="002638D2"/>
    <w:rsid w:val="00264B7F"/>
    <w:rsid w:val="0026562B"/>
    <w:rsid w:val="0026699E"/>
    <w:rsid w:val="00266B26"/>
    <w:rsid w:val="00266B6A"/>
    <w:rsid w:val="00266BFA"/>
    <w:rsid w:val="00266DCE"/>
    <w:rsid w:val="00266FA3"/>
    <w:rsid w:val="00267159"/>
    <w:rsid w:val="002678CD"/>
    <w:rsid w:val="00267987"/>
    <w:rsid w:val="0027052C"/>
    <w:rsid w:val="002706B9"/>
    <w:rsid w:val="00270DF5"/>
    <w:rsid w:val="002712CF"/>
    <w:rsid w:val="002716D6"/>
    <w:rsid w:val="00271764"/>
    <w:rsid w:val="00271A16"/>
    <w:rsid w:val="00271CEB"/>
    <w:rsid w:val="00272B4F"/>
    <w:rsid w:val="00272EBF"/>
    <w:rsid w:val="0027347F"/>
    <w:rsid w:val="00274066"/>
    <w:rsid w:val="0027436E"/>
    <w:rsid w:val="002747CE"/>
    <w:rsid w:val="00274D22"/>
    <w:rsid w:val="00274E5A"/>
    <w:rsid w:val="002757C1"/>
    <w:rsid w:val="00275B9E"/>
    <w:rsid w:val="00276368"/>
    <w:rsid w:val="002763AF"/>
    <w:rsid w:val="00276500"/>
    <w:rsid w:val="00276571"/>
    <w:rsid w:val="00276669"/>
    <w:rsid w:val="00276CF6"/>
    <w:rsid w:val="00276DE8"/>
    <w:rsid w:val="00277207"/>
    <w:rsid w:val="00277337"/>
    <w:rsid w:val="0027762C"/>
    <w:rsid w:val="002776E2"/>
    <w:rsid w:val="00277943"/>
    <w:rsid w:val="002779D3"/>
    <w:rsid w:val="002807E7"/>
    <w:rsid w:val="00280C33"/>
    <w:rsid w:val="00280CD2"/>
    <w:rsid w:val="002815AC"/>
    <w:rsid w:val="0028206E"/>
    <w:rsid w:val="002825FC"/>
    <w:rsid w:val="00282899"/>
    <w:rsid w:val="00282EAE"/>
    <w:rsid w:val="00283198"/>
    <w:rsid w:val="0028361F"/>
    <w:rsid w:val="002839A8"/>
    <w:rsid w:val="00284039"/>
    <w:rsid w:val="002840B6"/>
    <w:rsid w:val="0028474F"/>
    <w:rsid w:val="0028483A"/>
    <w:rsid w:val="00284C19"/>
    <w:rsid w:val="00284DA2"/>
    <w:rsid w:val="0028550A"/>
    <w:rsid w:val="0028557E"/>
    <w:rsid w:val="002859BA"/>
    <w:rsid w:val="00286673"/>
    <w:rsid w:val="00286D72"/>
    <w:rsid w:val="002871AD"/>
    <w:rsid w:val="0028733F"/>
    <w:rsid w:val="0028735A"/>
    <w:rsid w:val="00287E8F"/>
    <w:rsid w:val="00290499"/>
    <w:rsid w:val="00290DA5"/>
    <w:rsid w:val="00290E9C"/>
    <w:rsid w:val="00291378"/>
    <w:rsid w:val="002917AB"/>
    <w:rsid w:val="00291919"/>
    <w:rsid w:val="002920B4"/>
    <w:rsid w:val="0029211F"/>
    <w:rsid w:val="00292169"/>
    <w:rsid w:val="0029229B"/>
    <w:rsid w:val="0029308A"/>
    <w:rsid w:val="0029329A"/>
    <w:rsid w:val="00293317"/>
    <w:rsid w:val="00293442"/>
    <w:rsid w:val="002937B4"/>
    <w:rsid w:val="00294495"/>
    <w:rsid w:val="00294854"/>
    <w:rsid w:val="00294A85"/>
    <w:rsid w:val="00294AAF"/>
    <w:rsid w:val="00294C1D"/>
    <w:rsid w:val="00294E91"/>
    <w:rsid w:val="00295443"/>
    <w:rsid w:val="00295468"/>
    <w:rsid w:val="00295A88"/>
    <w:rsid w:val="002961A2"/>
    <w:rsid w:val="0029638A"/>
    <w:rsid w:val="002964C0"/>
    <w:rsid w:val="00296721"/>
    <w:rsid w:val="00296DCB"/>
    <w:rsid w:val="00296E50"/>
    <w:rsid w:val="0029712E"/>
    <w:rsid w:val="0029772D"/>
    <w:rsid w:val="00297D74"/>
    <w:rsid w:val="002A03E6"/>
    <w:rsid w:val="002A04B3"/>
    <w:rsid w:val="002A0DD6"/>
    <w:rsid w:val="002A0F4F"/>
    <w:rsid w:val="002A1555"/>
    <w:rsid w:val="002A1F88"/>
    <w:rsid w:val="002A2465"/>
    <w:rsid w:val="002A29AA"/>
    <w:rsid w:val="002A2FDA"/>
    <w:rsid w:val="002A34B1"/>
    <w:rsid w:val="002A3942"/>
    <w:rsid w:val="002A3C87"/>
    <w:rsid w:val="002A56D4"/>
    <w:rsid w:val="002A5F14"/>
    <w:rsid w:val="002A67EA"/>
    <w:rsid w:val="002A6DAC"/>
    <w:rsid w:val="002A7347"/>
    <w:rsid w:val="002A7501"/>
    <w:rsid w:val="002A76A2"/>
    <w:rsid w:val="002A7FB0"/>
    <w:rsid w:val="002B005B"/>
    <w:rsid w:val="002B01DE"/>
    <w:rsid w:val="002B0B40"/>
    <w:rsid w:val="002B1256"/>
    <w:rsid w:val="002B16AC"/>
    <w:rsid w:val="002B2242"/>
    <w:rsid w:val="002B28F0"/>
    <w:rsid w:val="002B2CF0"/>
    <w:rsid w:val="002B2D96"/>
    <w:rsid w:val="002B2FE1"/>
    <w:rsid w:val="002B3BCE"/>
    <w:rsid w:val="002B421B"/>
    <w:rsid w:val="002B4225"/>
    <w:rsid w:val="002B43D4"/>
    <w:rsid w:val="002B451E"/>
    <w:rsid w:val="002B48AA"/>
    <w:rsid w:val="002B5132"/>
    <w:rsid w:val="002B55EF"/>
    <w:rsid w:val="002B5624"/>
    <w:rsid w:val="002B5FC5"/>
    <w:rsid w:val="002B6439"/>
    <w:rsid w:val="002B672B"/>
    <w:rsid w:val="002B6879"/>
    <w:rsid w:val="002B6885"/>
    <w:rsid w:val="002B703F"/>
    <w:rsid w:val="002B75A9"/>
    <w:rsid w:val="002B7A60"/>
    <w:rsid w:val="002B7C7F"/>
    <w:rsid w:val="002B7D3B"/>
    <w:rsid w:val="002B7D53"/>
    <w:rsid w:val="002B7EE3"/>
    <w:rsid w:val="002C00B8"/>
    <w:rsid w:val="002C09A7"/>
    <w:rsid w:val="002C0A09"/>
    <w:rsid w:val="002C17F8"/>
    <w:rsid w:val="002C1BE4"/>
    <w:rsid w:val="002C1FE5"/>
    <w:rsid w:val="002C2091"/>
    <w:rsid w:val="002C23B0"/>
    <w:rsid w:val="002C3397"/>
    <w:rsid w:val="002C352B"/>
    <w:rsid w:val="002C40D9"/>
    <w:rsid w:val="002C44AF"/>
    <w:rsid w:val="002C4538"/>
    <w:rsid w:val="002C4561"/>
    <w:rsid w:val="002C4B6D"/>
    <w:rsid w:val="002C53CF"/>
    <w:rsid w:val="002C5708"/>
    <w:rsid w:val="002C64B7"/>
    <w:rsid w:val="002C67B2"/>
    <w:rsid w:val="002C67B9"/>
    <w:rsid w:val="002C6BC3"/>
    <w:rsid w:val="002C6EE9"/>
    <w:rsid w:val="002C6F0A"/>
    <w:rsid w:val="002C713F"/>
    <w:rsid w:val="002C7E4B"/>
    <w:rsid w:val="002D0079"/>
    <w:rsid w:val="002D01CE"/>
    <w:rsid w:val="002D05A7"/>
    <w:rsid w:val="002D0C06"/>
    <w:rsid w:val="002D1029"/>
    <w:rsid w:val="002D11BE"/>
    <w:rsid w:val="002D176C"/>
    <w:rsid w:val="002D18EF"/>
    <w:rsid w:val="002D2302"/>
    <w:rsid w:val="002D289E"/>
    <w:rsid w:val="002D295D"/>
    <w:rsid w:val="002D2E5A"/>
    <w:rsid w:val="002D2E85"/>
    <w:rsid w:val="002D361C"/>
    <w:rsid w:val="002D3946"/>
    <w:rsid w:val="002D3A35"/>
    <w:rsid w:val="002D3B63"/>
    <w:rsid w:val="002D3BFA"/>
    <w:rsid w:val="002D40B0"/>
    <w:rsid w:val="002D430E"/>
    <w:rsid w:val="002D4384"/>
    <w:rsid w:val="002D4992"/>
    <w:rsid w:val="002D4C75"/>
    <w:rsid w:val="002D4D43"/>
    <w:rsid w:val="002D5896"/>
    <w:rsid w:val="002D5A2A"/>
    <w:rsid w:val="002D5A87"/>
    <w:rsid w:val="002D6157"/>
    <w:rsid w:val="002D62DB"/>
    <w:rsid w:val="002D6A92"/>
    <w:rsid w:val="002D6CF4"/>
    <w:rsid w:val="002D7530"/>
    <w:rsid w:val="002E0542"/>
    <w:rsid w:val="002E057B"/>
    <w:rsid w:val="002E0588"/>
    <w:rsid w:val="002E076B"/>
    <w:rsid w:val="002E0967"/>
    <w:rsid w:val="002E0D97"/>
    <w:rsid w:val="002E113F"/>
    <w:rsid w:val="002E120E"/>
    <w:rsid w:val="002E20F5"/>
    <w:rsid w:val="002E2241"/>
    <w:rsid w:val="002E24E4"/>
    <w:rsid w:val="002E27D8"/>
    <w:rsid w:val="002E2A1E"/>
    <w:rsid w:val="002E2A63"/>
    <w:rsid w:val="002E329A"/>
    <w:rsid w:val="002E374A"/>
    <w:rsid w:val="002E4291"/>
    <w:rsid w:val="002E46AD"/>
    <w:rsid w:val="002E49C3"/>
    <w:rsid w:val="002E4C92"/>
    <w:rsid w:val="002E4D93"/>
    <w:rsid w:val="002E5860"/>
    <w:rsid w:val="002E5D87"/>
    <w:rsid w:val="002E61C9"/>
    <w:rsid w:val="002E64B4"/>
    <w:rsid w:val="002E66E4"/>
    <w:rsid w:val="002E6A42"/>
    <w:rsid w:val="002E6D92"/>
    <w:rsid w:val="002E6EFF"/>
    <w:rsid w:val="002E7E6F"/>
    <w:rsid w:val="002F02F7"/>
    <w:rsid w:val="002F0390"/>
    <w:rsid w:val="002F0511"/>
    <w:rsid w:val="002F0663"/>
    <w:rsid w:val="002F12F8"/>
    <w:rsid w:val="002F14EB"/>
    <w:rsid w:val="002F172A"/>
    <w:rsid w:val="002F1791"/>
    <w:rsid w:val="002F186F"/>
    <w:rsid w:val="002F1A60"/>
    <w:rsid w:val="002F1EC5"/>
    <w:rsid w:val="002F2256"/>
    <w:rsid w:val="002F2401"/>
    <w:rsid w:val="002F28DE"/>
    <w:rsid w:val="002F2960"/>
    <w:rsid w:val="002F29CC"/>
    <w:rsid w:val="002F2C41"/>
    <w:rsid w:val="002F2E66"/>
    <w:rsid w:val="002F4673"/>
    <w:rsid w:val="002F478D"/>
    <w:rsid w:val="002F50CB"/>
    <w:rsid w:val="002F5293"/>
    <w:rsid w:val="002F5298"/>
    <w:rsid w:val="002F5364"/>
    <w:rsid w:val="002F5C22"/>
    <w:rsid w:val="002F5DA5"/>
    <w:rsid w:val="002F679B"/>
    <w:rsid w:val="002F7185"/>
    <w:rsid w:val="002F7E74"/>
    <w:rsid w:val="0030025E"/>
    <w:rsid w:val="0030064D"/>
    <w:rsid w:val="00300EE7"/>
    <w:rsid w:val="00300F30"/>
    <w:rsid w:val="003011CB"/>
    <w:rsid w:val="003012C6"/>
    <w:rsid w:val="0030261D"/>
    <w:rsid w:val="003026D1"/>
    <w:rsid w:val="00302762"/>
    <w:rsid w:val="003027E7"/>
    <w:rsid w:val="00302877"/>
    <w:rsid w:val="0030397E"/>
    <w:rsid w:val="00303990"/>
    <w:rsid w:val="00303CD5"/>
    <w:rsid w:val="003049E6"/>
    <w:rsid w:val="00304E0F"/>
    <w:rsid w:val="00304EE6"/>
    <w:rsid w:val="00304F1D"/>
    <w:rsid w:val="0030504A"/>
    <w:rsid w:val="003057C1"/>
    <w:rsid w:val="003057CE"/>
    <w:rsid w:val="003058D7"/>
    <w:rsid w:val="00305ADA"/>
    <w:rsid w:val="00305B63"/>
    <w:rsid w:val="00306DC1"/>
    <w:rsid w:val="00306F95"/>
    <w:rsid w:val="003070B0"/>
    <w:rsid w:val="003078E7"/>
    <w:rsid w:val="00307E2B"/>
    <w:rsid w:val="0031004F"/>
    <w:rsid w:val="00310255"/>
    <w:rsid w:val="00310704"/>
    <w:rsid w:val="00310F54"/>
    <w:rsid w:val="003110A2"/>
    <w:rsid w:val="003112B0"/>
    <w:rsid w:val="00311653"/>
    <w:rsid w:val="00311DA4"/>
    <w:rsid w:val="00312589"/>
    <w:rsid w:val="00312E32"/>
    <w:rsid w:val="00312F38"/>
    <w:rsid w:val="00312FCB"/>
    <w:rsid w:val="00313142"/>
    <w:rsid w:val="0031316F"/>
    <w:rsid w:val="0031358E"/>
    <w:rsid w:val="00313D5A"/>
    <w:rsid w:val="00313E49"/>
    <w:rsid w:val="00314005"/>
    <w:rsid w:val="003142E5"/>
    <w:rsid w:val="003143E4"/>
    <w:rsid w:val="003155B3"/>
    <w:rsid w:val="003164CA"/>
    <w:rsid w:val="00316A6C"/>
    <w:rsid w:val="00316B62"/>
    <w:rsid w:val="00316E33"/>
    <w:rsid w:val="00317041"/>
    <w:rsid w:val="0031749F"/>
    <w:rsid w:val="00317C37"/>
    <w:rsid w:val="00320243"/>
    <w:rsid w:val="003212B5"/>
    <w:rsid w:val="003212E1"/>
    <w:rsid w:val="003215D7"/>
    <w:rsid w:val="00321BA1"/>
    <w:rsid w:val="0032272C"/>
    <w:rsid w:val="003228D8"/>
    <w:rsid w:val="00322A49"/>
    <w:rsid w:val="00322FCC"/>
    <w:rsid w:val="0032337F"/>
    <w:rsid w:val="0032383A"/>
    <w:rsid w:val="00323DD8"/>
    <w:rsid w:val="00323EF2"/>
    <w:rsid w:val="0032407F"/>
    <w:rsid w:val="003247AD"/>
    <w:rsid w:val="00324832"/>
    <w:rsid w:val="00324B38"/>
    <w:rsid w:val="00324B8A"/>
    <w:rsid w:val="00324CCC"/>
    <w:rsid w:val="00324D32"/>
    <w:rsid w:val="00324D35"/>
    <w:rsid w:val="0032549D"/>
    <w:rsid w:val="00325DE0"/>
    <w:rsid w:val="0032673F"/>
    <w:rsid w:val="00326A61"/>
    <w:rsid w:val="0032708E"/>
    <w:rsid w:val="0032733B"/>
    <w:rsid w:val="00327555"/>
    <w:rsid w:val="00327993"/>
    <w:rsid w:val="0033033A"/>
    <w:rsid w:val="0033069A"/>
    <w:rsid w:val="003306A4"/>
    <w:rsid w:val="003311B2"/>
    <w:rsid w:val="003318AB"/>
    <w:rsid w:val="00331AAF"/>
    <w:rsid w:val="00332144"/>
    <w:rsid w:val="00332438"/>
    <w:rsid w:val="0033243B"/>
    <w:rsid w:val="0033290D"/>
    <w:rsid w:val="003341E7"/>
    <w:rsid w:val="0033435E"/>
    <w:rsid w:val="00334644"/>
    <w:rsid w:val="003346AD"/>
    <w:rsid w:val="00335796"/>
    <w:rsid w:val="00335891"/>
    <w:rsid w:val="00335CB9"/>
    <w:rsid w:val="00335DCD"/>
    <w:rsid w:val="00336331"/>
    <w:rsid w:val="00336B98"/>
    <w:rsid w:val="00337970"/>
    <w:rsid w:val="00340209"/>
    <w:rsid w:val="0034034C"/>
    <w:rsid w:val="0034060B"/>
    <w:rsid w:val="0034128B"/>
    <w:rsid w:val="003413FB"/>
    <w:rsid w:val="00341BC9"/>
    <w:rsid w:val="003424FE"/>
    <w:rsid w:val="00342F53"/>
    <w:rsid w:val="003431D3"/>
    <w:rsid w:val="00343236"/>
    <w:rsid w:val="00343460"/>
    <w:rsid w:val="003435DB"/>
    <w:rsid w:val="003438E5"/>
    <w:rsid w:val="00343921"/>
    <w:rsid w:val="003446AC"/>
    <w:rsid w:val="00344C97"/>
    <w:rsid w:val="0034556C"/>
    <w:rsid w:val="00345782"/>
    <w:rsid w:val="00345EF1"/>
    <w:rsid w:val="00346421"/>
    <w:rsid w:val="003464D5"/>
    <w:rsid w:val="003465A4"/>
    <w:rsid w:val="00346A9E"/>
    <w:rsid w:val="00346B0E"/>
    <w:rsid w:val="0034774F"/>
    <w:rsid w:val="003479B1"/>
    <w:rsid w:val="00350078"/>
    <w:rsid w:val="00350738"/>
    <w:rsid w:val="00350B5A"/>
    <w:rsid w:val="00350F90"/>
    <w:rsid w:val="00352029"/>
    <w:rsid w:val="0035202D"/>
    <w:rsid w:val="003520AC"/>
    <w:rsid w:val="003523E2"/>
    <w:rsid w:val="0035297C"/>
    <w:rsid w:val="00353A9E"/>
    <w:rsid w:val="00353C79"/>
    <w:rsid w:val="0035462B"/>
    <w:rsid w:val="00354C53"/>
    <w:rsid w:val="00355D73"/>
    <w:rsid w:val="00355D75"/>
    <w:rsid w:val="0035671C"/>
    <w:rsid w:val="003569AE"/>
    <w:rsid w:val="003569BC"/>
    <w:rsid w:val="00356AE1"/>
    <w:rsid w:val="00356C53"/>
    <w:rsid w:val="00357844"/>
    <w:rsid w:val="003578E9"/>
    <w:rsid w:val="00360142"/>
    <w:rsid w:val="00360232"/>
    <w:rsid w:val="00360522"/>
    <w:rsid w:val="00360995"/>
    <w:rsid w:val="00360C52"/>
    <w:rsid w:val="00360E80"/>
    <w:rsid w:val="003610E0"/>
    <w:rsid w:val="00361369"/>
    <w:rsid w:val="00361422"/>
    <w:rsid w:val="00361428"/>
    <w:rsid w:val="003617D8"/>
    <w:rsid w:val="00361D04"/>
    <w:rsid w:val="003622A3"/>
    <w:rsid w:val="003623AD"/>
    <w:rsid w:val="0036242B"/>
    <w:rsid w:val="003625A0"/>
    <w:rsid w:val="00362BCF"/>
    <w:rsid w:val="00362BD2"/>
    <w:rsid w:val="00362F6B"/>
    <w:rsid w:val="00363052"/>
    <w:rsid w:val="003635AB"/>
    <w:rsid w:val="00364154"/>
    <w:rsid w:val="00364157"/>
    <w:rsid w:val="00364789"/>
    <w:rsid w:val="00364CCA"/>
    <w:rsid w:val="003650D2"/>
    <w:rsid w:val="00365504"/>
    <w:rsid w:val="00365553"/>
    <w:rsid w:val="00365839"/>
    <w:rsid w:val="00365891"/>
    <w:rsid w:val="00365AC3"/>
    <w:rsid w:val="00365BD0"/>
    <w:rsid w:val="00366210"/>
    <w:rsid w:val="003669CD"/>
    <w:rsid w:val="00366D05"/>
    <w:rsid w:val="00366F07"/>
    <w:rsid w:val="0036776F"/>
    <w:rsid w:val="003709CB"/>
    <w:rsid w:val="00370F45"/>
    <w:rsid w:val="003711A4"/>
    <w:rsid w:val="003712E0"/>
    <w:rsid w:val="00371405"/>
    <w:rsid w:val="003717DA"/>
    <w:rsid w:val="00371FD7"/>
    <w:rsid w:val="003721CD"/>
    <w:rsid w:val="0037239D"/>
    <w:rsid w:val="003725B6"/>
    <w:rsid w:val="003732F4"/>
    <w:rsid w:val="003746CD"/>
    <w:rsid w:val="003747E4"/>
    <w:rsid w:val="00374A61"/>
    <w:rsid w:val="0037575D"/>
    <w:rsid w:val="00375A87"/>
    <w:rsid w:val="00376093"/>
    <w:rsid w:val="003760D5"/>
    <w:rsid w:val="003762E6"/>
    <w:rsid w:val="00376B1F"/>
    <w:rsid w:val="00376E63"/>
    <w:rsid w:val="00377A57"/>
    <w:rsid w:val="00377C99"/>
    <w:rsid w:val="003801BA"/>
    <w:rsid w:val="00380A95"/>
    <w:rsid w:val="003812E2"/>
    <w:rsid w:val="00381B76"/>
    <w:rsid w:val="00381D95"/>
    <w:rsid w:val="00382609"/>
    <w:rsid w:val="00382671"/>
    <w:rsid w:val="003834D9"/>
    <w:rsid w:val="00383BB5"/>
    <w:rsid w:val="00383BE3"/>
    <w:rsid w:val="00383C3C"/>
    <w:rsid w:val="00383D83"/>
    <w:rsid w:val="00383DFC"/>
    <w:rsid w:val="00384854"/>
    <w:rsid w:val="003849AA"/>
    <w:rsid w:val="003854BD"/>
    <w:rsid w:val="0038577A"/>
    <w:rsid w:val="003859DD"/>
    <w:rsid w:val="00385B6C"/>
    <w:rsid w:val="00385BA0"/>
    <w:rsid w:val="0038666A"/>
    <w:rsid w:val="00386DC2"/>
    <w:rsid w:val="00386E82"/>
    <w:rsid w:val="003870A0"/>
    <w:rsid w:val="003878BC"/>
    <w:rsid w:val="00387A76"/>
    <w:rsid w:val="00387D9B"/>
    <w:rsid w:val="003901C8"/>
    <w:rsid w:val="00390A49"/>
    <w:rsid w:val="00391148"/>
    <w:rsid w:val="00391435"/>
    <w:rsid w:val="00391935"/>
    <w:rsid w:val="0039198B"/>
    <w:rsid w:val="00391A8F"/>
    <w:rsid w:val="00391AD0"/>
    <w:rsid w:val="003922E7"/>
    <w:rsid w:val="003939FB"/>
    <w:rsid w:val="00393AFD"/>
    <w:rsid w:val="00394544"/>
    <w:rsid w:val="0039462B"/>
    <w:rsid w:val="003947AE"/>
    <w:rsid w:val="00394BB8"/>
    <w:rsid w:val="00395D07"/>
    <w:rsid w:val="00396BAD"/>
    <w:rsid w:val="00396CB5"/>
    <w:rsid w:val="003971FC"/>
    <w:rsid w:val="003972E9"/>
    <w:rsid w:val="00397913"/>
    <w:rsid w:val="00397B45"/>
    <w:rsid w:val="00397C1C"/>
    <w:rsid w:val="00397C91"/>
    <w:rsid w:val="003A06E2"/>
    <w:rsid w:val="003A0733"/>
    <w:rsid w:val="003A1061"/>
    <w:rsid w:val="003A19A6"/>
    <w:rsid w:val="003A1C59"/>
    <w:rsid w:val="003A1D5F"/>
    <w:rsid w:val="003A3488"/>
    <w:rsid w:val="003A36BC"/>
    <w:rsid w:val="003A3A44"/>
    <w:rsid w:val="003A3CA4"/>
    <w:rsid w:val="003A3CC8"/>
    <w:rsid w:val="003A3F5F"/>
    <w:rsid w:val="003A47B5"/>
    <w:rsid w:val="003A4CAD"/>
    <w:rsid w:val="003A4D6F"/>
    <w:rsid w:val="003A4E0C"/>
    <w:rsid w:val="003A4F44"/>
    <w:rsid w:val="003A508E"/>
    <w:rsid w:val="003A52B4"/>
    <w:rsid w:val="003A57C2"/>
    <w:rsid w:val="003A5BB5"/>
    <w:rsid w:val="003A5C43"/>
    <w:rsid w:val="003A5D9D"/>
    <w:rsid w:val="003A61D3"/>
    <w:rsid w:val="003A6D65"/>
    <w:rsid w:val="003A739B"/>
    <w:rsid w:val="003A74E2"/>
    <w:rsid w:val="003A7C53"/>
    <w:rsid w:val="003A7DFA"/>
    <w:rsid w:val="003B056F"/>
    <w:rsid w:val="003B0B42"/>
    <w:rsid w:val="003B0C1E"/>
    <w:rsid w:val="003B0FDE"/>
    <w:rsid w:val="003B13E7"/>
    <w:rsid w:val="003B15BF"/>
    <w:rsid w:val="003B15C1"/>
    <w:rsid w:val="003B18B5"/>
    <w:rsid w:val="003B199D"/>
    <w:rsid w:val="003B1DFC"/>
    <w:rsid w:val="003B2DDC"/>
    <w:rsid w:val="003B3C33"/>
    <w:rsid w:val="003B3CC9"/>
    <w:rsid w:val="003B3EB4"/>
    <w:rsid w:val="003B453F"/>
    <w:rsid w:val="003B4B05"/>
    <w:rsid w:val="003B4B2C"/>
    <w:rsid w:val="003B58DC"/>
    <w:rsid w:val="003B644D"/>
    <w:rsid w:val="003B6677"/>
    <w:rsid w:val="003B66B7"/>
    <w:rsid w:val="003B710A"/>
    <w:rsid w:val="003B7F8C"/>
    <w:rsid w:val="003C00C5"/>
    <w:rsid w:val="003C09A6"/>
    <w:rsid w:val="003C0E68"/>
    <w:rsid w:val="003C1941"/>
    <w:rsid w:val="003C1D00"/>
    <w:rsid w:val="003C1F74"/>
    <w:rsid w:val="003C2297"/>
    <w:rsid w:val="003C27E4"/>
    <w:rsid w:val="003C2B27"/>
    <w:rsid w:val="003C2C0D"/>
    <w:rsid w:val="003C2DB9"/>
    <w:rsid w:val="003C33EA"/>
    <w:rsid w:val="003C3500"/>
    <w:rsid w:val="003C36CA"/>
    <w:rsid w:val="003C385B"/>
    <w:rsid w:val="003C3B2F"/>
    <w:rsid w:val="003C4843"/>
    <w:rsid w:val="003C5B6A"/>
    <w:rsid w:val="003C6219"/>
    <w:rsid w:val="003C6588"/>
    <w:rsid w:val="003C6DE4"/>
    <w:rsid w:val="003C746A"/>
    <w:rsid w:val="003C7A57"/>
    <w:rsid w:val="003C7FE2"/>
    <w:rsid w:val="003D0B6C"/>
    <w:rsid w:val="003D1388"/>
    <w:rsid w:val="003D1AFE"/>
    <w:rsid w:val="003D26AC"/>
    <w:rsid w:val="003D2B82"/>
    <w:rsid w:val="003D2F39"/>
    <w:rsid w:val="003D2F8D"/>
    <w:rsid w:val="003D3400"/>
    <w:rsid w:val="003D3641"/>
    <w:rsid w:val="003D37EE"/>
    <w:rsid w:val="003D3B38"/>
    <w:rsid w:val="003D4223"/>
    <w:rsid w:val="003D4278"/>
    <w:rsid w:val="003D4B7A"/>
    <w:rsid w:val="003D5E08"/>
    <w:rsid w:val="003D60AC"/>
    <w:rsid w:val="003D6C82"/>
    <w:rsid w:val="003D727A"/>
    <w:rsid w:val="003D79AF"/>
    <w:rsid w:val="003D7A24"/>
    <w:rsid w:val="003E08EF"/>
    <w:rsid w:val="003E0DFD"/>
    <w:rsid w:val="003E0F6B"/>
    <w:rsid w:val="003E0FEE"/>
    <w:rsid w:val="003E1171"/>
    <w:rsid w:val="003E1267"/>
    <w:rsid w:val="003E1693"/>
    <w:rsid w:val="003E258C"/>
    <w:rsid w:val="003E2927"/>
    <w:rsid w:val="003E2965"/>
    <w:rsid w:val="003E2D41"/>
    <w:rsid w:val="003E2E31"/>
    <w:rsid w:val="003E2E8E"/>
    <w:rsid w:val="003E3589"/>
    <w:rsid w:val="003E3688"/>
    <w:rsid w:val="003E406B"/>
    <w:rsid w:val="003E490F"/>
    <w:rsid w:val="003E4983"/>
    <w:rsid w:val="003E4E1A"/>
    <w:rsid w:val="003E4E6F"/>
    <w:rsid w:val="003E52EF"/>
    <w:rsid w:val="003E55D4"/>
    <w:rsid w:val="003E5CBD"/>
    <w:rsid w:val="003E5D6A"/>
    <w:rsid w:val="003E5E21"/>
    <w:rsid w:val="003E5F8B"/>
    <w:rsid w:val="003E6026"/>
    <w:rsid w:val="003E6072"/>
    <w:rsid w:val="003E6180"/>
    <w:rsid w:val="003E643B"/>
    <w:rsid w:val="003E6650"/>
    <w:rsid w:val="003E686F"/>
    <w:rsid w:val="003E6917"/>
    <w:rsid w:val="003E6C15"/>
    <w:rsid w:val="003E730A"/>
    <w:rsid w:val="003E75BF"/>
    <w:rsid w:val="003E767C"/>
    <w:rsid w:val="003F001F"/>
    <w:rsid w:val="003F04AF"/>
    <w:rsid w:val="003F06E9"/>
    <w:rsid w:val="003F1593"/>
    <w:rsid w:val="003F1B41"/>
    <w:rsid w:val="003F2465"/>
    <w:rsid w:val="003F266E"/>
    <w:rsid w:val="003F31B4"/>
    <w:rsid w:val="003F337D"/>
    <w:rsid w:val="003F3916"/>
    <w:rsid w:val="003F393A"/>
    <w:rsid w:val="003F43BC"/>
    <w:rsid w:val="003F483E"/>
    <w:rsid w:val="003F48FC"/>
    <w:rsid w:val="003F4AD4"/>
    <w:rsid w:val="003F4C50"/>
    <w:rsid w:val="003F4F5E"/>
    <w:rsid w:val="003F4F9D"/>
    <w:rsid w:val="003F5898"/>
    <w:rsid w:val="003F5D0F"/>
    <w:rsid w:val="003F631A"/>
    <w:rsid w:val="003F6361"/>
    <w:rsid w:val="003F6481"/>
    <w:rsid w:val="003F6A27"/>
    <w:rsid w:val="003F6A5E"/>
    <w:rsid w:val="003F6C56"/>
    <w:rsid w:val="003F6CBA"/>
    <w:rsid w:val="003F6E80"/>
    <w:rsid w:val="003F6FF9"/>
    <w:rsid w:val="003F78C8"/>
    <w:rsid w:val="003F7D7F"/>
    <w:rsid w:val="003F7E81"/>
    <w:rsid w:val="004011EE"/>
    <w:rsid w:val="004013EB"/>
    <w:rsid w:val="00401801"/>
    <w:rsid w:val="00401D81"/>
    <w:rsid w:val="0040205F"/>
    <w:rsid w:val="00402519"/>
    <w:rsid w:val="004030E0"/>
    <w:rsid w:val="00403A56"/>
    <w:rsid w:val="00403B41"/>
    <w:rsid w:val="00403BBC"/>
    <w:rsid w:val="00403BF4"/>
    <w:rsid w:val="00403DCE"/>
    <w:rsid w:val="00404512"/>
    <w:rsid w:val="00404597"/>
    <w:rsid w:val="00404B0C"/>
    <w:rsid w:val="004051AE"/>
    <w:rsid w:val="00405251"/>
    <w:rsid w:val="00405CAD"/>
    <w:rsid w:val="00405D1C"/>
    <w:rsid w:val="00405D80"/>
    <w:rsid w:val="00405F9C"/>
    <w:rsid w:val="004061DE"/>
    <w:rsid w:val="00407199"/>
    <w:rsid w:val="004074DC"/>
    <w:rsid w:val="0040763C"/>
    <w:rsid w:val="00407888"/>
    <w:rsid w:val="00407B20"/>
    <w:rsid w:val="00407B31"/>
    <w:rsid w:val="004111B0"/>
    <w:rsid w:val="0041133A"/>
    <w:rsid w:val="0041154A"/>
    <w:rsid w:val="00411700"/>
    <w:rsid w:val="004117D3"/>
    <w:rsid w:val="00411DE9"/>
    <w:rsid w:val="00411EB8"/>
    <w:rsid w:val="00412CC3"/>
    <w:rsid w:val="00412DB1"/>
    <w:rsid w:val="00414188"/>
    <w:rsid w:val="004141A4"/>
    <w:rsid w:val="004149FD"/>
    <w:rsid w:val="00414BA4"/>
    <w:rsid w:val="00414F2D"/>
    <w:rsid w:val="004156F4"/>
    <w:rsid w:val="004157EC"/>
    <w:rsid w:val="00415D78"/>
    <w:rsid w:val="0041618B"/>
    <w:rsid w:val="00416197"/>
    <w:rsid w:val="004161D2"/>
    <w:rsid w:val="00416206"/>
    <w:rsid w:val="00416283"/>
    <w:rsid w:val="00416CBE"/>
    <w:rsid w:val="00416D16"/>
    <w:rsid w:val="00416FFC"/>
    <w:rsid w:val="004172AC"/>
    <w:rsid w:val="00417877"/>
    <w:rsid w:val="0041788C"/>
    <w:rsid w:val="004200EA"/>
    <w:rsid w:val="004206CE"/>
    <w:rsid w:val="004207D5"/>
    <w:rsid w:val="00420B4F"/>
    <w:rsid w:val="00420B51"/>
    <w:rsid w:val="00420E20"/>
    <w:rsid w:val="004217AD"/>
    <w:rsid w:val="004217D9"/>
    <w:rsid w:val="004218FA"/>
    <w:rsid w:val="00421B44"/>
    <w:rsid w:val="00421D2F"/>
    <w:rsid w:val="00421E7F"/>
    <w:rsid w:val="00421EE7"/>
    <w:rsid w:val="004220B4"/>
    <w:rsid w:val="00422F60"/>
    <w:rsid w:val="00422F8A"/>
    <w:rsid w:val="0042363A"/>
    <w:rsid w:val="0042377C"/>
    <w:rsid w:val="00423FEF"/>
    <w:rsid w:val="004242F8"/>
    <w:rsid w:val="00424628"/>
    <w:rsid w:val="004255DA"/>
    <w:rsid w:val="00425709"/>
    <w:rsid w:val="00425789"/>
    <w:rsid w:val="004258C0"/>
    <w:rsid w:val="00425FA0"/>
    <w:rsid w:val="00425FE9"/>
    <w:rsid w:val="0042665C"/>
    <w:rsid w:val="00426D25"/>
    <w:rsid w:val="004270D0"/>
    <w:rsid w:val="004270F8"/>
    <w:rsid w:val="00427A98"/>
    <w:rsid w:val="00427D13"/>
    <w:rsid w:val="004305DC"/>
    <w:rsid w:val="00430905"/>
    <w:rsid w:val="00430A4B"/>
    <w:rsid w:val="00430E2F"/>
    <w:rsid w:val="00430EEE"/>
    <w:rsid w:val="00430F49"/>
    <w:rsid w:val="004314A1"/>
    <w:rsid w:val="004315B7"/>
    <w:rsid w:val="00431ACE"/>
    <w:rsid w:val="00431ED2"/>
    <w:rsid w:val="0043213F"/>
    <w:rsid w:val="00432592"/>
    <w:rsid w:val="00432882"/>
    <w:rsid w:val="004333FA"/>
    <w:rsid w:val="00433C01"/>
    <w:rsid w:val="00434874"/>
    <w:rsid w:val="00434C55"/>
    <w:rsid w:val="00434C5F"/>
    <w:rsid w:val="004361BA"/>
    <w:rsid w:val="0043625B"/>
    <w:rsid w:val="0043696A"/>
    <w:rsid w:val="004369F3"/>
    <w:rsid w:val="00436ED9"/>
    <w:rsid w:val="00437233"/>
    <w:rsid w:val="0043787D"/>
    <w:rsid w:val="00437DDD"/>
    <w:rsid w:val="00440021"/>
    <w:rsid w:val="004400E2"/>
    <w:rsid w:val="004408D8"/>
    <w:rsid w:val="00440A98"/>
    <w:rsid w:val="004415F2"/>
    <w:rsid w:val="004416F4"/>
    <w:rsid w:val="00441A6A"/>
    <w:rsid w:val="00441E12"/>
    <w:rsid w:val="004420C8"/>
    <w:rsid w:val="004421C5"/>
    <w:rsid w:val="00442576"/>
    <w:rsid w:val="004430EF"/>
    <w:rsid w:val="0044327F"/>
    <w:rsid w:val="00444A5B"/>
    <w:rsid w:val="004451A4"/>
    <w:rsid w:val="00445244"/>
    <w:rsid w:val="00445645"/>
    <w:rsid w:val="00445832"/>
    <w:rsid w:val="00445C01"/>
    <w:rsid w:val="00446030"/>
    <w:rsid w:val="00446565"/>
    <w:rsid w:val="00446D9F"/>
    <w:rsid w:val="0044758A"/>
    <w:rsid w:val="0045033C"/>
    <w:rsid w:val="0045035F"/>
    <w:rsid w:val="004506EB"/>
    <w:rsid w:val="00450790"/>
    <w:rsid w:val="00450862"/>
    <w:rsid w:val="00450E8B"/>
    <w:rsid w:val="00450E9B"/>
    <w:rsid w:val="00451032"/>
    <w:rsid w:val="004510A5"/>
    <w:rsid w:val="0045134B"/>
    <w:rsid w:val="00451614"/>
    <w:rsid w:val="004516BA"/>
    <w:rsid w:val="004524AA"/>
    <w:rsid w:val="004524E3"/>
    <w:rsid w:val="00452965"/>
    <w:rsid w:val="004529D7"/>
    <w:rsid w:val="00453107"/>
    <w:rsid w:val="0045320D"/>
    <w:rsid w:val="0045341C"/>
    <w:rsid w:val="004536B7"/>
    <w:rsid w:val="004537E5"/>
    <w:rsid w:val="00454117"/>
    <w:rsid w:val="00454BB9"/>
    <w:rsid w:val="00454D8C"/>
    <w:rsid w:val="00455835"/>
    <w:rsid w:val="0045627A"/>
    <w:rsid w:val="00457076"/>
    <w:rsid w:val="00457A39"/>
    <w:rsid w:val="00457E6A"/>
    <w:rsid w:val="004605D8"/>
    <w:rsid w:val="00460B22"/>
    <w:rsid w:val="00461B5F"/>
    <w:rsid w:val="004628A5"/>
    <w:rsid w:val="00463012"/>
    <w:rsid w:val="004631BB"/>
    <w:rsid w:val="004638A7"/>
    <w:rsid w:val="0046450E"/>
    <w:rsid w:val="004645FC"/>
    <w:rsid w:val="00464692"/>
    <w:rsid w:val="00464720"/>
    <w:rsid w:val="00464746"/>
    <w:rsid w:val="00464A0E"/>
    <w:rsid w:val="00464C5F"/>
    <w:rsid w:val="00465A48"/>
    <w:rsid w:val="00465EF2"/>
    <w:rsid w:val="00465FE7"/>
    <w:rsid w:val="00466035"/>
    <w:rsid w:val="004666CB"/>
    <w:rsid w:val="00466752"/>
    <w:rsid w:val="004669C9"/>
    <w:rsid w:val="00466D46"/>
    <w:rsid w:val="004671E9"/>
    <w:rsid w:val="00467315"/>
    <w:rsid w:val="00467369"/>
    <w:rsid w:val="00467583"/>
    <w:rsid w:val="004675F2"/>
    <w:rsid w:val="004677DD"/>
    <w:rsid w:val="00467E3A"/>
    <w:rsid w:val="00470EC0"/>
    <w:rsid w:val="00471009"/>
    <w:rsid w:val="0047129F"/>
    <w:rsid w:val="0047166E"/>
    <w:rsid w:val="00471C3B"/>
    <w:rsid w:val="00472247"/>
    <w:rsid w:val="004727D9"/>
    <w:rsid w:val="004727E3"/>
    <w:rsid w:val="00472A00"/>
    <w:rsid w:val="00472DE1"/>
    <w:rsid w:val="00472E30"/>
    <w:rsid w:val="004731E3"/>
    <w:rsid w:val="0047439A"/>
    <w:rsid w:val="00474430"/>
    <w:rsid w:val="00474AFE"/>
    <w:rsid w:val="00474E3E"/>
    <w:rsid w:val="004752C7"/>
    <w:rsid w:val="0047562F"/>
    <w:rsid w:val="0047564E"/>
    <w:rsid w:val="00475668"/>
    <w:rsid w:val="00475AF6"/>
    <w:rsid w:val="00476394"/>
    <w:rsid w:val="00476478"/>
    <w:rsid w:val="00476694"/>
    <w:rsid w:val="00476C7B"/>
    <w:rsid w:val="00476F79"/>
    <w:rsid w:val="00477A1D"/>
    <w:rsid w:val="004805CD"/>
    <w:rsid w:val="004814ED"/>
    <w:rsid w:val="0048177E"/>
    <w:rsid w:val="00481A7D"/>
    <w:rsid w:val="004833EC"/>
    <w:rsid w:val="0048403F"/>
    <w:rsid w:val="00484AAF"/>
    <w:rsid w:val="00484CF0"/>
    <w:rsid w:val="00484E27"/>
    <w:rsid w:val="004853A3"/>
    <w:rsid w:val="00485719"/>
    <w:rsid w:val="0048692A"/>
    <w:rsid w:val="00487426"/>
    <w:rsid w:val="0048750D"/>
    <w:rsid w:val="00487B0E"/>
    <w:rsid w:val="00487C27"/>
    <w:rsid w:val="00487CF3"/>
    <w:rsid w:val="0049122F"/>
    <w:rsid w:val="0049133E"/>
    <w:rsid w:val="00491538"/>
    <w:rsid w:val="00491D1A"/>
    <w:rsid w:val="00492528"/>
    <w:rsid w:val="0049254A"/>
    <w:rsid w:val="004928FB"/>
    <w:rsid w:val="00492CCD"/>
    <w:rsid w:val="00493215"/>
    <w:rsid w:val="0049368D"/>
    <w:rsid w:val="0049383D"/>
    <w:rsid w:val="004939F6"/>
    <w:rsid w:val="00494AA8"/>
    <w:rsid w:val="0049547C"/>
    <w:rsid w:val="0049616D"/>
    <w:rsid w:val="004963DD"/>
    <w:rsid w:val="0049648F"/>
    <w:rsid w:val="00496B4A"/>
    <w:rsid w:val="00496CDC"/>
    <w:rsid w:val="00496EF2"/>
    <w:rsid w:val="004971D7"/>
    <w:rsid w:val="004A015E"/>
    <w:rsid w:val="004A03F6"/>
    <w:rsid w:val="004A0528"/>
    <w:rsid w:val="004A0B33"/>
    <w:rsid w:val="004A0D81"/>
    <w:rsid w:val="004A0FB4"/>
    <w:rsid w:val="004A1561"/>
    <w:rsid w:val="004A1EBC"/>
    <w:rsid w:val="004A2305"/>
    <w:rsid w:val="004A2701"/>
    <w:rsid w:val="004A28FA"/>
    <w:rsid w:val="004A2EFB"/>
    <w:rsid w:val="004A34E7"/>
    <w:rsid w:val="004A393B"/>
    <w:rsid w:val="004A3DA3"/>
    <w:rsid w:val="004A3F91"/>
    <w:rsid w:val="004A4517"/>
    <w:rsid w:val="004A48C7"/>
    <w:rsid w:val="004A493B"/>
    <w:rsid w:val="004A53EA"/>
    <w:rsid w:val="004A53F8"/>
    <w:rsid w:val="004A5B83"/>
    <w:rsid w:val="004A5C0C"/>
    <w:rsid w:val="004A5F60"/>
    <w:rsid w:val="004A5FF0"/>
    <w:rsid w:val="004A65C8"/>
    <w:rsid w:val="004A6D99"/>
    <w:rsid w:val="004A6ECD"/>
    <w:rsid w:val="004A72EB"/>
    <w:rsid w:val="004A765D"/>
    <w:rsid w:val="004A7BB8"/>
    <w:rsid w:val="004B0131"/>
    <w:rsid w:val="004B07BF"/>
    <w:rsid w:val="004B09D5"/>
    <w:rsid w:val="004B0A8F"/>
    <w:rsid w:val="004B10BB"/>
    <w:rsid w:val="004B11B9"/>
    <w:rsid w:val="004B1548"/>
    <w:rsid w:val="004B1ACA"/>
    <w:rsid w:val="004B1C01"/>
    <w:rsid w:val="004B1FC4"/>
    <w:rsid w:val="004B24A0"/>
    <w:rsid w:val="004B27F6"/>
    <w:rsid w:val="004B2A1D"/>
    <w:rsid w:val="004B2FC4"/>
    <w:rsid w:val="004B393C"/>
    <w:rsid w:val="004B4057"/>
    <w:rsid w:val="004B41DA"/>
    <w:rsid w:val="004B43D3"/>
    <w:rsid w:val="004B4955"/>
    <w:rsid w:val="004B4D27"/>
    <w:rsid w:val="004B5BAA"/>
    <w:rsid w:val="004B60D5"/>
    <w:rsid w:val="004B6102"/>
    <w:rsid w:val="004B61A2"/>
    <w:rsid w:val="004B627A"/>
    <w:rsid w:val="004B67DB"/>
    <w:rsid w:val="004B68DF"/>
    <w:rsid w:val="004B71EE"/>
    <w:rsid w:val="004B7816"/>
    <w:rsid w:val="004B7C6A"/>
    <w:rsid w:val="004C014B"/>
    <w:rsid w:val="004C01BE"/>
    <w:rsid w:val="004C0BEE"/>
    <w:rsid w:val="004C125C"/>
    <w:rsid w:val="004C2064"/>
    <w:rsid w:val="004C24E5"/>
    <w:rsid w:val="004C28B5"/>
    <w:rsid w:val="004C2D5A"/>
    <w:rsid w:val="004C3126"/>
    <w:rsid w:val="004C3436"/>
    <w:rsid w:val="004C3AB1"/>
    <w:rsid w:val="004C421E"/>
    <w:rsid w:val="004C460E"/>
    <w:rsid w:val="004C4E1E"/>
    <w:rsid w:val="004C5043"/>
    <w:rsid w:val="004C566D"/>
    <w:rsid w:val="004C5CEB"/>
    <w:rsid w:val="004C6122"/>
    <w:rsid w:val="004C67BA"/>
    <w:rsid w:val="004C6DE4"/>
    <w:rsid w:val="004C7152"/>
    <w:rsid w:val="004C74F5"/>
    <w:rsid w:val="004C7784"/>
    <w:rsid w:val="004C79C6"/>
    <w:rsid w:val="004C7BDB"/>
    <w:rsid w:val="004C7BF1"/>
    <w:rsid w:val="004C7E8B"/>
    <w:rsid w:val="004D019B"/>
    <w:rsid w:val="004D0532"/>
    <w:rsid w:val="004D05B2"/>
    <w:rsid w:val="004D05CE"/>
    <w:rsid w:val="004D0AAD"/>
    <w:rsid w:val="004D0F63"/>
    <w:rsid w:val="004D10AC"/>
    <w:rsid w:val="004D1786"/>
    <w:rsid w:val="004D22C2"/>
    <w:rsid w:val="004D2BBD"/>
    <w:rsid w:val="004D33A3"/>
    <w:rsid w:val="004D36E1"/>
    <w:rsid w:val="004D3878"/>
    <w:rsid w:val="004D43F3"/>
    <w:rsid w:val="004D47C0"/>
    <w:rsid w:val="004D49DA"/>
    <w:rsid w:val="004D4C71"/>
    <w:rsid w:val="004D5292"/>
    <w:rsid w:val="004D5AEB"/>
    <w:rsid w:val="004D5B72"/>
    <w:rsid w:val="004D5D20"/>
    <w:rsid w:val="004D63D7"/>
    <w:rsid w:val="004D63E1"/>
    <w:rsid w:val="004D695E"/>
    <w:rsid w:val="004D6A51"/>
    <w:rsid w:val="004D6C56"/>
    <w:rsid w:val="004D6F2B"/>
    <w:rsid w:val="004D7092"/>
    <w:rsid w:val="004D76EB"/>
    <w:rsid w:val="004E01E0"/>
    <w:rsid w:val="004E0368"/>
    <w:rsid w:val="004E088D"/>
    <w:rsid w:val="004E10FD"/>
    <w:rsid w:val="004E2044"/>
    <w:rsid w:val="004E3163"/>
    <w:rsid w:val="004E39CB"/>
    <w:rsid w:val="004E400A"/>
    <w:rsid w:val="004E4242"/>
    <w:rsid w:val="004E4387"/>
    <w:rsid w:val="004E4842"/>
    <w:rsid w:val="004E4CF7"/>
    <w:rsid w:val="004E5075"/>
    <w:rsid w:val="004E5327"/>
    <w:rsid w:val="004E5372"/>
    <w:rsid w:val="004E53FB"/>
    <w:rsid w:val="004E55CA"/>
    <w:rsid w:val="004E5740"/>
    <w:rsid w:val="004E5A73"/>
    <w:rsid w:val="004E5B05"/>
    <w:rsid w:val="004E5C6D"/>
    <w:rsid w:val="004E5D11"/>
    <w:rsid w:val="004E5EA3"/>
    <w:rsid w:val="004E5F8E"/>
    <w:rsid w:val="004E6063"/>
    <w:rsid w:val="004E612C"/>
    <w:rsid w:val="004E629C"/>
    <w:rsid w:val="004E7093"/>
    <w:rsid w:val="004E7117"/>
    <w:rsid w:val="004E78FA"/>
    <w:rsid w:val="004E7F90"/>
    <w:rsid w:val="004F002D"/>
    <w:rsid w:val="004F0285"/>
    <w:rsid w:val="004F034F"/>
    <w:rsid w:val="004F0612"/>
    <w:rsid w:val="004F1376"/>
    <w:rsid w:val="004F1985"/>
    <w:rsid w:val="004F1BE9"/>
    <w:rsid w:val="004F26F9"/>
    <w:rsid w:val="004F2B48"/>
    <w:rsid w:val="004F2D65"/>
    <w:rsid w:val="004F2DF4"/>
    <w:rsid w:val="004F2F1F"/>
    <w:rsid w:val="004F37DD"/>
    <w:rsid w:val="004F3BC1"/>
    <w:rsid w:val="004F4025"/>
    <w:rsid w:val="004F492B"/>
    <w:rsid w:val="004F4F57"/>
    <w:rsid w:val="004F5163"/>
    <w:rsid w:val="004F51A7"/>
    <w:rsid w:val="004F54B1"/>
    <w:rsid w:val="004F54CD"/>
    <w:rsid w:val="004F5635"/>
    <w:rsid w:val="004F5974"/>
    <w:rsid w:val="004F62B0"/>
    <w:rsid w:val="004F6950"/>
    <w:rsid w:val="004F72B8"/>
    <w:rsid w:val="004F734C"/>
    <w:rsid w:val="004F7DBE"/>
    <w:rsid w:val="004F7E84"/>
    <w:rsid w:val="00500226"/>
    <w:rsid w:val="00500318"/>
    <w:rsid w:val="00500394"/>
    <w:rsid w:val="0050140B"/>
    <w:rsid w:val="0050175D"/>
    <w:rsid w:val="005023A3"/>
    <w:rsid w:val="0050293D"/>
    <w:rsid w:val="00502CC4"/>
    <w:rsid w:val="0050362D"/>
    <w:rsid w:val="00503B9E"/>
    <w:rsid w:val="00503F0B"/>
    <w:rsid w:val="005042A0"/>
    <w:rsid w:val="005043B7"/>
    <w:rsid w:val="005044C5"/>
    <w:rsid w:val="0050477A"/>
    <w:rsid w:val="00504853"/>
    <w:rsid w:val="00504AD2"/>
    <w:rsid w:val="00504CDA"/>
    <w:rsid w:val="00504DBD"/>
    <w:rsid w:val="005050B5"/>
    <w:rsid w:val="00505625"/>
    <w:rsid w:val="00505A70"/>
    <w:rsid w:val="00506580"/>
    <w:rsid w:val="005069A9"/>
    <w:rsid w:val="00506B89"/>
    <w:rsid w:val="00506C54"/>
    <w:rsid w:val="00506EA4"/>
    <w:rsid w:val="005072E4"/>
    <w:rsid w:val="005072F2"/>
    <w:rsid w:val="00507DE4"/>
    <w:rsid w:val="005107C1"/>
    <w:rsid w:val="0051081C"/>
    <w:rsid w:val="00510826"/>
    <w:rsid w:val="00510D62"/>
    <w:rsid w:val="00510EBF"/>
    <w:rsid w:val="00510F3E"/>
    <w:rsid w:val="0051177B"/>
    <w:rsid w:val="00512103"/>
    <w:rsid w:val="0051238E"/>
    <w:rsid w:val="0051248B"/>
    <w:rsid w:val="005127C3"/>
    <w:rsid w:val="005129D1"/>
    <w:rsid w:val="005129D6"/>
    <w:rsid w:val="0051319C"/>
    <w:rsid w:val="00513C2D"/>
    <w:rsid w:val="00514125"/>
    <w:rsid w:val="00514EB8"/>
    <w:rsid w:val="00514ED0"/>
    <w:rsid w:val="005153B3"/>
    <w:rsid w:val="00515C5F"/>
    <w:rsid w:val="005160CA"/>
    <w:rsid w:val="005161F8"/>
    <w:rsid w:val="00516A8C"/>
    <w:rsid w:val="00516C76"/>
    <w:rsid w:val="00517104"/>
    <w:rsid w:val="00517840"/>
    <w:rsid w:val="00517A6C"/>
    <w:rsid w:val="00517CAA"/>
    <w:rsid w:val="00517F8F"/>
    <w:rsid w:val="005201C5"/>
    <w:rsid w:val="00520395"/>
    <w:rsid w:val="00520633"/>
    <w:rsid w:val="005211A7"/>
    <w:rsid w:val="00521705"/>
    <w:rsid w:val="0052182D"/>
    <w:rsid w:val="00521BA8"/>
    <w:rsid w:val="00522E1F"/>
    <w:rsid w:val="00523497"/>
    <w:rsid w:val="005237C3"/>
    <w:rsid w:val="00523D3D"/>
    <w:rsid w:val="005240BC"/>
    <w:rsid w:val="005243FA"/>
    <w:rsid w:val="00524AE1"/>
    <w:rsid w:val="00524BE5"/>
    <w:rsid w:val="0052572D"/>
    <w:rsid w:val="00525CAA"/>
    <w:rsid w:val="00525D2C"/>
    <w:rsid w:val="00526267"/>
    <w:rsid w:val="00526408"/>
    <w:rsid w:val="00526C53"/>
    <w:rsid w:val="00526D40"/>
    <w:rsid w:val="00526E00"/>
    <w:rsid w:val="00527278"/>
    <w:rsid w:val="0052728D"/>
    <w:rsid w:val="0052735E"/>
    <w:rsid w:val="005273D9"/>
    <w:rsid w:val="00527582"/>
    <w:rsid w:val="00527604"/>
    <w:rsid w:val="00527994"/>
    <w:rsid w:val="005279CE"/>
    <w:rsid w:val="00527BC7"/>
    <w:rsid w:val="0053004E"/>
    <w:rsid w:val="00530484"/>
    <w:rsid w:val="00530CFF"/>
    <w:rsid w:val="00531011"/>
    <w:rsid w:val="00531274"/>
    <w:rsid w:val="00531548"/>
    <w:rsid w:val="0053179A"/>
    <w:rsid w:val="00531BA8"/>
    <w:rsid w:val="00531FDC"/>
    <w:rsid w:val="005324FF"/>
    <w:rsid w:val="00532880"/>
    <w:rsid w:val="005328F7"/>
    <w:rsid w:val="00532AA3"/>
    <w:rsid w:val="00533951"/>
    <w:rsid w:val="00533C25"/>
    <w:rsid w:val="0053443D"/>
    <w:rsid w:val="005344AB"/>
    <w:rsid w:val="005349F5"/>
    <w:rsid w:val="0053522C"/>
    <w:rsid w:val="0053526E"/>
    <w:rsid w:val="0053534D"/>
    <w:rsid w:val="005354C6"/>
    <w:rsid w:val="0053589A"/>
    <w:rsid w:val="00535F61"/>
    <w:rsid w:val="00536BC2"/>
    <w:rsid w:val="00536CDB"/>
    <w:rsid w:val="00537299"/>
    <w:rsid w:val="00537B2C"/>
    <w:rsid w:val="00537F7C"/>
    <w:rsid w:val="00540414"/>
    <w:rsid w:val="00540455"/>
    <w:rsid w:val="005406AC"/>
    <w:rsid w:val="005407E0"/>
    <w:rsid w:val="00541177"/>
    <w:rsid w:val="005413EE"/>
    <w:rsid w:val="00541543"/>
    <w:rsid w:val="00541A84"/>
    <w:rsid w:val="00541A88"/>
    <w:rsid w:val="00541D10"/>
    <w:rsid w:val="00542220"/>
    <w:rsid w:val="005430C9"/>
    <w:rsid w:val="0054360D"/>
    <w:rsid w:val="00543B12"/>
    <w:rsid w:val="00543D7B"/>
    <w:rsid w:val="0054438D"/>
    <w:rsid w:val="00544594"/>
    <w:rsid w:val="00544B84"/>
    <w:rsid w:val="005451CD"/>
    <w:rsid w:val="00545427"/>
    <w:rsid w:val="00545652"/>
    <w:rsid w:val="00545994"/>
    <w:rsid w:val="00545AA2"/>
    <w:rsid w:val="00546017"/>
    <w:rsid w:val="0054658D"/>
    <w:rsid w:val="005468CD"/>
    <w:rsid w:val="00546A93"/>
    <w:rsid w:val="00546B44"/>
    <w:rsid w:val="0054755F"/>
    <w:rsid w:val="00547764"/>
    <w:rsid w:val="00547965"/>
    <w:rsid w:val="00547DBC"/>
    <w:rsid w:val="00547FE6"/>
    <w:rsid w:val="0055042F"/>
    <w:rsid w:val="0055079A"/>
    <w:rsid w:val="00551211"/>
    <w:rsid w:val="00551EC1"/>
    <w:rsid w:val="00551F21"/>
    <w:rsid w:val="00552395"/>
    <w:rsid w:val="00552BAD"/>
    <w:rsid w:val="005532B5"/>
    <w:rsid w:val="00553B5F"/>
    <w:rsid w:val="005552A5"/>
    <w:rsid w:val="0055578E"/>
    <w:rsid w:val="00555DC1"/>
    <w:rsid w:val="00556041"/>
    <w:rsid w:val="00556065"/>
    <w:rsid w:val="005568FC"/>
    <w:rsid w:val="00556FAF"/>
    <w:rsid w:val="005570C3"/>
    <w:rsid w:val="005572A5"/>
    <w:rsid w:val="00557337"/>
    <w:rsid w:val="00557633"/>
    <w:rsid w:val="00557E67"/>
    <w:rsid w:val="00560180"/>
    <w:rsid w:val="00560275"/>
    <w:rsid w:val="005608B3"/>
    <w:rsid w:val="00560ED0"/>
    <w:rsid w:val="005613A9"/>
    <w:rsid w:val="005613D1"/>
    <w:rsid w:val="00561888"/>
    <w:rsid w:val="00561FE7"/>
    <w:rsid w:val="00562221"/>
    <w:rsid w:val="00562454"/>
    <w:rsid w:val="00563425"/>
    <w:rsid w:val="00563511"/>
    <w:rsid w:val="00563563"/>
    <w:rsid w:val="00564165"/>
    <w:rsid w:val="005643C7"/>
    <w:rsid w:val="0056470F"/>
    <w:rsid w:val="00564E89"/>
    <w:rsid w:val="0056544D"/>
    <w:rsid w:val="00566005"/>
    <w:rsid w:val="00566610"/>
    <w:rsid w:val="00566C5E"/>
    <w:rsid w:val="00567005"/>
    <w:rsid w:val="0056732A"/>
    <w:rsid w:val="0056797C"/>
    <w:rsid w:val="00567A67"/>
    <w:rsid w:val="00567B8F"/>
    <w:rsid w:val="00567BF8"/>
    <w:rsid w:val="00570398"/>
    <w:rsid w:val="005707FF"/>
    <w:rsid w:val="0057112B"/>
    <w:rsid w:val="005713AF"/>
    <w:rsid w:val="0057141B"/>
    <w:rsid w:val="00571A2E"/>
    <w:rsid w:val="00572220"/>
    <w:rsid w:val="00572325"/>
    <w:rsid w:val="0057297A"/>
    <w:rsid w:val="005733EE"/>
    <w:rsid w:val="005741BA"/>
    <w:rsid w:val="00574575"/>
    <w:rsid w:val="00574687"/>
    <w:rsid w:val="00574950"/>
    <w:rsid w:val="00575D24"/>
    <w:rsid w:val="00576EE0"/>
    <w:rsid w:val="00576F90"/>
    <w:rsid w:val="0057700A"/>
    <w:rsid w:val="0057790F"/>
    <w:rsid w:val="00577AA5"/>
    <w:rsid w:val="00580F12"/>
    <w:rsid w:val="0058157A"/>
    <w:rsid w:val="005816DF"/>
    <w:rsid w:val="0058181F"/>
    <w:rsid w:val="00581CE6"/>
    <w:rsid w:val="00581D6C"/>
    <w:rsid w:val="00581F58"/>
    <w:rsid w:val="00582479"/>
    <w:rsid w:val="00582F84"/>
    <w:rsid w:val="00582FAE"/>
    <w:rsid w:val="005835B0"/>
    <w:rsid w:val="00583611"/>
    <w:rsid w:val="00584CAD"/>
    <w:rsid w:val="005850D5"/>
    <w:rsid w:val="00585DA6"/>
    <w:rsid w:val="00585FBF"/>
    <w:rsid w:val="005860AB"/>
    <w:rsid w:val="00586BB8"/>
    <w:rsid w:val="00587092"/>
    <w:rsid w:val="00587170"/>
    <w:rsid w:val="00587289"/>
    <w:rsid w:val="0058777A"/>
    <w:rsid w:val="005902A0"/>
    <w:rsid w:val="00591049"/>
    <w:rsid w:val="005912FA"/>
    <w:rsid w:val="0059147D"/>
    <w:rsid w:val="00592572"/>
    <w:rsid w:val="0059269A"/>
    <w:rsid w:val="0059279A"/>
    <w:rsid w:val="00592C98"/>
    <w:rsid w:val="00592D59"/>
    <w:rsid w:val="00592F74"/>
    <w:rsid w:val="005931F1"/>
    <w:rsid w:val="00593526"/>
    <w:rsid w:val="005935A1"/>
    <w:rsid w:val="00593869"/>
    <w:rsid w:val="00594647"/>
    <w:rsid w:val="00594FF6"/>
    <w:rsid w:val="00595067"/>
    <w:rsid w:val="0059546F"/>
    <w:rsid w:val="00595E48"/>
    <w:rsid w:val="005964B0"/>
    <w:rsid w:val="00596BCE"/>
    <w:rsid w:val="00597A4B"/>
    <w:rsid w:val="005A00B3"/>
    <w:rsid w:val="005A0A42"/>
    <w:rsid w:val="005A0DB4"/>
    <w:rsid w:val="005A0F34"/>
    <w:rsid w:val="005A131C"/>
    <w:rsid w:val="005A1838"/>
    <w:rsid w:val="005A1AE1"/>
    <w:rsid w:val="005A1B14"/>
    <w:rsid w:val="005A1DFF"/>
    <w:rsid w:val="005A208F"/>
    <w:rsid w:val="005A24D7"/>
    <w:rsid w:val="005A2A53"/>
    <w:rsid w:val="005A2C8B"/>
    <w:rsid w:val="005A3387"/>
    <w:rsid w:val="005A342F"/>
    <w:rsid w:val="005A36D6"/>
    <w:rsid w:val="005A3B66"/>
    <w:rsid w:val="005A3DD1"/>
    <w:rsid w:val="005A4034"/>
    <w:rsid w:val="005A405A"/>
    <w:rsid w:val="005A42CB"/>
    <w:rsid w:val="005A495C"/>
    <w:rsid w:val="005A4D6D"/>
    <w:rsid w:val="005A5030"/>
    <w:rsid w:val="005A53B7"/>
    <w:rsid w:val="005A6355"/>
    <w:rsid w:val="005A6474"/>
    <w:rsid w:val="005A6514"/>
    <w:rsid w:val="005A657D"/>
    <w:rsid w:val="005A676A"/>
    <w:rsid w:val="005A6E8B"/>
    <w:rsid w:val="005A733A"/>
    <w:rsid w:val="005A73C1"/>
    <w:rsid w:val="005A76D8"/>
    <w:rsid w:val="005A7F14"/>
    <w:rsid w:val="005A7F95"/>
    <w:rsid w:val="005B015E"/>
    <w:rsid w:val="005B01EE"/>
    <w:rsid w:val="005B0F4A"/>
    <w:rsid w:val="005B10CC"/>
    <w:rsid w:val="005B14C8"/>
    <w:rsid w:val="005B168A"/>
    <w:rsid w:val="005B19A8"/>
    <w:rsid w:val="005B1EBB"/>
    <w:rsid w:val="005B278C"/>
    <w:rsid w:val="005B3AF2"/>
    <w:rsid w:val="005B3C69"/>
    <w:rsid w:val="005B4289"/>
    <w:rsid w:val="005B4A03"/>
    <w:rsid w:val="005B4D17"/>
    <w:rsid w:val="005B5058"/>
    <w:rsid w:val="005B5728"/>
    <w:rsid w:val="005B583F"/>
    <w:rsid w:val="005B5A89"/>
    <w:rsid w:val="005B61F8"/>
    <w:rsid w:val="005B64B0"/>
    <w:rsid w:val="005B65D6"/>
    <w:rsid w:val="005B6815"/>
    <w:rsid w:val="005B6E40"/>
    <w:rsid w:val="005B707E"/>
    <w:rsid w:val="005B7626"/>
    <w:rsid w:val="005B76DA"/>
    <w:rsid w:val="005B7822"/>
    <w:rsid w:val="005B7C3F"/>
    <w:rsid w:val="005C09F4"/>
    <w:rsid w:val="005C0D95"/>
    <w:rsid w:val="005C12D1"/>
    <w:rsid w:val="005C1A42"/>
    <w:rsid w:val="005C1DDC"/>
    <w:rsid w:val="005C1F08"/>
    <w:rsid w:val="005C204E"/>
    <w:rsid w:val="005C23CC"/>
    <w:rsid w:val="005C2A23"/>
    <w:rsid w:val="005C2CD0"/>
    <w:rsid w:val="005C2F67"/>
    <w:rsid w:val="005C3011"/>
    <w:rsid w:val="005C4215"/>
    <w:rsid w:val="005C4A90"/>
    <w:rsid w:val="005C4E45"/>
    <w:rsid w:val="005C54E7"/>
    <w:rsid w:val="005C56A3"/>
    <w:rsid w:val="005C59B9"/>
    <w:rsid w:val="005C5A39"/>
    <w:rsid w:val="005C6135"/>
    <w:rsid w:val="005C61B3"/>
    <w:rsid w:val="005C6534"/>
    <w:rsid w:val="005C67BA"/>
    <w:rsid w:val="005C7694"/>
    <w:rsid w:val="005C770B"/>
    <w:rsid w:val="005C79E5"/>
    <w:rsid w:val="005D0502"/>
    <w:rsid w:val="005D056D"/>
    <w:rsid w:val="005D09E5"/>
    <w:rsid w:val="005D0EBB"/>
    <w:rsid w:val="005D170D"/>
    <w:rsid w:val="005D17C7"/>
    <w:rsid w:val="005D17F0"/>
    <w:rsid w:val="005D1FC4"/>
    <w:rsid w:val="005D23EA"/>
    <w:rsid w:val="005D24DF"/>
    <w:rsid w:val="005D2C2E"/>
    <w:rsid w:val="005D2ECE"/>
    <w:rsid w:val="005D30EC"/>
    <w:rsid w:val="005D3885"/>
    <w:rsid w:val="005D3B6C"/>
    <w:rsid w:val="005D4142"/>
    <w:rsid w:val="005D42C2"/>
    <w:rsid w:val="005D4422"/>
    <w:rsid w:val="005D4A19"/>
    <w:rsid w:val="005D5188"/>
    <w:rsid w:val="005D5295"/>
    <w:rsid w:val="005D54F9"/>
    <w:rsid w:val="005D571A"/>
    <w:rsid w:val="005D5FD9"/>
    <w:rsid w:val="005D69B5"/>
    <w:rsid w:val="005D6B59"/>
    <w:rsid w:val="005D6D1D"/>
    <w:rsid w:val="005D706D"/>
    <w:rsid w:val="005D75AB"/>
    <w:rsid w:val="005E1022"/>
    <w:rsid w:val="005E113D"/>
    <w:rsid w:val="005E17CC"/>
    <w:rsid w:val="005E19D9"/>
    <w:rsid w:val="005E2BB3"/>
    <w:rsid w:val="005E2C4D"/>
    <w:rsid w:val="005E2F53"/>
    <w:rsid w:val="005E3B5C"/>
    <w:rsid w:val="005E42B3"/>
    <w:rsid w:val="005E4A45"/>
    <w:rsid w:val="005E50BB"/>
    <w:rsid w:val="005E5595"/>
    <w:rsid w:val="005E5678"/>
    <w:rsid w:val="005E5808"/>
    <w:rsid w:val="005E5DF9"/>
    <w:rsid w:val="005E635A"/>
    <w:rsid w:val="005E707C"/>
    <w:rsid w:val="005E7D8A"/>
    <w:rsid w:val="005F015D"/>
    <w:rsid w:val="005F01B3"/>
    <w:rsid w:val="005F0B75"/>
    <w:rsid w:val="005F0DA2"/>
    <w:rsid w:val="005F11A6"/>
    <w:rsid w:val="005F1469"/>
    <w:rsid w:val="005F22C2"/>
    <w:rsid w:val="005F26C2"/>
    <w:rsid w:val="005F2CBF"/>
    <w:rsid w:val="005F3051"/>
    <w:rsid w:val="005F3385"/>
    <w:rsid w:val="005F46F2"/>
    <w:rsid w:val="005F5471"/>
    <w:rsid w:val="005F63AA"/>
    <w:rsid w:val="005F67D7"/>
    <w:rsid w:val="005F7075"/>
    <w:rsid w:val="005F7490"/>
    <w:rsid w:val="005F7674"/>
    <w:rsid w:val="0060011D"/>
    <w:rsid w:val="0060027A"/>
    <w:rsid w:val="00600D06"/>
    <w:rsid w:val="00600F03"/>
    <w:rsid w:val="0060167A"/>
    <w:rsid w:val="00601A2A"/>
    <w:rsid w:val="00601F18"/>
    <w:rsid w:val="00602267"/>
    <w:rsid w:val="0060227F"/>
    <w:rsid w:val="00602508"/>
    <w:rsid w:val="006029AA"/>
    <w:rsid w:val="00603262"/>
    <w:rsid w:val="006035FC"/>
    <w:rsid w:val="00603633"/>
    <w:rsid w:val="00603780"/>
    <w:rsid w:val="00603C03"/>
    <w:rsid w:val="006045F8"/>
    <w:rsid w:val="00604A2A"/>
    <w:rsid w:val="00604D83"/>
    <w:rsid w:val="006053D5"/>
    <w:rsid w:val="00605892"/>
    <w:rsid w:val="006062E9"/>
    <w:rsid w:val="00606ADF"/>
    <w:rsid w:val="00607820"/>
    <w:rsid w:val="00607F66"/>
    <w:rsid w:val="0061012F"/>
    <w:rsid w:val="00610525"/>
    <w:rsid w:val="0061142D"/>
    <w:rsid w:val="00611452"/>
    <w:rsid w:val="00611A9F"/>
    <w:rsid w:val="00611C1A"/>
    <w:rsid w:val="00612225"/>
    <w:rsid w:val="0061241D"/>
    <w:rsid w:val="00612EE3"/>
    <w:rsid w:val="00612F5F"/>
    <w:rsid w:val="00613481"/>
    <w:rsid w:val="00614315"/>
    <w:rsid w:val="00614599"/>
    <w:rsid w:val="00614AAF"/>
    <w:rsid w:val="00614E72"/>
    <w:rsid w:val="00614E95"/>
    <w:rsid w:val="00615043"/>
    <w:rsid w:val="00615117"/>
    <w:rsid w:val="006156B7"/>
    <w:rsid w:val="006158B2"/>
    <w:rsid w:val="00615E0C"/>
    <w:rsid w:val="00615F3F"/>
    <w:rsid w:val="006162DF"/>
    <w:rsid w:val="0061673D"/>
    <w:rsid w:val="0061698F"/>
    <w:rsid w:val="00616E28"/>
    <w:rsid w:val="00617218"/>
    <w:rsid w:val="00617467"/>
    <w:rsid w:val="0061758A"/>
    <w:rsid w:val="006177C0"/>
    <w:rsid w:val="00617D92"/>
    <w:rsid w:val="00617FAE"/>
    <w:rsid w:val="00620590"/>
    <w:rsid w:val="00620656"/>
    <w:rsid w:val="00620F79"/>
    <w:rsid w:val="00620FE1"/>
    <w:rsid w:val="00621BAA"/>
    <w:rsid w:val="00621EE4"/>
    <w:rsid w:val="00622068"/>
    <w:rsid w:val="006221A2"/>
    <w:rsid w:val="00622C85"/>
    <w:rsid w:val="00622D8E"/>
    <w:rsid w:val="00623241"/>
    <w:rsid w:val="00623BD3"/>
    <w:rsid w:val="00623CE6"/>
    <w:rsid w:val="00623DF8"/>
    <w:rsid w:val="00623E3B"/>
    <w:rsid w:val="006244B3"/>
    <w:rsid w:val="006250FE"/>
    <w:rsid w:val="00625418"/>
    <w:rsid w:val="006256BD"/>
    <w:rsid w:val="00625893"/>
    <w:rsid w:val="006258AF"/>
    <w:rsid w:val="00625ACF"/>
    <w:rsid w:val="00626540"/>
    <w:rsid w:val="00626EE9"/>
    <w:rsid w:val="0062707B"/>
    <w:rsid w:val="00627D41"/>
    <w:rsid w:val="006304A5"/>
    <w:rsid w:val="006304B8"/>
    <w:rsid w:val="00631183"/>
    <w:rsid w:val="006316B7"/>
    <w:rsid w:val="00631841"/>
    <w:rsid w:val="00631CCC"/>
    <w:rsid w:val="00632135"/>
    <w:rsid w:val="00632A17"/>
    <w:rsid w:val="00632ABA"/>
    <w:rsid w:val="00632B62"/>
    <w:rsid w:val="006335FB"/>
    <w:rsid w:val="00633FE5"/>
    <w:rsid w:val="006343D6"/>
    <w:rsid w:val="00634A24"/>
    <w:rsid w:val="00634A3B"/>
    <w:rsid w:val="00634C92"/>
    <w:rsid w:val="00635237"/>
    <w:rsid w:val="006356EC"/>
    <w:rsid w:val="00635778"/>
    <w:rsid w:val="00635C18"/>
    <w:rsid w:val="00635C2D"/>
    <w:rsid w:val="00635DF6"/>
    <w:rsid w:val="00636014"/>
    <w:rsid w:val="0063617D"/>
    <w:rsid w:val="0063621F"/>
    <w:rsid w:val="006363B6"/>
    <w:rsid w:val="00636522"/>
    <w:rsid w:val="00636990"/>
    <w:rsid w:val="00636BA0"/>
    <w:rsid w:val="00636D80"/>
    <w:rsid w:val="00636EC1"/>
    <w:rsid w:val="00637181"/>
    <w:rsid w:val="00637271"/>
    <w:rsid w:val="00637B62"/>
    <w:rsid w:val="00637E11"/>
    <w:rsid w:val="00637EC1"/>
    <w:rsid w:val="00640025"/>
    <w:rsid w:val="006400F9"/>
    <w:rsid w:val="00640342"/>
    <w:rsid w:val="00640A25"/>
    <w:rsid w:val="00640F20"/>
    <w:rsid w:val="00640FBF"/>
    <w:rsid w:val="00641414"/>
    <w:rsid w:val="00641671"/>
    <w:rsid w:val="0064190F"/>
    <w:rsid w:val="00642E9E"/>
    <w:rsid w:val="00643538"/>
    <w:rsid w:val="00643671"/>
    <w:rsid w:val="00643F7B"/>
    <w:rsid w:val="00644467"/>
    <w:rsid w:val="00644709"/>
    <w:rsid w:val="00644CCB"/>
    <w:rsid w:val="00644F2B"/>
    <w:rsid w:val="006456AD"/>
    <w:rsid w:val="00645708"/>
    <w:rsid w:val="00645D53"/>
    <w:rsid w:val="00646635"/>
    <w:rsid w:val="00646ABB"/>
    <w:rsid w:val="00646B35"/>
    <w:rsid w:val="00647D58"/>
    <w:rsid w:val="00647FD6"/>
    <w:rsid w:val="006502EE"/>
    <w:rsid w:val="00650C7B"/>
    <w:rsid w:val="00650E8C"/>
    <w:rsid w:val="00650F54"/>
    <w:rsid w:val="00650FD5"/>
    <w:rsid w:val="00651367"/>
    <w:rsid w:val="00651B57"/>
    <w:rsid w:val="00651B93"/>
    <w:rsid w:val="00651BB6"/>
    <w:rsid w:val="0065212C"/>
    <w:rsid w:val="006523D1"/>
    <w:rsid w:val="0065302D"/>
    <w:rsid w:val="0065305E"/>
    <w:rsid w:val="00653188"/>
    <w:rsid w:val="00653DD5"/>
    <w:rsid w:val="00654881"/>
    <w:rsid w:val="00654936"/>
    <w:rsid w:val="00654AFF"/>
    <w:rsid w:val="00655329"/>
    <w:rsid w:val="00655994"/>
    <w:rsid w:val="00655E79"/>
    <w:rsid w:val="006561C5"/>
    <w:rsid w:val="00656287"/>
    <w:rsid w:val="0065658B"/>
    <w:rsid w:val="00656638"/>
    <w:rsid w:val="006568C3"/>
    <w:rsid w:val="00656C75"/>
    <w:rsid w:val="00656F20"/>
    <w:rsid w:val="006570C1"/>
    <w:rsid w:val="0065712B"/>
    <w:rsid w:val="006575BB"/>
    <w:rsid w:val="0065763C"/>
    <w:rsid w:val="0065765B"/>
    <w:rsid w:val="006578CE"/>
    <w:rsid w:val="00657A04"/>
    <w:rsid w:val="006609E6"/>
    <w:rsid w:val="00660D89"/>
    <w:rsid w:val="006611C5"/>
    <w:rsid w:val="00661679"/>
    <w:rsid w:val="006619D1"/>
    <w:rsid w:val="00661A30"/>
    <w:rsid w:val="0066206F"/>
    <w:rsid w:val="0066228A"/>
    <w:rsid w:val="00662752"/>
    <w:rsid w:val="00662995"/>
    <w:rsid w:val="00663676"/>
    <w:rsid w:val="0066479F"/>
    <w:rsid w:val="00664D21"/>
    <w:rsid w:val="006651C2"/>
    <w:rsid w:val="006653DF"/>
    <w:rsid w:val="0066566B"/>
    <w:rsid w:val="006659F2"/>
    <w:rsid w:val="00665E3A"/>
    <w:rsid w:val="00665EC8"/>
    <w:rsid w:val="0066616F"/>
    <w:rsid w:val="006662DC"/>
    <w:rsid w:val="00666C4D"/>
    <w:rsid w:val="00666E7D"/>
    <w:rsid w:val="00667126"/>
    <w:rsid w:val="006673F7"/>
    <w:rsid w:val="0066747E"/>
    <w:rsid w:val="006677E1"/>
    <w:rsid w:val="006679C8"/>
    <w:rsid w:val="00667A21"/>
    <w:rsid w:val="0067072C"/>
    <w:rsid w:val="006713AB"/>
    <w:rsid w:val="0067152A"/>
    <w:rsid w:val="0067187A"/>
    <w:rsid w:val="006719D8"/>
    <w:rsid w:val="00671C04"/>
    <w:rsid w:val="00671C16"/>
    <w:rsid w:val="00671D5A"/>
    <w:rsid w:val="00671E9D"/>
    <w:rsid w:val="0067226C"/>
    <w:rsid w:val="006724EE"/>
    <w:rsid w:val="00672B07"/>
    <w:rsid w:val="00672B7F"/>
    <w:rsid w:val="00672FFA"/>
    <w:rsid w:val="0067334D"/>
    <w:rsid w:val="00673DE2"/>
    <w:rsid w:val="00673F9D"/>
    <w:rsid w:val="006745FA"/>
    <w:rsid w:val="00675105"/>
    <w:rsid w:val="00675468"/>
    <w:rsid w:val="00675A0D"/>
    <w:rsid w:val="00675B17"/>
    <w:rsid w:val="00677733"/>
    <w:rsid w:val="00677D08"/>
    <w:rsid w:val="006800DA"/>
    <w:rsid w:val="006804B8"/>
    <w:rsid w:val="006808F1"/>
    <w:rsid w:val="00681297"/>
    <w:rsid w:val="006813E0"/>
    <w:rsid w:val="00681414"/>
    <w:rsid w:val="00681F9E"/>
    <w:rsid w:val="0068213D"/>
    <w:rsid w:val="00682A76"/>
    <w:rsid w:val="00682C84"/>
    <w:rsid w:val="00682E73"/>
    <w:rsid w:val="006830B5"/>
    <w:rsid w:val="00683101"/>
    <w:rsid w:val="00683133"/>
    <w:rsid w:val="00683880"/>
    <w:rsid w:val="0068401B"/>
    <w:rsid w:val="00684956"/>
    <w:rsid w:val="00684D96"/>
    <w:rsid w:val="00684F87"/>
    <w:rsid w:val="006851FA"/>
    <w:rsid w:val="006852E2"/>
    <w:rsid w:val="00687118"/>
    <w:rsid w:val="0068714A"/>
    <w:rsid w:val="00687341"/>
    <w:rsid w:val="00687EB5"/>
    <w:rsid w:val="006903CD"/>
    <w:rsid w:val="00690685"/>
    <w:rsid w:val="006917EA"/>
    <w:rsid w:val="00691A67"/>
    <w:rsid w:val="00692123"/>
    <w:rsid w:val="006923E7"/>
    <w:rsid w:val="00692F58"/>
    <w:rsid w:val="00693418"/>
    <w:rsid w:val="00693448"/>
    <w:rsid w:val="0069384A"/>
    <w:rsid w:val="0069396B"/>
    <w:rsid w:val="00693E66"/>
    <w:rsid w:val="006940D0"/>
    <w:rsid w:val="00694709"/>
    <w:rsid w:val="00694886"/>
    <w:rsid w:val="006950B9"/>
    <w:rsid w:val="00695C06"/>
    <w:rsid w:val="00695F22"/>
    <w:rsid w:val="00695FD9"/>
    <w:rsid w:val="00696221"/>
    <w:rsid w:val="00696726"/>
    <w:rsid w:val="00697196"/>
    <w:rsid w:val="0069722B"/>
    <w:rsid w:val="006977EE"/>
    <w:rsid w:val="00697A93"/>
    <w:rsid w:val="006A004C"/>
    <w:rsid w:val="006A00F3"/>
    <w:rsid w:val="006A0158"/>
    <w:rsid w:val="006A0170"/>
    <w:rsid w:val="006A022E"/>
    <w:rsid w:val="006A0979"/>
    <w:rsid w:val="006A0B95"/>
    <w:rsid w:val="006A0DE8"/>
    <w:rsid w:val="006A125D"/>
    <w:rsid w:val="006A12DA"/>
    <w:rsid w:val="006A18EA"/>
    <w:rsid w:val="006A1986"/>
    <w:rsid w:val="006A1BDF"/>
    <w:rsid w:val="006A1F13"/>
    <w:rsid w:val="006A20A1"/>
    <w:rsid w:val="006A2B22"/>
    <w:rsid w:val="006A2E9C"/>
    <w:rsid w:val="006A367C"/>
    <w:rsid w:val="006A374E"/>
    <w:rsid w:val="006A390C"/>
    <w:rsid w:val="006A3953"/>
    <w:rsid w:val="006A3BAE"/>
    <w:rsid w:val="006A3F3B"/>
    <w:rsid w:val="006A3F8C"/>
    <w:rsid w:val="006A47C5"/>
    <w:rsid w:val="006A47E3"/>
    <w:rsid w:val="006A4CD3"/>
    <w:rsid w:val="006A4DB4"/>
    <w:rsid w:val="006A53A5"/>
    <w:rsid w:val="006A5555"/>
    <w:rsid w:val="006A6BB5"/>
    <w:rsid w:val="006A6D76"/>
    <w:rsid w:val="006A743A"/>
    <w:rsid w:val="006A793D"/>
    <w:rsid w:val="006A7E4A"/>
    <w:rsid w:val="006B04C6"/>
    <w:rsid w:val="006B0EED"/>
    <w:rsid w:val="006B1463"/>
    <w:rsid w:val="006B1D48"/>
    <w:rsid w:val="006B1E31"/>
    <w:rsid w:val="006B2064"/>
    <w:rsid w:val="006B2977"/>
    <w:rsid w:val="006B3160"/>
    <w:rsid w:val="006B3A86"/>
    <w:rsid w:val="006B3B9D"/>
    <w:rsid w:val="006B3E3B"/>
    <w:rsid w:val="006B3E99"/>
    <w:rsid w:val="006B3FFC"/>
    <w:rsid w:val="006B40DF"/>
    <w:rsid w:val="006B4186"/>
    <w:rsid w:val="006B5496"/>
    <w:rsid w:val="006B59EC"/>
    <w:rsid w:val="006B5B77"/>
    <w:rsid w:val="006B6269"/>
    <w:rsid w:val="006B6CBB"/>
    <w:rsid w:val="006B6FBC"/>
    <w:rsid w:val="006B744E"/>
    <w:rsid w:val="006B7951"/>
    <w:rsid w:val="006C0C4A"/>
    <w:rsid w:val="006C1057"/>
    <w:rsid w:val="006C1EC0"/>
    <w:rsid w:val="006C201E"/>
    <w:rsid w:val="006C23EB"/>
    <w:rsid w:val="006C25E5"/>
    <w:rsid w:val="006C3AD1"/>
    <w:rsid w:val="006C3FB8"/>
    <w:rsid w:val="006C4313"/>
    <w:rsid w:val="006C4B5E"/>
    <w:rsid w:val="006C5343"/>
    <w:rsid w:val="006C57F0"/>
    <w:rsid w:val="006C5A5C"/>
    <w:rsid w:val="006C5A8A"/>
    <w:rsid w:val="006C5BC1"/>
    <w:rsid w:val="006C6174"/>
    <w:rsid w:val="006C6D24"/>
    <w:rsid w:val="006C6E9F"/>
    <w:rsid w:val="006C7078"/>
    <w:rsid w:val="006C788A"/>
    <w:rsid w:val="006C79F0"/>
    <w:rsid w:val="006C7D0A"/>
    <w:rsid w:val="006C7E68"/>
    <w:rsid w:val="006D1715"/>
    <w:rsid w:val="006D1810"/>
    <w:rsid w:val="006D1BA2"/>
    <w:rsid w:val="006D1EA9"/>
    <w:rsid w:val="006D2DB4"/>
    <w:rsid w:val="006D386A"/>
    <w:rsid w:val="006D3CD1"/>
    <w:rsid w:val="006D3DB2"/>
    <w:rsid w:val="006D4522"/>
    <w:rsid w:val="006D4F7B"/>
    <w:rsid w:val="006D4FC9"/>
    <w:rsid w:val="006D5138"/>
    <w:rsid w:val="006D514C"/>
    <w:rsid w:val="006D625D"/>
    <w:rsid w:val="006D63BA"/>
    <w:rsid w:val="006D6407"/>
    <w:rsid w:val="006D64B5"/>
    <w:rsid w:val="006D6585"/>
    <w:rsid w:val="006D6663"/>
    <w:rsid w:val="006D68DB"/>
    <w:rsid w:val="006D69C9"/>
    <w:rsid w:val="006D6C89"/>
    <w:rsid w:val="006D710C"/>
    <w:rsid w:val="006D7636"/>
    <w:rsid w:val="006D7CC3"/>
    <w:rsid w:val="006E040E"/>
    <w:rsid w:val="006E076A"/>
    <w:rsid w:val="006E0C6D"/>
    <w:rsid w:val="006E0E1B"/>
    <w:rsid w:val="006E0FF6"/>
    <w:rsid w:val="006E1643"/>
    <w:rsid w:val="006E182C"/>
    <w:rsid w:val="006E18E7"/>
    <w:rsid w:val="006E1918"/>
    <w:rsid w:val="006E2375"/>
    <w:rsid w:val="006E2AF1"/>
    <w:rsid w:val="006E2F30"/>
    <w:rsid w:val="006E2FE1"/>
    <w:rsid w:val="006E3262"/>
    <w:rsid w:val="006E3263"/>
    <w:rsid w:val="006E34CA"/>
    <w:rsid w:val="006E3753"/>
    <w:rsid w:val="006E41B0"/>
    <w:rsid w:val="006E41D1"/>
    <w:rsid w:val="006E45A3"/>
    <w:rsid w:val="006E4A46"/>
    <w:rsid w:val="006E4E19"/>
    <w:rsid w:val="006E4E86"/>
    <w:rsid w:val="006E597C"/>
    <w:rsid w:val="006E5A2C"/>
    <w:rsid w:val="006E5C32"/>
    <w:rsid w:val="006E6090"/>
    <w:rsid w:val="006E6590"/>
    <w:rsid w:val="006E66BD"/>
    <w:rsid w:val="006E66E0"/>
    <w:rsid w:val="006E6EAF"/>
    <w:rsid w:val="006E73D3"/>
    <w:rsid w:val="006E77A2"/>
    <w:rsid w:val="006F050A"/>
    <w:rsid w:val="006F06C2"/>
    <w:rsid w:val="006F0B95"/>
    <w:rsid w:val="006F0C93"/>
    <w:rsid w:val="006F0D2E"/>
    <w:rsid w:val="006F12BA"/>
    <w:rsid w:val="006F161C"/>
    <w:rsid w:val="006F162B"/>
    <w:rsid w:val="006F167C"/>
    <w:rsid w:val="006F1E06"/>
    <w:rsid w:val="006F1F53"/>
    <w:rsid w:val="006F3044"/>
    <w:rsid w:val="006F3A7B"/>
    <w:rsid w:val="006F4288"/>
    <w:rsid w:val="006F4676"/>
    <w:rsid w:val="006F4B8B"/>
    <w:rsid w:val="006F4FC4"/>
    <w:rsid w:val="006F5307"/>
    <w:rsid w:val="006F5444"/>
    <w:rsid w:val="006F54B1"/>
    <w:rsid w:val="006F5AA0"/>
    <w:rsid w:val="006F6936"/>
    <w:rsid w:val="006F6A0C"/>
    <w:rsid w:val="006F6B5A"/>
    <w:rsid w:val="006F6CA2"/>
    <w:rsid w:val="006F6E2F"/>
    <w:rsid w:val="006F714E"/>
    <w:rsid w:val="006F7C31"/>
    <w:rsid w:val="006F7CDA"/>
    <w:rsid w:val="006F7DFB"/>
    <w:rsid w:val="0070013C"/>
    <w:rsid w:val="007014FB"/>
    <w:rsid w:val="0070155B"/>
    <w:rsid w:val="00701612"/>
    <w:rsid w:val="00701C71"/>
    <w:rsid w:val="00701CD1"/>
    <w:rsid w:val="00701DA4"/>
    <w:rsid w:val="00702033"/>
    <w:rsid w:val="0070212D"/>
    <w:rsid w:val="0070258C"/>
    <w:rsid w:val="00702994"/>
    <w:rsid w:val="007029AB"/>
    <w:rsid w:val="00702D07"/>
    <w:rsid w:val="00702DC1"/>
    <w:rsid w:val="00703413"/>
    <w:rsid w:val="007038D5"/>
    <w:rsid w:val="00703E11"/>
    <w:rsid w:val="00703EDB"/>
    <w:rsid w:val="007040B6"/>
    <w:rsid w:val="00704189"/>
    <w:rsid w:val="007048D7"/>
    <w:rsid w:val="00704CA9"/>
    <w:rsid w:val="00704DC8"/>
    <w:rsid w:val="00704FAD"/>
    <w:rsid w:val="00705652"/>
    <w:rsid w:val="007057BD"/>
    <w:rsid w:val="00706587"/>
    <w:rsid w:val="00706741"/>
    <w:rsid w:val="0070692B"/>
    <w:rsid w:val="00706CC0"/>
    <w:rsid w:val="00706D2E"/>
    <w:rsid w:val="00706F12"/>
    <w:rsid w:val="007072E5"/>
    <w:rsid w:val="007077D4"/>
    <w:rsid w:val="00707904"/>
    <w:rsid w:val="00707AFD"/>
    <w:rsid w:val="00707F9A"/>
    <w:rsid w:val="00710015"/>
    <w:rsid w:val="007101F3"/>
    <w:rsid w:val="00710633"/>
    <w:rsid w:val="00710B73"/>
    <w:rsid w:val="007119D1"/>
    <w:rsid w:val="00711AEE"/>
    <w:rsid w:val="00711F6C"/>
    <w:rsid w:val="00712AFD"/>
    <w:rsid w:val="00712C54"/>
    <w:rsid w:val="00712D7C"/>
    <w:rsid w:val="00713644"/>
    <w:rsid w:val="00713878"/>
    <w:rsid w:val="00713D0F"/>
    <w:rsid w:val="00713DBA"/>
    <w:rsid w:val="0071424E"/>
    <w:rsid w:val="0071431B"/>
    <w:rsid w:val="00714D4C"/>
    <w:rsid w:val="00715B22"/>
    <w:rsid w:val="00715BF3"/>
    <w:rsid w:val="00716077"/>
    <w:rsid w:val="007169C0"/>
    <w:rsid w:val="00716ECF"/>
    <w:rsid w:val="00717729"/>
    <w:rsid w:val="00717E79"/>
    <w:rsid w:val="00720F84"/>
    <w:rsid w:val="0072125A"/>
    <w:rsid w:val="00721B5F"/>
    <w:rsid w:val="007220B3"/>
    <w:rsid w:val="00722AF9"/>
    <w:rsid w:val="00722F8C"/>
    <w:rsid w:val="0072339C"/>
    <w:rsid w:val="00723986"/>
    <w:rsid w:val="00723A6C"/>
    <w:rsid w:val="00724122"/>
    <w:rsid w:val="0072476D"/>
    <w:rsid w:val="00724794"/>
    <w:rsid w:val="0072490E"/>
    <w:rsid w:val="00724D26"/>
    <w:rsid w:val="00724D27"/>
    <w:rsid w:val="00724DDD"/>
    <w:rsid w:val="00724DDF"/>
    <w:rsid w:val="00725DA3"/>
    <w:rsid w:val="0072600D"/>
    <w:rsid w:val="0072627E"/>
    <w:rsid w:val="00726310"/>
    <w:rsid w:val="007263D7"/>
    <w:rsid w:val="00726B11"/>
    <w:rsid w:val="00726D42"/>
    <w:rsid w:val="0072786B"/>
    <w:rsid w:val="00727BA7"/>
    <w:rsid w:val="0073010B"/>
    <w:rsid w:val="0073038D"/>
    <w:rsid w:val="007309FB"/>
    <w:rsid w:val="00731454"/>
    <w:rsid w:val="00731980"/>
    <w:rsid w:val="00731D7E"/>
    <w:rsid w:val="00732837"/>
    <w:rsid w:val="00732D2C"/>
    <w:rsid w:val="007338B3"/>
    <w:rsid w:val="00733BBB"/>
    <w:rsid w:val="00733C70"/>
    <w:rsid w:val="00733E77"/>
    <w:rsid w:val="00733FD4"/>
    <w:rsid w:val="007345A2"/>
    <w:rsid w:val="00734724"/>
    <w:rsid w:val="00734FDD"/>
    <w:rsid w:val="00735194"/>
    <w:rsid w:val="007353BE"/>
    <w:rsid w:val="007357F1"/>
    <w:rsid w:val="00736266"/>
    <w:rsid w:val="0073694E"/>
    <w:rsid w:val="007369C5"/>
    <w:rsid w:val="00736BEC"/>
    <w:rsid w:val="007375A2"/>
    <w:rsid w:val="00737D5E"/>
    <w:rsid w:val="007403CB"/>
    <w:rsid w:val="00740BD5"/>
    <w:rsid w:val="00740EC7"/>
    <w:rsid w:val="00741053"/>
    <w:rsid w:val="00741AD7"/>
    <w:rsid w:val="00741C93"/>
    <w:rsid w:val="0074320C"/>
    <w:rsid w:val="00743BE9"/>
    <w:rsid w:val="00743CEF"/>
    <w:rsid w:val="00743D75"/>
    <w:rsid w:val="00744385"/>
    <w:rsid w:val="00744675"/>
    <w:rsid w:val="0074534B"/>
    <w:rsid w:val="00745766"/>
    <w:rsid w:val="0074647A"/>
    <w:rsid w:val="00746A5F"/>
    <w:rsid w:val="00746B54"/>
    <w:rsid w:val="0074758A"/>
    <w:rsid w:val="00747CC9"/>
    <w:rsid w:val="00750097"/>
    <w:rsid w:val="00750A8F"/>
    <w:rsid w:val="0075109A"/>
    <w:rsid w:val="00751397"/>
    <w:rsid w:val="0075190D"/>
    <w:rsid w:val="00751C6A"/>
    <w:rsid w:val="00751DC7"/>
    <w:rsid w:val="00751E43"/>
    <w:rsid w:val="007534E0"/>
    <w:rsid w:val="00753A56"/>
    <w:rsid w:val="00753EA9"/>
    <w:rsid w:val="00754899"/>
    <w:rsid w:val="00754947"/>
    <w:rsid w:val="00754B71"/>
    <w:rsid w:val="00754DCD"/>
    <w:rsid w:val="007550A6"/>
    <w:rsid w:val="007552E9"/>
    <w:rsid w:val="007554E1"/>
    <w:rsid w:val="007555E7"/>
    <w:rsid w:val="00755655"/>
    <w:rsid w:val="00755CA1"/>
    <w:rsid w:val="00755CF9"/>
    <w:rsid w:val="007561E8"/>
    <w:rsid w:val="0075624C"/>
    <w:rsid w:val="00756816"/>
    <w:rsid w:val="00756E49"/>
    <w:rsid w:val="00756EC2"/>
    <w:rsid w:val="00757801"/>
    <w:rsid w:val="0076020A"/>
    <w:rsid w:val="00760586"/>
    <w:rsid w:val="00760BC0"/>
    <w:rsid w:val="007615C1"/>
    <w:rsid w:val="00761617"/>
    <w:rsid w:val="0076170B"/>
    <w:rsid w:val="00761DA2"/>
    <w:rsid w:val="00762128"/>
    <w:rsid w:val="0076253D"/>
    <w:rsid w:val="007627C2"/>
    <w:rsid w:val="00762AF5"/>
    <w:rsid w:val="00762E14"/>
    <w:rsid w:val="0076352F"/>
    <w:rsid w:val="00763666"/>
    <w:rsid w:val="007638F4"/>
    <w:rsid w:val="007640C1"/>
    <w:rsid w:val="00764491"/>
    <w:rsid w:val="007649FB"/>
    <w:rsid w:val="00764B55"/>
    <w:rsid w:val="00764B5D"/>
    <w:rsid w:val="00764DED"/>
    <w:rsid w:val="00764EF2"/>
    <w:rsid w:val="0076560F"/>
    <w:rsid w:val="00765665"/>
    <w:rsid w:val="00765869"/>
    <w:rsid w:val="0076590C"/>
    <w:rsid w:val="00765963"/>
    <w:rsid w:val="00765E9E"/>
    <w:rsid w:val="00765F6E"/>
    <w:rsid w:val="00766379"/>
    <w:rsid w:val="007663EE"/>
    <w:rsid w:val="00767331"/>
    <w:rsid w:val="00767F66"/>
    <w:rsid w:val="00770627"/>
    <w:rsid w:val="0077169B"/>
    <w:rsid w:val="00771981"/>
    <w:rsid w:val="00771BD3"/>
    <w:rsid w:val="0077269D"/>
    <w:rsid w:val="00772B1C"/>
    <w:rsid w:val="00772C5E"/>
    <w:rsid w:val="00772D4E"/>
    <w:rsid w:val="00772D52"/>
    <w:rsid w:val="007736C4"/>
    <w:rsid w:val="00773709"/>
    <w:rsid w:val="00773AFC"/>
    <w:rsid w:val="007748E0"/>
    <w:rsid w:val="007753E5"/>
    <w:rsid w:val="0077576B"/>
    <w:rsid w:val="007758F2"/>
    <w:rsid w:val="00775B13"/>
    <w:rsid w:val="00776354"/>
    <w:rsid w:val="00776D60"/>
    <w:rsid w:val="00776E8D"/>
    <w:rsid w:val="007778CE"/>
    <w:rsid w:val="00777A0A"/>
    <w:rsid w:val="007800C8"/>
    <w:rsid w:val="007801EF"/>
    <w:rsid w:val="0078053E"/>
    <w:rsid w:val="0078084D"/>
    <w:rsid w:val="00780DEF"/>
    <w:rsid w:val="00780E99"/>
    <w:rsid w:val="00780F95"/>
    <w:rsid w:val="00781BB6"/>
    <w:rsid w:val="00781CA0"/>
    <w:rsid w:val="007821FC"/>
    <w:rsid w:val="00782311"/>
    <w:rsid w:val="00782C49"/>
    <w:rsid w:val="007835D7"/>
    <w:rsid w:val="00783FAF"/>
    <w:rsid w:val="00784B0F"/>
    <w:rsid w:val="00785784"/>
    <w:rsid w:val="00785806"/>
    <w:rsid w:val="00785807"/>
    <w:rsid w:val="00786175"/>
    <w:rsid w:val="0078632E"/>
    <w:rsid w:val="007865AE"/>
    <w:rsid w:val="00787936"/>
    <w:rsid w:val="00787C8A"/>
    <w:rsid w:val="007903BE"/>
    <w:rsid w:val="007904BB"/>
    <w:rsid w:val="007904FA"/>
    <w:rsid w:val="0079053F"/>
    <w:rsid w:val="00790BCF"/>
    <w:rsid w:val="007910C0"/>
    <w:rsid w:val="007911E7"/>
    <w:rsid w:val="0079132D"/>
    <w:rsid w:val="00791FAC"/>
    <w:rsid w:val="00792A99"/>
    <w:rsid w:val="00792B88"/>
    <w:rsid w:val="00792D45"/>
    <w:rsid w:val="00792FC6"/>
    <w:rsid w:val="0079318F"/>
    <w:rsid w:val="007936B6"/>
    <w:rsid w:val="0079407B"/>
    <w:rsid w:val="007940F8"/>
    <w:rsid w:val="00794799"/>
    <w:rsid w:val="00795066"/>
    <w:rsid w:val="00795583"/>
    <w:rsid w:val="00795680"/>
    <w:rsid w:val="007956EB"/>
    <w:rsid w:val="00795E4A"/>
    <w:rsid w:val="00796009"/>
    <w:rsid w:val="00796DC5"/>
    <w:rsid w:val="00796E19"/>
    <w:rsid w:val="0079711F"/>
    <w:rsid w:val="00797216"/>
    <w:rsid w:val="00797310"/>
    <w:rsid w:val="007A0618"/>
    <w:rsid w:val="007A06DF"/>
    <w:rsid w:val="007A0B3C"/>
    <w:rsid w:val="007A0B84"/>
    <w:rsid w:val="007A0F8D"/>
    <w:rsid w:val="007A0FBB"/>
    <w:rsid w:val="007A1D4B"/>
    <w:rsid w:val="007A2452"/>
    <w:rsid w:val="007A277C"/>
    <w:rsid w:val="007A29BF"/>
    <w:rsid w:val="007A2A59"/>
    <w:rsid w:val="007A2B11"/>
    <w:rsid w:val="007A2EB0"/>
    <w:rsid w:val="007A2FC8"/>
    <w:rsid w:val="007A33AC"/>
    <w:rsid w:val="007A3545"/>
    <w:rsid w:val="007A4275"/>
    <w:rsid w:val="007A42B3"/>
    <w:rsid w:val="007A469F"/>
    <w:rsid w:val="007A4A12"/>
    <w:rsid w:val="007A4F2D"/>
    <w:rsid w:val="007A5815"/>
    <w:rsid w:val="007A5A49"/>
    <w:rsid w:val="007A5BB2"/>
    <w:rsid w:val="007A65B9"/>
    <w:rsid w:val="007A65EF"/>
    <w:rsid w:val="007A685C"/>
    <w:rsid w:val="007A6A27"/>
    <w:rsid w:val="007A6B36"/>
    <w:rsid w:val="007A6BC4"/>
    <w:rsid w:val="007A7107"/>
    <w:rsid w:val="007A7770"/>
    <w:rsid w:val="007B0002"/>
    <w:rsid w:val="007B047C"/>
    <w:rsid w:val="007B0529"/>
    <w:rsid w:val="007B07A2"/>
    <w:rsid w:val="007B0A18"/>
    <w:rsid w:val="007B0D87"/>
    <w:rsid w:val="007B1167"/>
    <w:rsid w:val="007B1890"/>
    <w:rsid w:val="007B1FA9"/>
    <w:rsid w:val="007B20DF"/>
    <w:rsid w:val="007B2731"/>
    <w:rsid w:val="007B2CA0"/>
    <w:rsid w:val="007B2F09"/>
    <w:rsid w:val="007B3039"/>
    <w:rsid w:val="007B309F"/>
    <w:rsid w:val="007B3674"/>
    <w:rsid w:val="007B3C24"/>
    <w:rsid w:val="007B41F8"/>
    <w:rsid w:val="007B43EA"/>
    <w:rsid w:val="007B48C8"/>
    <w:rsid w:val="007B5921"/>
    <w:rsid w:val="007B5B29"/>
    <w:rsid w:val="007B5BB9"/>
    <w:rsid w:val="007B5DEB"/>
    <w:rsid w:val="007B5E90"/>
    <w:rsid w:val="007B5EEF"/>
    <w:rsid w:val="007B620C"/>
    <w:rsid w:val="007B65D5"/>
    <w:rsid w:val="007B667A"/>
    <w:rsid w:val="007B66E0"/>
    <w:rsid w:val="007B6C57"/>
    <w:rsid w:val="007B6CDD"/>
    <w:rsid w:val="007B6EBB"/>
    <w:rsid w:val="007B716A"/>
    <w:rsid w:val="007B71A0"/>
    <w:rsid w:val="007B73DF"/>
    <w:rsid w:val="007B75EE"/>
    <w:rsid w:val="007B777B"/>
    <w:rsid w:val="007B7B9C"/>
    <w:rsid w:val="007B7BF0"/>
    <w:rsid w:val="007C0392"/>
    <w:rsid w:val="007C12CA"/>
    <w:rsid w:val="007C1F1F"/>
    <w:rsid w:val="007C25E4"/>
    <w:rsid w:val="007C2618"/>
    <w:rsid w:val="007C28F6"/>
    <w:rsid w:val="007C3133"/>
    <w:rsid w:val="007C328A"/>
    <w:rsid w:val="007C39FD"/>
    <w:rsid w:val="007C3B57"/>
    <w:rsid w:val="007C41AE"/>
    <w:rsid w:val="007C4C24"/>
    <w:rsid w:val="007C4E56"/>
    <w:rsid w:val="007C4FC4"/>
    <w:rsid w:val="007C528D"/>
    <w:rsid w:val="007C53C4"/>
    <w:rsid w:val="007C5A54"/>
    <w:rsid w:val="007C5EB1"/>
    <w:rsid w:val="007C63AE"/>
    <w:rsid w:val="007C6847"/>
    <w:rsid w:val="007C689D"/>
    <w:rsid w:val="007C6CC9"/>
    <w:rsid w:val="007C74A4"/>
    <w:rsid w:val="007D0539"/>
    <w:rsid w:val="007D0893"/>
    <w:rsid w:val="007D09CA"/>
    <w:rsid w:val="007D0FD9"/>
    <w:rsid w:val="007D10B4"/>
    <w:rsid w:val="007D13A6"/>
    <w:rsid w:val="007D13BB"/>
    <w:rsid w:val="007D1418"/>
    <w:rsid w:val="007D18FF"/>
    <w:rsid w:val="007D1BC4"/>
    <w:rsid w:val="007D1C0E"/>
    <w:rsid w:val="007D25A8"/>
    <w:rsid w:val="007D2607"/>
    <w:rsid w:val="007D29C8"/>
    <w:rsid w:val="007D2A04"/>
    <w:rsid w:val="007D2A52"/>
    <w:rsid w:val="007D2DD8"/>
    <w:rsid w:val="007D37A4"/>
    <w:rsid w:val="007D3A46"/>
    <w:rsid w:val="007D42ED"/>
    <w:rsid w:val="007D4AD0"/>
    <w:rsid w:val="007D4B3E"/>
    <w:rsid w:val="007D554D"/>
    <w:rsid w:val="007D576F"/>
    <w:rsid w:val="007D582C"/>
    <w:rsid w:val="007D5B35"/>
    <w:rsid w:val="007D5C45"/>
    <w:rsid w:val="007D5EBE"/>
    <w:rsid w:val="007D5F7D"/>
    <w:rsid w:val="007D6059"/>
    <w:rsid w:val="007D6297"/>
    <w:rsid w:val="007D654E"/>
    <w:rsid w:val="007D6CCE"/>
    <w:rsid w:val="007D6EDB"/>
    <w:rsid w:val="007D78CA"/>
    <w:rsid w:val="007D7B4E"/>
    <w:rsid w:val="007D7BDD"/>
    <w:rsid w:val="007D7D8D"/>
    <w:rsid w:val="007E04B1"/>
    <w:rsid w:val="007E0765"/>
    <w:rsid w:val="007E08B0"/>
    <w:rsid w:val="007E0C98"/>
    <w:rsid w:val="007E0EC4"/>
    <w:rsid w:val="007E0F12"/>
    <w:rsid w:val="007E0F19"/>
    <w:rsid w:val="007E1AC2"/>
    <w:rsid w:val="007E1B91"/>
    <w:rsid w:val="007E21DA"/>
    <w:rsid w:val="007E23CC"/>
    <w:rsid w:val="007E266F"/>
    <w:rsid w:val="007E28E8"/>
    <w:rsid w:val="007E29F0"/>
    <w:rsid w:val="007E2AAA"/>
    <w:rsid w:val="007E2D1D"/>
    <w:rsid w:val="007E3001"/>
    <w:rsid w:val="007E30DF"/>
    <w:rsid w:val="007E3643"/>
    <w:rsid w:val="007E4122"/>
    <w:rsid w:val="007E4E52"/>
    <w:rsid w:val="007E4F3B"/>
    <w:rsid w:val="007E50B4"/>
    <w:rsid w:val="007E520C"/>
    <w:rsid w:val="007E53C4"/>
    <w:rsid w:val="007E54B6"/>
    <w:rsid w:val="007E58D4"/>
    <w:rsid w:val="007E5CA0"/>
    <w:rsid w:val="007E60F4"/>
    <w:rsid w:val="007E6786"/>
    <w:rsid w:val="007E68E1"/>
    <w:rsid w:val="007E6B56"/>
    <w:rsid w:val="007E6F14"/>
    <w:rsid w:val="007E712A"/>
    <w:rsid w:val="007E785E"/>
    <w:rsid w:val="007E7955"/>
    <w:rsid w:val="007E7BE7"/>
    <w:rsid w:val="007E7F99"/>
    <w:rsid w:val="007F06B3"/>
    <w:rsid w:val="007F0D64"/>
    <w:rsid w:val="007F2334"/>
    <w:rsid w:val="007F355A"/>
    <w:rsid w:val="007F35BF"/>
    <w:rsid w:val="007F3E2B"/>
    <w:rsid w:val="007F42BD"/>
    <w:rsid w:val="007F4475"/>
    <w:rsid w:val="007F4844"/>
    <w:rsid w:val="007F4854"/>
    <w:rsid w:val="007F4AE6"/>
    <w:rsid w:val="007F4D81"/>
    <w:rsid w:val="007F5252"/>
    <w:rsid w:val="007F5CAE"/>
    <w:rsid w:val="007F5E3C"/>
    <w:rsid w:val="007F5F7A"/>
    <w:rsid w:val="007F60FB"/>
    <w:rsid w:val="007F7617"/>
    <w:rsid w:val="00800214"/>
    <w:rsid w:val="0080077D"/>
    <w:rsid w:val="00800F3A"/>
    <w:rsid w:val="008013B8"/>
    <w:rsid w:val="008017DA"/>
    <w:rsid w:val="008018BE"/>
    <w:rsid w:val="00802159"/>
    <w:rsid w:val="0080238E"/>
    <w:rsid w:val="008023D0"/>
    <w:rsid w:val="00802E8D"/>
    <w:rsid w:val="008034BE"/>
    <w:rsid w:val="00803950"/>
    <w:rsid w:val="00803B23"/>
    <w:rsid w:val="00803C8E"/>
    <w:rsid w:val="0080405A"/>
    <w:rsid w:val="008043CD"/>
    <w:rsid w:val="0080445C"/>
    <w:rsid w:val="008049CD"/>
    <w:rsid w:val="00805313"/>
    <w:rsid w:val="008057BA"/>
    <w:rsid w:val="00805814"/>
    <w:rsid w:val="00805948"/>
    <w:rsid w:val="0080679B"/>
    <w:rsid w:val="00807154"/>
    <w:rsid w:val="008106E2"/>
    <w:rsid w:val="0081178C"/>
    <w:rsid w:val="008118EB"/>
    <w:rsid w:val="00811AF7"/>
    <w:rsid w:val="0081204A"/>
    <w:rsid w:val="008120F3"/>
    <w:rsid w:val="00812180"/>
    <w:rsid w:val="008129CA"/>
    <w:rsid w:val="00812AA3"/>
    <w:rsid w:val="00812D1B"/>
    <w:rsid w:val="00812EDE"/>
    <w:rsid w:val="00813847"/>
    <w:rsid w:val="00813906"/>
    <w:rsid w:val="00814059"/>
    <w:rsid w:val="00814397"/>
    <w:rsid w:val="008146E1"/>
    <w:rsid w:val="008149FB"/>
    <w:rsid w:val="00814A07"/>
    <w:rsid w:val="00814D18"/>
    <w:rsid w:val="00814E4C"/>
    <w:rsid w:val="008152CA"/>
    <w:rsid w:val="008153FF"/>
    <w:rsid w:val="008155EE"/>
    <w:rsid w:val="0081588E"/>
    <w:rsid w:val="008160AE"/>
    <w:rsid w:val="00817605"/>
    <w:rsid w:val="00817B23"/>
    <w:rsid w:val="00817B77"/>
    <w:rsid w:val="00817CBF"/>
    <w:rsid w:val="00817E3D"/>
    <w:rsid w:val="00820CE1"/>
    <w:rsid w:val="008219B3"/>
    <w:rsid w:val="00821CB7"/>
    <w:rsid w:val="00821E8F"/>
    <w:rsid w:val="008222BC"/>
    <w:rsid w:val="008227DA"/>
    <w:rsid w:val="00822A34"/>
    <w:rsid w:val="00822E2F"/>
    <w:rsid w:val="00823C24"/>
    <w:rsid w:val="00824956"/>
    <w:rsid w:val="00824B01"/>
    <w:rsid w:val="00824BAE"/>
    <w:rsid w:val="00824BE0"/>
    <w:rsid w:val="008250E6"/>
    <w:rsid w:val="00825152"/>
    <w:rsid w:val="0082579F"/>
    <w:rsid w:val="0082719A"/>
    <w:rsid w:val="00827FF0"/>
    <w:rsid w:val="00830A9F"/>
    <w:rsid w:val="00830AD6"/>
    <w:rsid w:val="00830ADA"/>
    <w:rsid w:val="00830F7C"/>
    <w:rsid w:val="00831339"/>
    <w:rsid w:val="0083148C"/>
    <w:rsid w:val="00831577"/>
    <w:rsid w:val="008316D9"/>
    <w:rsid w:val="008318FB"/>
    <w:rsid w:val="00831F85"/>
    <w:rsid w:val="0083338F"/>
    <w:rsid w:val="00833923"/>
    <w:rsid w:val="00833DCB"/>
    <w:rsid w:val="008344E5"/>
    <w:rsid w:val="008345A4"/>
    <w:rsid w:val="00834FA3"/>
    <w:rsid w:val="00835134"/>
    <w:rsid w:val="008351CE"/>
    <w:rsid w:val="00835EEA"/>
    <w:rsid w:val="008362CD"/>
    <w:rsid w:val="0083633F"/>
    <w:rsid w:val="00837146"/>
    <w:rsid w:val="00837189"/>
    <w:rsid w:val="008372DF"/>
    <w:rsid w:val="00837655"/>
    <w:rsid w:val="0083799F"/>
    <w:rsid w:val="00837BCF"/>
    <w:rsid w:val="00837D5D"/>
    <w:rsid w:val="008400F3"/>
    <w:rsid w:val="008406B6"/>
    <w:rsid w:val="008408C6"/>
    <w:rsid w:val="00840A45"/>
    <w:rsid w:val="00840A9A"/>
    <w:rsid w:val="00840C3A"/>
    <w:rsid w:val="00840D34"/>
    <w:rsid w:val="008410D9"/>
    <w:rsid w:val="00841661"/>
    <w:rsid w:val="0084173C"/>
    <w:rsid w:val="00841781"/>
    <w:rsid w:val="00842402"/>
    <w:rsid w:val="00842629"/>
    <w:rsid w:val="0084297C"/>
    <w:rsid w:val="008429DC"/>
    <w:rsid w:val="00842A2E"/>
    <w:rsid w:val="00842D43"/>
    <w:rsid w:val="00843752"/>
    <w:rsid w:val="00843BED"/>
    <w:rsid w:val="00843F81"/>
    <w:rsid w:val="00844153"/>
    <w:rsid w:val="0084491C"/>
    <w:rsid w:val="00844FCD"/>
    <w:rsid w:val="008452EE"/>
    <w:rsid w:val="008456FC"/>
    <w:rsid w:val="00845A92"/>
    <w:rsid w:val="00845FE7"/>
    <w:rsid w:val="00846B59"/>
    <w:rsid w:val="00846BE1"/>
    <w:rsid w:val="0084757B"/>
    <w:rsid w:val="008477AC"/>
    <w:rsid w:val="00847848"/>
    <w:rsid w:val="00847B67"/>
    <w:rsid w:val="00847E85"/>
    <w:rsid w:val="008501F2"/>
    <w:rsid w:val="0085053C"/>
    <w:rsid w:val="00850AD1"/>
    <w:rsid w:val="0085118B"/>
    <w:rsid w:val="0085149C"/>
    <w:rsid w:val="008518C0"/>
    <w:rsid w:val="008519A9"/>
    <w:rsid w:val="00851A86"/>
    <w:rsid w:val="00852038"/>
    <w:rsid w:val="00852579"/>
    <w:rsid w:val="00852C35"/>
    <w:rsid w:val="00852D7E"/>
    <w:rsid w:val="00852E60"/>
    <w:rsid w:val="00852F36"/>
    <w:rsid w:val="008534B0"/>
    <w:rsid w:val="00853514"/>
    <w:rsid w:val="00853C95"/>
    <w:rsid w:val="00853EF7"/>
    <w:rsid w:val="00853EFA"/>
    <w:rsid w:val="008543EC"/>
    <w:rsid w:val="008544AE"/>
    <w:rsid w:val="0085456A"/>
    <w:rsid w:val="008549D6"/>
    <w:rsid w:val="00855CAA"/>
    <w:rsid w:val="00856440"/>
    <w:rsid w:val="008571AE"/>
    <w:rsid w:val="0085749A"/>
    <w:rsid w:val="00857CE7"/>
    <w:rsid w:val="00860000"/>
    <w:rsid w:val="00860797"/>
    <w:rsid w:val="00860A07"/>
    <w:rsid w:val="00860D06"/>
    <w:rsid w:val="00861453"/>
    <w:rsid w:val="00861520"/>
    <w:rsid w:val="008622A2"/>
    <w:rsid w:val="00862B9F"/>
    <w:rsid w:val="00862BA3"/>
    <w:rsid w:val="00862C73"/>
    <w:rsid w:val="008630E4"/>
    <w:rsid w:val="00863B1B"/>
    <w:rsid w:val="0086431C"/>
    <w:rsid w:val="00864391"/>
    <w:rsid w:val="008644CF"/>
    <w:rsid w:val="0086486B"/>
    <w:rsid w:val="00864CF4"/>
    <w:rsid w:val="00864F98"/>
    <w:rsid w:val="00865192"/>
    <w:rsid w:val="008658A0"/>
    <w:rsid w:val="00865D76"/>
    <w:rsid w:val="0086633E"/>
    <w:rsid w:val="008663FD"/>
    <w:rsid w:val="008665F5"/>
    <w:rsid w:val="0086663B"/>
    <w:rsid w:val="008666F3"/>
    <w:rsid w:val="00866AD8"/>
    <w:rsid w:val="00866B9B"/>
    <w:rsid w:val="008678F2"/>
    <w:rsid w:val="00867F9F"/>
    <w:rsid w:val="00870287"/>
    <w:rsid w:val="00870A48"/>
    <w:rsid w:val="00870AC1"/>
    <w:rsid w:val="00870C7C"/>
    <w:rsid w:val="008713D0"/>
    <w:rsid w:val="0087158F"/>
    <w:rsid w:val="008719AD"/>
    <w:rsid w:val="00871C8A"/>
    <w:rsid w:val="0087216D"/>
    <w:rsid w:val="00872243"/>
    <w:rsid w:val="008729EC"/>
    <w:rsid w:val="00872AD9"/>
    <w:rsid w:val="00872BA6"/>
    <w:rsid w:val="00872C2B"/>
    <w:rsid w:val="00872DE9"/>
    <w:rsid w:val="00873524"/>
    <w:rsid w:val="00873907"/>
    <w:rsid w:val="00873F88"/>
    <w:rsid w:val="00874487"/>
    <w:rsid w:val="008746CE"/>
    <w:rsid w:val="00874895"/>
    <w:rsid w:val="00874E05"/>
    <w:rsid w:val="00874F75"/>
    <w:rsid w:val="008750C3"/>
    <w:rsid w:val="008758C7"/>
    <w:rsid w:val="0087593D"/>
    <w:rsid w:val="008759B6"/>
    <w:rsid w:val="00875A6E"/>
    <w:rsid w:val="00875BF9"/>
    <w:rsid w:val="00876979"/>
    <w:rsid w:val="00877B55"/>
    <w:rsid w:val="00877C95"/>
    <w:rsid w:val="00877F4A"/>
    <w:rsid w:val="008800C4"/>
    <w:rsid w:val="008800EF"/>
    <w:rsid w:val="00880466"/>
    <w:rsid w:val="008804BB"/>
    <w:rsid w:val="008806FF"/>
    <w:rsid w:val="00880CAD"/>
    <w:rsid w:val="0088151D"/>
    <w:rsid w:val="00881E51"/>
    <w:rsid w:val="00882B38"/>
    <w:rsid w:val="00882B9C"/>
    <w:rsid w:val="00882DF2"/>
    <w:rsid w:val="00882F1F"/>
    <w:rsid w:val="00882F2F"/>
    <w:rsid w:val="00882F32"/>
    <w:rsid w:val="0088377C"/>
    <w:rsid w:val="00883DD7"/>
    <w:rsid w:val="0088456C"/>
    <w:rsid w:val="008855FD"/>
    <w:rsid w:val="00885603"/>
    <w:rsid w:val="00885790"/>
    <w:rsid w:val="0088685C"/>
    <w:rsid w:val="00886A3C"/>
    <w:rsid w:val="00887128"/>
    <w:rsid w:val="0088713F"/>
    <w:rsid w:val="008872F0"/>
    <w:rsid w:val="0088736C"/>
    <w:rsid w:val="0088760D"/>
    <w:rsid w:val="00890399"/>
    <w:rsid w:val="008909FB"/>
    <w:rsid w:val="00890A2E"/>
    <w:rsid w:val="00890BC5"/>
    <w:rsid w:val="00890C28"/>
    <w:rsid w:val="0089106D"/>
    <w:rsid w:val="00891CBE"/>
    <w:rsid w:val="00891DBE"/>
    <w:rsid w:val="008920F6"/>
    <w:rsid w:val="008921F3"/>
    <w:rsid w:val="008924CE"/>
    <w:rsid w:val="00892771"/>
    <w:rsid w:val="00892BCE"/>
    <w:rsid w:val="00893659"/>
    <w:rsid w:val="00893CD2"/>
    <w:rsid w:val="008942EB"/>
    <w:rsid w:val="008945BB"/>
    <w:rsid w:val="00894CE5"/>
    <w:rsid w:val="00894E69"/>
    <w:rsid w:val="00895F6D"/>
    <w:rsid w:val="008962A9"/>
    <w:rsid w:val="008964BB"/>
    <w:rsid w:val="008969C1"/>
    <w:rsid w:val="00896B6D"/>
    <w:rsid w:val="00896F44"/>
    <w:rsid w:val="00897CD8"/>
    <w:rsid w:val="00897E16"/>
    <w:rsid w:val="008A0079"/>
    <w:rsid w:val="008A023B"/>
    <w:rsid w:val="008A0493"/>
    <w:rsid w:val="008A0E55"/>
    <w:rsid w:val="008A0F07"/>
    <w:rsid w:val="008A0FE8"/>
    <w:rsid w:val="008A176B"/>
    <w:rsid w:val="008A19F8"/>
    <w:rsid w:val="008A1D9C"/>
    <w:rsid w:val="008A2235"/>
    <w:rsid w:val="008A25D7"/>
    <w:rsid w:val="008A27CC"/>
    <w:rsid w:val="008A28E0"/>
    <w:rsid w:val="008A29CB"/>
    <w:rsid w:val="008A2FA0"/>
    <w:rsid w:val="008A3058"/>
    <w:rsid w:val="008A32BC"/>
    <w:rsid w:val="008A348F"/>
    <w:rsid w:val="008A3971"/>
    <w:rsid w:val="008A3C84"/>
    <w:rsid w:val="008A407B"/>
    <w:rsid w:val="008A41FA"/>
    <w:rsid w:val="008A5580"/>
    <w:rsid w:val="008A6DF3"/>
    <w:rsid w:val="008A6FCD"/>
    <w:rsid w:val="008A7388"/>
    <w:rsid w:val="008A7472"/>
    <w:rsid w:val="008A76CF"/>
    <w:rsid w:val="008A76E2"/>
    <w:rsid w:val="008B01A6"/>
    <w:rsid w:val="008B0316"/>
    <w:rsid w:val="008B03B3"/>
    <w:rsid w:val="008B0B0A"/>
    <w:rsid w:val="008B12CD"/>
    <w:rsid w:val="008B132D"/>
    <w:rsid w:val="008B1804"/>
    <w:rsid w:val="008B1B27"/>
    <w:rsid w:val="008B29AB"/>
    <w:rsid w:val="008B2F63"/>
    <w:rsid w:val="008B3159"/>
    <w:rsid w:val="008B36F4"/>
    <w:rsid w:val="008B3821"/>
    <w:rsid w:val="008B3964"/>
    <w:rsid w:val="008B3B59"/>
    <w:rsid w:val="008B3BE6"/>
    <w:rsid w:val="008B49DB"/>
    <w:rsid w:val="008B4C1D"/>
    <w:rsid w:val="008B5187"/>
    <w:rsid w:val="008B53DA"/>
    <w:rsid w:val="008B5542"/>
    <w:rsid w:val="008B58FF"/>
    <w:rsid w:val="008B5E15"/>
    <w:rsid w:val="008B723D"/>
    <w:rsid w:val="008B738F"/>
    <w:rsid w:val="008B7ADE"/>
    <w:rsid w:val="008C02F0"/>
    <w:rsid w:val="008C0A11"/>
    <w:rsid w:val="008C0D18"/>
    <w:rsid w:val="008C0D72"/>
    <w:rsid w:val="008C1688"/>
    <w:rsid w:val="008C1B1A"/>
    <w:rsid w:val="008C1B7D"/>
    <w:rsid w:val="008C1F8E"/>
    <w:rsid w:val="008C208E"/>
    <w:rsid w:val="008C22CB"/>
    <w:rsid w:val="008C238E"/>
    <w:rsid w:val="008C30C6"/>
    <w:rsid w:val="008C3351"/>
    <w:rsid w:val="008C3911"/>
    <w:rsid w:val="008C39D4"/>
    <w:rsid w:val="008C45C9"/>
    <w:rsid w:val="008C4B30"/>
    <w:rsid w:val="008C4B64"/>
    <w:rsid w:val="008C4E98"/>
    <w:rsid w:val="008C4ECD"/>
    <w:rsid w:val="008C4EF7"/>
    <w:rsid w:val="008C5465"/>
    <w:rsid w:val="008C551F"/>
    <w:rsid w:val="008C5820"/>
    <w:rsid w:val="008C5867"/>
    <w:rsid w:val="008C5AED"/>
    <w:rsid w:val="008C61AB"/>
    <w:rsid w:val="008C61E4"/>
    <w:rsid w:val="008C67F8"/>
    <w:rsid w:val="008C698E"/>
    <w:rsid w:val="008C70B1"/>
    <w:rsid w:val="008C71DE"/>
    <w:rsid w:val="008C7B6A"/>
    <w:rsid w:val="008D0232"/>
    <w:rsid w:val="008D0307"/>
    <w:rsid w:val="008D0761"/>
    <w:rsid w:val="008D1336"/>
    <w:rsid w:val="008D1424"/>
    <w:rsid w:val="008D1638"/>
    <w:rsid w:val="008D2AA3"/>
    <w:rsid w:val="008D2E0A"/>
    <w:rsid w:val="008D3065"/>
    <w:rsid w:val="008D3183"/>
    <w:rsid w:val="008D31F7"/>
    <w:rsid w:val="008D3676"/>
    <w:rsid w:val="008D36C3"/>
    <w:rsid w:val="008D3713"/>
    <w:rsid w:val="008D3FFD"/>
    <w:rsid w:val="008D4115"/>
    <w:rsid w:val="008D4692"/>
    <w:rsid w:val="008D4A73"/>
    <w:rsid w:val="008D4B81"/>
    <w:rsid w:val="008D4C64"/>
    <w:rsid w:val="008D4E85"/>
    <w:rsid w:val="008D4FC8"/>
    <w:rsid w:val="008D4FFF"/>
    <w:rsid w:val="008D5226"/>
    <w:rsid w:val="008D52D8"/>
    <w:rsid w:val="008D548D"/>
    <w:rsid w:val="008D54AC"/>
    <w:rsid w:val="008D54EC"/>
    <w:rsid w:val="008D628F"/>
    <w:rsid w:val="008D6516"/>
    <w:rsid w:val="008D66E7"/>
    <w:rsid w:val="008D724C"/>
    <w:rsid w:val="008D7668"/>
    <w:rsid w:val="008D7C2A"/>
    <w:rsid w:val="008E0455"/>
    <w:rsid w:val="008E0A3E"/>
    <w:rsid w:val="008E0CAD"/>
    <w:rsid w:val="008E0EBC"/>
    <w:rsid w:val="008E14FD"/>
    <w:rsid w:val="008E1B84"/>
    <w:rsid w:val="008E1CA1"/>
    <w:rsid w:val="008E200C"/>
    <w:rsid w:val="008E2211"/>
    <w:rsid w:val="008E2EFC"/>
    <w:rsid w:val="008E2FB5"/>
    <w:rsid w:val="008E32FE"/>
    <w:rsid w:val="008E346C"/>
    <w:rsid w:val="008E3642"/>
    <w:rsid w:val="008E39EB"/>
    <w:rsid w:val="008E3A0D"/>
    <w:rsid w:val="008E44EA"/>
    <w:rsid w:val="008E50DD"/>
    <w:rsid w:val="008E52E4"/>
    <w:rsid w:val="008E553F"/>
    <w:rsid w:val="008E578F"/>
    <w:rsid w:val="008E5971"/>
    <w:rsid w:val="008E5A35"/>
    <w:rsid w:val="008E5B36"/>
    <w:rsid w:val="008E5D75"/>
    <w:rsid w:val="008E6015"/>
    <w:rsid w:val="008E6840"/>
    <w:rsid w:val="008E6D07"/>
    <w:rsid w:val="008E6D0D"/>
    <w:rsid w:val="008E6E5D"/>
    <w:rsid w:val="008E6F07"/>
    <w:rsid w:val="008E7D01"/>
    <w:rsid w:val="008E7E0C"/>
    <w:rsid w:val="008E7FD6"/>
    <w:rsid w:val="008F0115"/>
    <w:rsid w:val="008F02B7"/>
    <w:rsid w:val="008F0A81"/>
    <w:rsid w:val="008F0D90"/>
    <w:rsid w:val="008F11A5"/>
    <w:rsid w:val="008F1B6F"/>
    <w:rsid w:val="008F1FFC"/>
    <w:rsid w:val="008F20A8"/>
    <w:rsid w:val="008F21D4"/>
    <w:rsid w:val="008F23B4"/>
    <w:rsid w:val="008F2744"/>
    <w:rsid w:val="008F29CE"/>
    <w:rsid w:val="008F3033"/>
    <w:rsid w:val="008F30CC"/>
    <w:rsid w:val="008F3229"/>
    <w:rsid w:val="008F368C"/>
    <w:rsid w:val="008F38D6"/>
    <w:rsid w:val="008F3BC0"/>
    <w:rsid w:val="008F423F"/>
    <w:rsid w:val="008F42F1"/>
    <w:rsid w:val="008F51B4"/>
    <w:rsid w:val="008F5809"/>
    <w:rsid w:val="008F5AC8"/>
    <w:rsid w:val="008F5BCF"/>
    <w:rsid w:val="008F5C43"/>
    <w:rsid w:val="008F5F9B"/>
    <w:rsid w:val="008F629C"/>
    <w:rsid w:val="008F6340"/>
    <w:rsid w:val="008F65FC"/>
    <w:rsid w:val="008F6BD6"/>
    <w:rsid w:val="008F6D74"/>
    <w:rsid w:val="008F7049"/>
    <w:rsid w:val="008F715A"/>
    <w:rsid w:val="008F7249"/>
    <w:rsid w:val="008F76B0"/>
    <w:rsid w:val="008F7877"/>
    <w:rsid w:val="008F7F6B"/>
    <w:rsid w:val="00900739"/>
    <w:rsid w:val="00900942"/>
    <w:rsid w:val="009009D6"/>
    <w:rsid w:val="00900C38"/>
    <w:rsid w:val="009010E5"/>
    <w:rsid w:val="009028FC"/>
    <w:rsid w:val="00902BAF"/>
    <w:rsid w:val="00903BBB"/>
    <w:rsid w:val="009042E9"/>
    <w:rsid w:val="009045D0"/>
    <w:rsid w:val="00904788"/>
    <w:rsid w:val="00904A0A"/>
    <w:rsid w:val="00904C43"/>
    <w:rsid w:val="00904CD5"/>
    <w:rsid w:val="00904FDD"/>
    <w:rsid w:val="00905068"/>
    <w:rsid w:val="0090591D"/>
    <w:rsid w:val="00905E2C"/>
    <w:rsid w:val="009063DA"/>
    <w:rsid w:val="00906605"/>
    <w:rsid w:val="00906CF5"/>
    <w:rsid w:val="00907095"/>
    <w:rsid w:val="00907137"/>
    <w:rsid w:val="0090731E"/>
    <w:rsid w:val="009102CE"/>
    <w:rsid w:val="00910490"/>
    <w:rsid w:val="00910A68"/>
    <w:rsid w:val="00910D77"/>
    <w:rsid w:val="009115AC"/>
    <w:rsid w:val="0091161B"/>
    <w:rsid w:val="00911FB0"/>
    <w:rsid w:val="009120D7"/>
    <w:rsid w:val="0091287C"/>
    <w:rsid w:val="009130DC"/>
    <w:rsid w:val="00913173"/>
    <w:rsid w:val="00913304"/>
    <w:rsid w:val="00913647"/>
    <w:rsid w:val="009137D2"/>
    <w:rsid w:val="00913929"/>
    <w:rsid w:val="00913DEE"/>
    <w:rsid w:val="00914335"/>
    <w:rsid w:val="009144DE"/>
    <w:rsid w:val="009146A1"/>
    <w:rsid w:val="00914CFD"/>
    <w:rsid w:val="00914DF3"/>
    <w:rsid w:val="009151CF"/>
    <w:rsid w:val="009153F2"/>
    <w:rsid w:val="009159CE"/>
    <w:rsid w:val="00915DAA"/>
    <w:rsid w:val="00916076"/>
    <w:rsid w:val="00916629"/>
    <w:rsid w:val="00916913"/>
    <w:rsid w:val="0091705F"/>
    <w:rsid w:val="00917851"/>
    <w:rsid w:val="009178BD"/>
    <w:rsid w:val="009178DA"/>
    <w:rsid w:val="00917E38"/>
    <w:rsid w:val="00920879"/>
    <w:rsid w:val="009209BC"/>
    <w:rsid w:val="00920E91"/>
    <w:rsid w:val="009215B9"/>
    <w:rsid w:val="0092199F"/>
    <w:rsid w:val="00921AA8"/>
    <w:rsid w:val="00921B0A"/>
    <w:rsid w:val="009222F3"/>
    <w:rsid w:val="0092287D"/>
    <w:rsid w:val="00922A05"/>
    <w:rsid w:val="00922EE8"/>
    <w:rsid w:val="00923AE3"/>
    <w:rsid w:val="00923CB0"/>
    <w:rsid w:val="00923DD1"/>
    <w:rsid w:val="009240D9"/>
    <w:rsid w:val="009246B2"/>
    <w:rsid w:val="0092475D"/>
    <w:rsid w:val="0092475E"/>
    <w:rsid w:val="009251BA"/>
    <w:rsid w:val="0092538C"/>
    <w:rsid w:val="00925391"/>
    <w:rsid w:val="00925E1F"/>
    <w:rsid w:val="00925E71"/>
    <w:rsid w:val="00925E9C"/>
    <w:rsid w:val="009263F8"/>
    <w:rsid w:val="00926423"/>
    <w:rsid w:val="009264B4"/>
    <w:rsid w:val="00926600"/>
    <w:rsid w:val="00926CD2"/>
    <w:rsid w:val="00927161"/>
    <w:rsid w:val="0092749E"/>
    <w:rsid w:val="009279C9"/>
    <w:rsid w:val="0093064B"/>
    <w:rsid w:val="00930E52"/>
    <w:rsid w:val="009312A8"/>
    <w:rsid w:val="00931CE1"/>
    <w:rsid w:val="00931E2C"/>
    <w:rsid w:val="009323FD"/>
    <w:rsid w:val="009335B3"/>
    <w:rsid w:val="0093376B"/>
    <w:rsid w:val="00933C4E"/>
    <w:rsid w:val="00933C99"/>
    <w:rsid w:val="00933E6E"/>
    <w:rsid w:val="0093422E"/>
    <w:rsid w:val="0093458E"/>
    <w:rsid w:val="00934865"/>
    <w:rsid w:val="00934A96"/>
    <w:rsid w:val="009350DE"/>
    <w:rsid w:val="00935256"/>
    <w:rsid w:val="00935621"/>
    <w:rsid w:val="00935ADD"/>
    <w:rsid w:val="009364EA"/>
    <w:rsid w:val="0093682B"/>
    <w:rsid w:val="00936852"/>
    <w:rsid w:val="00936992"/>
    <w:rsid w:val="00936C05"/>
    <w:rsid w:val="00936C89"/>
    <w:rsid w:val="00937074"/>
    <w:rsid w:val="0093711F"/>
    <w:rsid w:val="00937230"/>
    <w:rsid w:val="00937601"/>
    <w:rsid w:val="009376EE"/>
    <w:rsid w:val="009379B3"/>
    <w:rsid w:val="00937BDB"/>
    <w:rsid w:val="00937CA7"/>
    <w:rsid w:val="009400CC"/>
    <w:rsid w:val="00940162"/>
    <w:rsid w:val="0094028F"/>
    <w:rsid w:val="009403CE"/>
    <w:rsid w:val="009405C4"/>
    <w:rsid w:val="00940764"/>
    <w:rsid w:val="009407AC"/>
    <w:rsid w:val="00940988"/>
    <w:rsid w:val="009413C3"/>
    <w:rsid w:val="00941AA0"/>
    <w:rsid w:val="00941C84"/>
    <w:rsid w:val="00941EF9"/>
    <w:rsid w:val="009424B9"/>
    <w:rsid w:val="00942E1D"/>
    <w:rsid w:val="00942EE6"/>
    <w:rsid w:val="00942FBD"/>
    <w:rsid w:val="00943318"/>
    <w:rsid w:val="009435DE"/>
    <w:rsid w:val="009442CA"/>
    <w:rsid w:val="009444C3"/>
    <w:rsid w:val="00944B03"/>
    <w:rsid w:val="00944F1E"/>
    <w:rsid w:val="00945306"/>
    <w:rsid w:val="00945DFB"/>
    <w:rsid w:val="009460B9"/>
    <w:rsid w:val="00946FC1"/>
    <w:rsid w:val="00946FE5"/>
    <w:rsid w:val="0094707B"/>
    <w:rsid w:val="009470AA"/>
    <w:rsid w:val="009474EE"/>
    <w:rsid w:val="00947CBF"/>
    <w:rsid w:val="009501BF"/>
    <w:rsid w:val="00950426"/>
    <w:rsid w:val="00951B63"/>
    <w:rsid w:val="00951D18"/>
    <w:rsid w:val="009520F8"/>
    <w:rsid w:val="009528BC"/>
    <w:rsid w:val="00952B84"/>
    <w:rsid w:val="00952D33"/>
    <w:rsid w:val="00952FF0"/>
    <w:rsid w:val="009538AD"/>
    <w:rsid w:val="00953A41"/>
    <w:rsid w:val="00954354"/>
    <w:rsid w:val="00954C1C"/>
    <w:rsid w:val="00955563"/>
    <w:rsid w:val="009556A4"/>
    <w:rsid w:val="0095579A"/>
    <w:rsid w:val="00955AB5"/>
    <w:rsid w:val="0095649C"/>
    <w:rsid w:val="00956632"/>
    <w:rsid w:val="00956857"/>
    <w:rsid w:val="009571C4"/>
    <w:rsid w:val="0095746D"/>
    <w:rsid w:val="00957CDE"/>
    <w:rsid w:val="009601D1"/>
    <w:rsid w:val="00960711"/>
    <w:rsid w:val="009609DF"/>
    <w:rsid w:val="00960A93"/>
    <w:rsid w:val="00960EE4"/>
    <w:rsid w:val="00961BC9"/>
    <w:rsid w:val="009623C7"/>
    <w:rsid w:val="009623D7"/>
    <w:rsid w:val="00962608"/>
    <w:rsid w:val="0096316E"/>
    <w:rsid w:val="00965143"/>
    <w:rsid w:val="00965BEF"/>
    <w:rsid w:val="009664D6"/>
    <w:rsid w:val="00966566"/>
    <w:rsid w:val="00966C4C"/>
    <w:rsid w:val="00967090"/>
    <w:rsid w:val="00967245"/>
    <w:rsid w:val="00967350"/>
    <w:rsid w:val="00967B77"/>
    <w:rsid w:val="00967BBE"/>
    <w:rsid w:val="00967BD8"/>
    <w:rsid w:val="00967DD9"/>
    <w:rsid w:val="009700DA"/>
    <w:rsid w:val="00970101"/>
    <w:rsid w:val="0097061F"/>
    <w:rsid w:val="00970BC1"/>
    <w:rsid w:val="009710C2"/>
    <w:rsid w:val="00971FBC"/>
    <w:rsid w:val="00971FFE"/>
    <w:rsid w:val="00972216"/>
    <w:rsid w:val="009728F8"/>
    <w:rsid w:val="00972990"/>
    <w:rsid w:val="00972CBA"/>
    <w:rsid w:val="00973274"/>
    <w:rsid w:val="0097343C"/>
    <w:rsid w:val="00973568"/>
    <w:rsid w:val="00973799"/>
    <w:rsid w:val="009740D4"/>
    <w:rsid w:val="00974746"/>
    <w:rsid w:val="00974B7B"/>
    <w:rsid w:val="00974BBD"/>
    <w:rsid w:val="00974C58"/>
    <w:rsid w:val="00974D04"/>
    <w:rsid w:val="00975853"/>
    <w:rsid w:val="00975E6D"/>
    <w:rsid w:val="00975F15"/>
    <w:rsid w:val="009769EA"/>
    <w:rsid w:val="00976D49"/>
    <w:rsid w:val="009772BB"/>
    <w:rsid w:val="009777BA"/>
    <w:rsid w:val="00977B38"/>
    <w:rsid w:val="009800DE"/>
    <w:rsid w:val="0098014A"/>
    <w:rsid w:val="009802C1"/>
    <w:rsid w:val="0098086A"/>
    <w:rsid w:val="00980D43"/>
    <w:rsid w:val="009818F3"/>
    <w:rsid w:val="00981A93"/>
    <w:rsid w:val="00981B9B"/>
    <w:rsid w:val="009825E0"/>
    <w:rsid w:val="00982DDF"/>
    <w:rsid w:val="0098303D"/>
    <w:rsid w:val="00983326"/>
    <w:rsid w:val="009834AF"/>
    <w:rsid w:val="0098376C"/>
    <w:rsid w:val="00983B64"/>
    <w:rsid w:val="00984108"/>
    <w:rsid w:val="0098425F"/>
    <w:rsid w:val="00984772"/>
    <w:rsid w:val="00984ADF"/>
    <w:rsid w:val="00984CD3"/>
    <w:rsid w:val="00984D54"/>
    <w:rsid w:val="00984D96"/>
    <w:rsid w:val="009856EF"/>
    <w:rsid w:val="0098576A"/>
    <w:rsid w:val="00985CB2"/>
    <w:rsid w:val="00985ED7"/>
    <w:rsid w:val="009867A1"/>
    <w:rsid w:val="00986B17"/>
    <w:rsid w:val="00986E2D"/>
    <w:rsid w:val="00987130"/>
    <w:rsid w:val="00987872"/>
    <w:rsid w:val="00990467"/>
    <w:rsid w:val="00990E8D"/>
    <w:rsid w:val="009910F7"/>
    <w:rsid w:val="00991233"/>
    <w:rsid w:val="009913DD"/>
    <w:rsid w:val="009916A7"/>
    <w:rsid w:val="009917C1"/>
    <w:rsid w:val="0099189E"/>
    <w:rsid w:val="00992263"/>
    <w:rsid w:val="009922D2"/>
    <w:rsid w:val="00992377"/>
    <w:rsid w:val="0099261B"/>
    <w:rsid w:val="00992D1D"/>
    <w:rsid w:val="00992DA6"/>
    <w:rsid w:val="00993A43"/>
    <w:rsid w:val="00993E55"/>
    <w:rsid w:val="009940F6"/>
    <w:rsid w:val="00994302"/>
    <w:rsid w:val="0099450B"/>
    <w:rsid w:val="00994891"/>
    <w:rsid w:val="00994AA0"/>
    <w:rsid w:val="00994B2D"/>
    <w:rsid w:val="00994E5B"/>
    <w:rsid w:val="009950BE"/>
    <w:rsid w:val="009952B4"/>
    <w:rsid w:val="009952F4"/>
    <w:rsid w:val="009955C6"/>
    <w:rsid w:val="00995CF2"/>
    <w:rsid w:val="00995F3F"/>
    <w:rsid w:val="00996290"/>
    <w:rsid w:val="0099658B"/>
    <w:rsid w:val="00996925"/>
    <w:rsid w:val="00996F19"/>
    <w:rsid w:val="00997009"/>
    <w:rsid w:val="0099711F"/>
    <w:rsid w:val="0099788A"/>
    <w:rsid w:val="00997972"/>
    <w:rsid w:val="00997FB6"/>
    <w:rsid w:val="009A053C"/>
    <w:rsid w:val="009A0869"/>
    <w:rsid w:val="009A087A"/>
    <w:rsid w:val="009A0EB5"/>
    <w:rsid w:val="009A0F26"/>
    <w:rsid w:val="009A11B4"/>
    <w:rsid w:val="009A1230"/>
    <w:rsid w:val="009A155A"/>
    <w:rsid w:val="009A2071"/>
    <w:rsid w:val="009A2360"/>
    <w:rsid w:val="009A2ABF"/>
    <w:rsid w:val="009A2B89"/>
    <w:rsid w:val="009A3057"/>
    <w:rsid w:val="009A3C2B"/>
    <w:rsid w:val="009A4335"/>
    <w:rsid w:val="009A472E"/>
    <w:rsid w:val="009A486B"/>
    <w:rsid w:val="009A4AF0"/>
    <w:rsid w:val="009A4C47"/>
    <w:rsid w:val="009A4F98"/>
    <w:rsid w:val="009A5495"/>
    <w:rsid w:val="009A586C"/>
    <w:rsid w:val="009A58D6"/>
    <w:rsid w:val="009A6192"/>
    <w:rsid w:val="009A642E"/>
    <w:rsid w:val="009A6889"/>
    <w:rsid w:val="009A6D9A"/>
    <w:rsid w:val="009A710B"/>
    <w:rsid w:val="009A7598"/>
    <w:rsid w:val="009A7C98"/>
    <w:rsid w:val="009B0216"/>
    <w:rsid w:val="009B0F2C"/>
    <w:rsid w:val="009B119B"/>
    <w:rsid w:val="009B1A98"/>
    <w:rsid w:val="009B22DC"/>
    <w:rsid w:val="009B2468"/>
    <w:rsid w:val="009B26FE"/>
    <w:rsid w:val="009B2B9A"/>
    <w:rsid w:val="009B2C0A"/>
    <w:rsid w:val="009B32FD"/>
    <w:rsid w:val="009B3432"/>
    <w:rsid w:val="009B35F3"/>
    <w:rsid w:val="009B4041"/>
    <w:rsid w:val="009B4A64"/>
    <w:rsid w:val="009B4A6B"/>
    <w:rsid w:val="009B5273"/>
    <w:rsid w:val="009B5608"/>
    <w:rsid w:val="009B5666"/>
    <w:rsid w:val="009B5F37"/>
    <w:rsid w:val="009B6478"/>
    <w:rsid w:val="009B6950"/>
    <w:rsid w:val="009B7095"/>
    <w:rsid w:val="009B74F0"/>
    <w:rsid w:val="009B7643"/>
    <w:rsid w:val="009C0329"/>
    <w:rsid w:val="009C040B"/>
    <w:rsid w:val="009C0418"/>
    <w:rsid w:val="009C0CBE"/>
    <w:rsid w:val="009C10E0"/>
    <w:rsid w:val="009C13A3"/>
    <w:rsid w:val="009C1462"/>
    <w:rsid w:val="009C155E"/>
    <w:rsid w:val="009C1581"/>
    <w:rsid w:val="009C15D4"/>
    <w:rsid w:val="009C1B1C"/>
    <w:rsid w:val="009C1B23"/>
    <w:rsid w:val="009C1FBF"/>
    <w:rsid w:val="009C2BDC"/>
    <w:rsid w:val="009C34EB"/>
    <w:rsid w:val="009C391A"/>
    <w:rsid w:val="009C3BA5"/>
    <w:rsid w:val="009C3E2E"/>
    <w:rsid w:val="009C3E6E"/>
    <w:rsid w:val="009C470E"/>
    <w:rsid w:val="009C4C33"/>
    <w:rsid w:val="009C5015"/>
    <w:rsid w:val="009C52CA"/>
    <w:rsid w:val="009C59CD"/>
    <w:rsid w:val="009C618C"/>
    <w:rsid w:val="009C61A2"/>
    <w:rsid w:val="009C61CB"/>
    <w:rsid w:val="009C67A1"/>
    <w:rsid w:val="009C6DA0"/>
    <w:rsid w:val="009C7144"/>
    <w:rsid w:val="009C74CE"/>
    <w:rsid w:val="009C799D"/>
    <w:rsid w:val="009C7D6E"/>
    <w:rsid w:val="009D0169"/>
    <w:rsid w:val="009D03D4"/>
    <w:rsid w:val="009D079E"/>
    <w:rsid w:val="009D0B38"/>
    <w:rsid w:val="009D0BD3"/>
    <w:rsid w:val="009D1A03"/>
    <w:rsid w:val="009D1B11"/>
    <w:rsid w:val="009D1BEA"/>
    <w:rsid w:val="009D1DFB"/>
    <w:rsid w:val="009D2582"/>
    <w:rsid w:val="009D264C"/>
    <w:rsid w:val="009D29C0"/>
    <w:rsid w:val="009D2B37"/>
    <w:rsid w:val="009D2F6F"/>
    <w:rsid w:val="009D32A7"/>
    <w:rsid w:val="009D32D1"/>
    <w:rsid w:val="009D3AB5"/>
    <w:rsid w:val="009D3FCC"/>
    <w:rsid w:val="009D41C0"/>
    <w:rsid w:val="009D4382"/>
    <w:rsid w:val="009D44D0"/>
    <w:rsid w:val="009D46E0"/>
    <w:rsid w:val="009D4ABC"/>
    <w:rsid w:val="009D4E42"/>
    <w:rsid w:val="009D4FB6"/>
    <w:rsid w:val="009D51F7"/>
    <w:rsid w:val="009D5888"/>
    <w:rsid w:val="009D5C91"/>
    <w:rsid w:val="009D5CAC"/>
    <w:rsid w:val="009D6144"/>
    <w:rsid w:val="009D663A"/>
    <w:rsid w:val="009D6803"/>
    <w:rsid w:val="009D6ED7"/>
    <w:rsid w:val="009D6F08"/>
    <w:rsid w:val="009D7247"/>
    <w:rsid w:val="009D735B"/>
    <w:rsid w:val="009D743E"/>
    <w:rsid w:val="009D7455"/>
    <w:rsid w:val="009D74B0"/>
    <w:rsid w:val="009D78CA"/>
    <w:rsid w:val="009D79D3"/>
    <w:rsid w:val="009D7E68"/>
    <w:rsid w:val="009E0095"/>
    <w:rsid w:val="009E0599"/>
    <w:rsid w:val="009E198D"/>
    <w:rsid w:val="009E1B87"/>
    <w:rsid w:val="009E28FB"/>
    <w:rsid w:val="009E298F"/>
    <w:rsid w:val="009E3445"/>
    <w:rsid w:val="009E399B"/>
    <w:rsid w:val="009E491D"/>
    <w:rsid w:val="009E4936"/>
    <w:rsid w:val="009E4C4B"/>
    <w:rsid w:val="009E4EBE"/>
    <w:rsid w:val="009E5187"/>
    <w:rsid w:val="009E5510"/>
    <w:rsid w:val="009E56F8"/>
    <w:rsid w:val="009E5AB5"/>
    <w:rsid w:val="009E68BD"/>
    <w:rsid w:val="009E6D04"/>
    <w:rsid w:val="009E6E34"/>
    <w:rsid w:val="009E7014"/>
    <w:rsid w:val="009E70C4"/>
    <w:rsid w:val="009E7546"/>
    <w:rsid w:val="009E7CBF"/>
    <w:rsid w:val="009F06CD"/>
    <w:rsid w:val="009F0B8A"/>
    <w:rsid w:val="009F168C"/>
    <w:rsid w:val="009F1821"/>
    <w:rsid w:val="009F1C69"/>
    <w:rsid w:val="009F1D53"/>
    <w:rsid w:val="009F20B5"/>
    <w:rsid w:val="009F290D"/>
    <w:rsid w:val="009F295F"/>
    <w:rsid w:val="009F29C4"/>
    <w:rsid w:val="009F2B87"/>
    <w:rsid w:val="009F2C20"/>
    <w:rsid w:val="009F3093"/>
    <w:rsid w:val="009F31F3"/>
    <w:rsid w:val="009F3671"/>
    <w:rsid w:val="009F3887"/>
    <w:rsid w:val="009F3BBA"/>
    <w:rsid w:val="009F3C0D"/>
    <w:rsid w:val="009F46C8"/>
    <w:rsid w:val="009F4854"/>
    <w:rsid w:val="009F4939"/>
    <w:rsid w:val="009F4BAC"/>
    <w:rsid w:val="009F50D3"/>
    <w:rsid w:val="009F561D"/>
    <w:rsid w:val="009F5C5B"/>
    <w:rsid w:val="009F65C2"/>
    <w:rsid w:val="009F6A79"/>
    <w:rsid w:val="009F6D86"/>
    <w:rsid w:val="009F78E8"/>
    <w:rsid w:val="009F7F45"/>
    <w:rsid w:val="00A003E4"/>
    <w:rsid w:val="00A007BC"/>
    <w:rsid w:val="00A00B00"/>
    <w:rsid w:val="00A00B34"/>
    <w:rsid w:val="00A00D9E"/>
    <w:rsid w:val="00A0122E"/>
    <w:rsid w:val="00A0134D"/>
    <w:rsid w:val="00A01388"/>
    <w:rsid w:val="00A015BE"/>
    <w:rsid w:val="00A01614"/>
    <w:rsid w:val="00A01A8E"/>
    <w:rsid w:val="00A01BE4"/>
    <w:rsid w:val="00A021B4"/>
    <w:rsid w:val="00A021E4"/>
    <w:rsid w:val="00A02299"/>
    <w:rsid w:val="00A0234B"/>
    <w:rsid w:val="00A023D1"/>
    <w:rsid w:val="00A02557"/>
    <w:rsid w:val="00A02581"/>
    <w:rsid w:val="00A028FF"/>
    <w:rsid w:val="00A02AF7"/>
    <w:rsid w:val="00A02CC2"/>
    <w:rsid w:val="00A03300"/>
    <w:rsid w:val="00A04B5D"/>
    <w:rsid w:val="00A04DAA"/>
    <w:rsid w:val="00A05BAA"/>
    <w:rsid w:val="00A05FD1"/>
    <w:rsid w:val="00A065E0"/>
    <w:rsid w:val="00A0719E"/>
    <w:rsid w:val="00A071BC"/>
    <w:rsid w:val="00A07C57"/>
    <w:rsid w:val="00A07D49"/>
    <w:rsid w:val="00A1023A"/>
    <w:rsid w:val="00A1027F"/>
    <w:rsid w:val="00A1077C"/>
    <w:rsid w:val="00A10A56"/>
    <w:rsid w:val="00A11220"/>
    <w:rsid w:val="00A11260"/>
    <w:rsid w:val="00A112AF"/>
    <w:rsid w:val="00A11787"/>
    <w:rsid w:val="00A11C40"/>
    <w:rsid w:val="00A11C9E"/>
    <w:rsid w:val="00A11E28"/>
    <w:rsid w:val="00A1208B"/>
    <w:rsid w:val="00A129A5"/>
    <w:rsid w:val="00A13064"/>
    <w:rsid w:val="00A1312F"/>
    <w:rsid w:val="00A1377C"/>
    <w:rsid w:val="00A137AE"/>
    <w:rsid w:val="00A13C6A"/>
    <w:rsid w:val="00A13D20"/>
    <w:rsid w:val="00A13FBB"/>
    <w:rsid w:val="00A14670"/>
    <w:rsid w:val="00A1504E"/>
    <w:rsid w:val="00A15CE8"/>
    <w:rsid w:val="00A15DE0"/>
    <w:rsid w:val="00A16477"/>
    <w:rsid w:val="00A16609"/>
    <w:rsid w:val="00A16958"/>
    <w:rsid w:val="00A16BEA"/>
    <w:rsid w:val="00A16E91"/>
    <w:rsid w:val="00A1732A"/>
    <w:rsid w:val="00A173BA"/>
    <w:rsid w:val="00A1755E"/>
    <w:rsid w:val="00A17B66"/>
    <w:rsid w:val="00A17D02"/>
    <w:rsid w:val="00A2030C"/>
    <w:rsid w:val="00A20AAA"/>
    <w:rsid w:val="00A20AB3"/>
    <w:rsid w:val="00A20D6A"/>
    <w:rsid w:val="00A21219"/>
    <w:rsid w:val="00A2237D"/>
    <w:rsid w:val="00A224A5"/>
    <w:rsid w:val="00A2261F"/>
    <w:rsid w:val="00A227AC"/>
    <w:rsid w:val="00A2294B"/>
    <w:rsid w:val="00A22FC4"/>
    <w:rsid w:val="00A2319D"/>
    <w:rsid w:val="00A236AB"/>
    <w:rsid w:val="00A239B7"/>
    <w:rsid w:val="00A23CCF"/>
    <w:rsid w:val="00A24B02"/>
    <w:rsid w:val="00A24E6B"/>
    <w:rsid w:val="00A24F0D"/>
    <w:rsid w:val="00A25153"/>
    <w:rsid w:val="00A2551D"/>
    <w:rsid w:val="00A25A8E"/>
    <w:rsid w:val="00A26488"/>
    <w:rsid w:val="00A276E7"/>
    <w:rsid w:val="00A27DDF"/>
    <w:rsid w:val="00A27E6F"/>
    <w:rsid w:val="00A303BE"/>
    <w:rsid w:val="00A30A16"/>
    <w:rsid w:val="00A31142"/>
    <w:rsid w:val="00A312ED"/>
    <w:rsid w:val="00A315F8"/>
    <w:rsid w:val="00A31C4F"/>
    <w:rsid w:val="00A323C6"/>
    <w:rsid w:val="00A3252C"/>
    <w:rsid w:val="00A33D84"/>
    <w:rsid w:val="00A34291"/>
    <w:rsid w:val="00A342A1"/>
    <w:rsid w:val="00A347EC"/>
    <w:rsid w:val="00A3532A"/>
    <w:rsid w:val="00A356B2"/>
    <w:rsid w:val="00A357CA"/>
    <w:rsid w:val="00A35AAC"/>
    <w:rsid w:val="00A35B4E"/>
    <w:rsid w:val="00A35D19"/>
    <w:rsid w:val="00A36099"/>
    <w:rsid w:val="00A362CF"/>
    <w:rsid w:val="00A3647E"/>
    <w:rsid w:val="00A36F29"/>
    <w:rsid w:val="00A36F9A"/>
    <w:rsid w:val="00A3753B"/>
    <w:rsid w:val="00A3794C"/>
    <w:rsid w:val="00A40047"/>
    <w:rsid w:val="00A400E0"/>
    <w:rsid w:val="00A40107"/>
    <w:rsid w:val="00A40DF8"/>
    <w:rsid w:val="00A41295"/>
    <w:rsid w:val="00A42219"/>
    <w:rsid w:val="00A42625"/>
    <w:rsid w:val="00A42BAF"/>
    <w:rsid w:val="00A43667"/>
    <w:rsid w:val="00A4374A"/>
    <w:rsid w:val="00A43D32"/>
    <w:rsid w:val="00A441E3"/>
    <w:rsid w:val="00A446B2"/>
    <w:rsid w:val="00A449F3"/>
    <w:rsid w:val="00A44E3C"/>
    <w:rsid w:val="00A455E1"/>
    <w:rsid w:val="00A456E4"/>
    <w:rsid w:val="00A46538"/>
    <w:rsid w:val="00A466A3"/>
    <w:rsid w:val="00A46768"/>
    <w:rsid w:val="00A46C79"/>
    <w:rsid w:val="00A46F43"/>
    <w:rsid w:val="00A4765E"/>
    <w:rsid w:val="00A477A3"/>
    <w:rsid w:val="00A47BAE"/>
    <w:rsid w:val="00A47D2E"/>
    <w:rsid w:val="00A47E15"/>
    <w:rsid w:val="00A47E1E"/>
    <w:rsid w:val="00A5036C"/>
    <w:rsid w:val="00A506F1"/>
    <w:rsid w:val="00A509AC"/>
    <w:rsid w:val="00A50A2B"/>
    <w:rsid w:val="00A516D7"/>
    <w:rsid w:val="00A517F3"/>
    <w:rsid w:val="00A5199C"/>
    <w:rsid w:val="00A519F2"/>
    <w:rsid w:val="00A51A4F"/>
    <w:rsid w:val="00A51D5C"/>
    <w:rsid w:val="00A5235A"/>
    <w:rsid w:val="00A5292C"/>
    <w:rsid w:val="00A52936"/>
    <w:rsid w:val="00A53B6F"/>
    <w:rsid w:val="00A55172"/>
    <w:rsid w:val="00A551BD"/>
    <w:rsid w:val="00A55286"/>
    <w:rsid w:val="00A55F96"/>
    <w:rsid w:val="00A56DFD"/>
    <w:rsid w:val="00A57DB6"/>
    <w:rsid w:val="00A57F8B"/>
    <w:rsid w:val="00A601C7"/>
    <w:rsid w:val="00A60508"/>
    <w:rsid w:val="00A6173A"/>
    <w:rsid w:val="00A61FD3"/>
    <w:rsid w:val="00A62BA6"/>
    <w:rsid w:val="00A63151"/>
    <w:rsid w:val="00A633A2"/>
    <w:rsid w:val="00A635C5"/>
    <w:rsid w:val="00A63627"/>
    <w:rsid w:val="00A6393F"/>
    <w:rsid w:val="00A63AC4"/>
    <w:rsid w:val="00A640B0"/>
    <w:rsid w:val="00A645C4"/>
    <w:rsid w:val="00A6469D"/>
    <w:rsid w:val="00A64996"/>
    <w:rsid w:val="00A64A81"/>
    <w:rsid w:val="00A656BA"/>
    <w:rsid w:val="00A65E81"/>
    <w:rsid w:val="00A65FA4"/>
    <w:rsid w:val="00A66195"/>
    <w:rsid w:val="00A6656E"/>
    <w:rsid w:val="00A66B0C"/>
    <w:rsid w:val="00A66BEC"/>
    <w:rsid w:val="00A67583"/>
    <w:rsid w:val="00A67CEC"/>
    <w:rsid w:val="00A67D87"/>
    <w:rsid w:val="00A70152"/>
    <w:rsid w:val="00A70164"/>
    <w:rsid w:val="00A71079"/>
    <w:rsid w:val="00A71BF3"/>
    <w:rsid w:val="00A7240C"/>
    <w:rsid w:val="00A727D3"/>
    <w:rsid w:val="00A728E6"/>
    <w:rsid w:val="00A7355B"/>
    <w:rsid w:val="00A73818"/>
    <w:rsid w:val="00A73A6D"/>
    <w:rsid w:val="00A74209"/>
    <w:rsid w:val="00A74241"/>
    <w:rsid w:val="00A74677"/>
    <w:rsid w:val="00A74C1D"/>
    <w:rsid w:val="00A753B9"/>
    <w:rsid w:val="00A75610"/>
    <w:rsid w:val="00A7576F"/>
    <w:rsid w:val="00A7587E"/>
    <w:rsid w:val="00A75926"/>
    <w:rsid w:val="00A764EB"/>
    <w:rsid w:val="00A76827"/>
    <w:rsid w:val="00A772C0"/>
    <w:rsid w:val="00A77BF6"/>
    <w:rsid w:val="00A77EDB"/>
    <w:rsid w:val="00A77EDF"/>
    <w:rsid w:val="00A8008B"/>
    <w:rsid w:val="00A80804"/>
    <w:rsid w:val="00A8116B"/>
    <w:rsid w:val="00A811BA"/>
    <w:rsid w:val="00A81BE5"/>
    <w:rsid w:val="00A822B7"/>
    <w:rsid w:val="00A824E1"/>
    <w:rsid w:val="00A826DE"/>
    <w:rsid w:val="00A82D1B"/>
    <w:rsid w:val="00A82F90"/>
    <w:rsid w:val="00A82F9E"/>
    <w:rsid w:val="00A832FF"/>
    <w:rsid w:val="00A833A7"/>
    <w:rsid w:val="00A83765"/>
    <w:rsid w:val="00A83BB9"/>
    <w:rsid w:val="00A8408F"/>
    <w:rsid w:val="00A8453F"/>
    <w:rsid w:val="00A8480A"/>
    <w:rsid w:val="00A85756"/>
    <w:rsid w:val="00A86085"/>
    <w:rsid w:val="00A8642D"/>
    <w:rsid w:val="00A86C46"/>
    <w:rsid w:val="00A871F4"/>
    <w:rsid w:val="00A87B76"/>
    <w:rsid w:val="00A87D44"/>
    <w:rsid w:val="00A87FCD"/>
    <w:rsid w:val="00A90325"/>
    <w:rsid w:val="00A90BF6"/>
    <w:rsid w:val="00A91AA0"/>
    <w:rsid w:val="00A91B80"/>
    <w:rsid w:val="00A91C27"/>
    <w:rsid w:val="00A91FC7"/>
    <w:rsid w:val="00A92467"/>
    <w:rsid w:val="00A9255B"/>
    <w:rsid w:val="00A9260F"/>
    <w:rsid w:val="00A9286D"/>
    <w:rsid w:val="00A92A59"/>
    <w:rsid w:val="00A92AD0"/>
    <w:rsid w:val="00A92E14"/>
    <w:rsid w:val="00A93CAF"/>
    <w:rsid w:val="00A93FA1"/>
    <w:rsid w:val="00A946CE"/>
    <w:rsid w:val="00A94D4C"/>
    <w:rsid w:val="00A95289"/>
    <w:rsid w:val="00A9529E"/>
    <w:rsid w:val="00A95B65"/>
    <w:rsid w:val="00A960DF"/>
    <w:rsid w:val="00A961DB"/>
    <w:rsid w:val="00A967CC"/>
    <w:rsid w:val="00A9692E"/>
    <w:rsid w:val="00A969FA"/>
    <w:rsid w:val="00A96A3A"/>
    <w:rsid w:val="00A9736B"/>
    <w:rsid w:val="00A9776D"/>
    <w:rsid w:val="00A97AC9"/>
    <w:rsid w:val="00A97AD2"/>
    <w:rsid w:val="00A97F73"/>
    <w:rsid w:val="00AA043A"/>
    <w:rsid w:val="00AA0DBE"/>
    <w:rsid w:val="00AA0FD6"/>
    <w:rsid w:val="00AA11A1"/>
    <w:rsid w:val="00AA161F"/>
    <w:rsid w:val="00AA1733"/>
    <w:rsid w:val="00AA17DC"/>
    <w:rsid w:val="00AA18B1"/>
    <w:rsid w:val="00AA1F61"/>
    <w:rsid w:val="00AA2384"/>
    <w:rsid w:val="00AA2B36"/>
    <w:rsid w:val="00AA3021"/>
    <w:rsid w:val="00AA357E"/>
    <w:rsid w:val="00AA3649"/>
    <w:rsid w:val="00AA36A7"/>
    <w:rsid w:val="00AA3772"/>
    <w:rsid w:val="00AA37A0"/>
    <w:rsid w:val="00AA3969"/>
    <w:rsid w:val="00AA4A23"/>
    <w:rsid w:val="00AA4A87"/>
    <w:rsid w:val="00AA4CF5"/>
    <w:rsid w:val="00AA4FCA"/>
    <w:rsid w:val="00AA5295"/>
    <w:rsid w:val="00AA564B"/>
    <w:rsid w:val="00AA5A4B"/>
    <w:rsid w:val="00AA622C"/>
    <w:rsid w:val="00AA65BF"/>
    <w:rsid w:val="00AA6927"/>
    <w:rsid w:val="00AA6A1D"/>
    <w:rsid w:val="00AA6A4D"/>
    <w:rsid w:val="00AA6CDB"/>
    <w:rsid w:val="00AA7938"/>
    <w:rsid w:val="00AA7AB5"/>
    <w:rsid w:val="00AA7B52"/>
    <w:rsid w:val="00AB0A0A"/>
    <w:rsid w:val="00AB0A70"/>
    <w:rsid w:val="00AB0B58"/>
    <w:rsid w:val="00AB180F"/>
    <w:rsid w:val="00AB1CB4"/>
    <w:rsid w:val="00AB2547"/>
    <w:rsid w:val="00AB2684"/>
    <w:rsid w:val="00AB37A9"/>
    <w:rsid w:val="00AB413F"/>
    <w:rsid w:val="00AB42E3"/>
    <w:rsid w:val="00AB4361"/>
    <w:rsid w:val="00AB4565"/>
    <w:rsid w:val="00AB5025"/>
    <w:rsid w:val="00AB5102"/>
    <w:rsid w:val="00AB5A86"/>
    <w:rsid w:val="00AB5A8F"/>
    <w:rsid w:val="00AB5BB8"/>
    <w:rsid w:val="00AB5C01"/>
    <w:rsid w:val="00AB5C93"/>
    <w:rsid w:val="00AB5E26"/>
    <w:rsid w:val="00AB66FB"/>
    <w:rsid w:val="00AB6862"/>
    <w:rsid w:val="00AB6C67"/>
    <w:rsid w:val="00AB748D"/>
    <w:rsid w:val="00AB7BE7"/>
    <w:rsid w:val="00AC064B"/>
    <w:rsid w:val="00AC161D"/>
    <w:rsid w:val="00AC1A0A"/>
    <w:rsid w:val="00AC1E7A"/>
    <w:rsid w:val="00AC28C6"/>
    <w:rsid w:val="00AC2BA4"/>
    <w:rsid w:val="00AC2D98"/>
    <w:rsid w:val="00AC38AD"/>
    <w:rsid w:val="00AC3A11"/>
    <w:rsid w:val="00AC3AAF"/>
    <w:rsid w:val="00AC4354"/>
    <w:rsid w:val="00AC461D"/>
    <w:rsid w:val="00AC4E53"/>
    <w:rsid w:val="00AC5192"/>
    <w:rsid w:val="00AC53A7"/>
    <w:rsid w:val="00AC5548"/>
    <w:rsid w:val="00AC5CDB"/>
    <w:rsid w:val="00AC632E"/>
    <w:rsid w:val="00AC6406"/>
    <w:rsid w:val="00AC6516"/>
    <w:rsid w:val="00AC65C3"/>
    <w:rsid w:val="00AC71C6"/>
    <w:rsid w:val="00AC7407"/>
    <w:rsid w:val="00AC7748"/>
    <w:rsid w:val="00AD0802"/>
    <w:rsid w:val="00AD0953"/>
    <w:rsid w:val="00AD0966"/>
    <w:rsid w:val="00AD0A8F"/>
    <w:rsid w:val="00AD0C47"/>
    <w:rsid w:val="00AD0CA8"/>
    <w:rsid w:val="00AD0ED7"/>
    <w:rsid w:val="00AD122D"/>
    <w:rsid w:val="00AD1948"/>
    <w:rsid w:val="00AD1AED"/>
    <w:rsid w:val="00AD2066"/>
    <w:rsid w:val="00AD2220"/>
    <w:rsid w:val="00AD23F6"/>
    <w:rsid w:val="00AD24D0"/>
    <w:rsid w:val="00AD24D9"/>
    <w:rsid w:val="00AD268F"/>
    <w:rsid w:val="00AD3006"/>
    <w:rsid w:val="00AD30DE"/>
    <w:rsid w:val="00AD32B6"/>
    <w:rsid w:val="00AD3EC5"/>
    <w:rsid w:val="00AD4191"/>
    <w:rsid w:val="00AD4293"/>
    <w:rsid w:val="00AD47F6"/>
    <w:rsid w:val="00AD4ADF"/>
    <w:rsid w:val="00AD4B71"/>
    <w:rsid w:val="00AD5035"/>
    <w:rsid w:val="00AD5B87"/>
    <w:rsid w:val="00AD5E2C"/>
    <w:rsid w:val="00AD644B"/>
    <w:rsid w:val="00AD6604"/>
    <w:rsid w:val="00AD6798"/>
    <w:rsid w:val="00AD6995"/>
    <w:rsid w:val="00AD6EDD"/>
    <w:rsid w:val="00AD74A5"/>
    <w:rsid w:val="00AD7B4E"/>
    <w:rsid w:val="00AE013B"/>
    <w:rsid w:val="00AE0535"/>
    <w:rsid w:val="00AE132F"/>
    <w:rsid w:val="00AE164C"/>
    <w:rsid w:val="00AE2F12"/>
    <w:rsid w:val="00AE32B8"/>
    <w:rsid w:val="00AE3712"/>
    <w:rsid w:val="00AE3C7D"/>
    <w:rsid w:val="00AE3DEA"/>
    <w:rsid w:val="00AE3FF3"/>
    <w:rsid w:val="00AE48AA"/>
    <w:rsid w:val="00AE5102"/>
    <w:rsid w:val="00AE53F9"/>
    <w:rsid w:val="00AE58FF"/>
    <w:rsid w:val="00AE5CC8"/>
    <w:rsid w:val="00AE634F"/>
    <w:rsid w:val="00AE64BA"/>
    <w:rsid w:val="00AE6592"/>
    <w:rsid w:val="00AE6855"/>
    <w:rsid w:val="00AE6C46"/>
    <w:rsid w:val="00AE6C63"/>
    <w:rsid w:val="00AE70BF"/>
    <w:rsid w:val="00AE762B"/>
    <w:rsid w:val="00AF00E3"/>
    <w:rsid w:val="00AF0E6C"/>
    <w:rsid w:val="00AF17B2"/>
    <w:rsid w:val="00AF18C1"/>
    <w:rsid w:val="00AF2007"/>
    <w:rsid w:val="00AF2197"/>
    <w:rsid w:val="00AF21E5"/>
    <w:rsid w:val="00AF24C0"/>
    <w:rsid w:val="00AF2982"/>
    <w:rsid w:val="00AF2DAD"/>
    <w:rsid w:val="00AF3599"/>
    <w:rsid w:val="00AF4074"/>
    <w:rsid w:val="00AF42C3"/>
    <w:rsid w:val="00AF46AE"/>
    <w:rsid w:val="00AF46C1"/>
    <w:rsid w:val="00AF4AC2"/>
    <w:rsid w:val="00AF532B"/>
    <w:rsid w:val="00AF5449"/>
    <w:rsid w:val="00AF594B"/>
    <w:rsid w:val="00AF5E5E"/>
    <w:rsid w:val="00AF61E5"/>
    <w:rsid w:val="00AF63BC"/>
    <w:rsid w:val="00AF6777"/>
    <w:rsid w:val="00AF6D3E"/>
    <w:rsid w:val="00AF6DD2"/>
    <w:rsid w:val="00AF738D"/>
    <w:rsid w:val="00AF7835"/>
    <w:rsid w:val="00AF7B19"/>
    <w:rsid w:val="00AF7C9E"/>
    <w:rsid w:val="00B00105"/>
    <w:rsid w:val="00B0067B"/>
    <w:rsid w:val="00B0075F"/>
    <w:rsid w:val="00B00837"/>
    <w:rsid w:val="00B00B62"/>
    <w:rsid w:val="00B00CFF"/>
    <w:rsid w:val="00B00D2F"/>
    <w:rsid w:val="00B00F89"/>
    <w:rsid w:val="00B01781"/>
    <w:rsid w:val="00B017BA"/>
    <w:rsid w:val="00B020C3"/>
    <w:rsid w:val="00B021E1"/>
    <w:rsid w:val="00B02672"/>
    <w:rsid w:val="00B02AF7"/>
    <w:rsid w:val="00B02EE9"/>
    <w:rsid w:val="00B03212"/>
    <w:rsid w:val="00B03771"/>
    <w:rsid w:val="00B0385B"/>
    <w:rsid w:val="00B038FD"/>
    <w:rsid w:val="00B03F4C"/>
    <w:rsid w:val="00B04004"/>
    <w:rsid w:val="00B0494B"/>
    <w:rsid w:val="00B04BD0"/>
    <w:rsid w:val="00B04FD3"/>
    <w:rsid w:val="00B05703"/>
    <w:rsid w:val="00B058F1"/>
    <w:rsid w:val="00B059C6"/>
    <w:rsid w:val="00B0648D"/>
    <w:rsid w:val="00B064D6"/>
    <w:rsid w:val="00B06B66"/>
    <w:rsid w:val="00B06C28"/>
    <w:rsid w:val="00B06D8F"/>
    <w:rsid w:val="00B077CD"/>
    <w:rsid w:val="00B078FD"/>
    <w:rsid w:val="00B07A04"/>
    <w:rsid w:val="00B07BEC"/>
    <w:rsid w:val="00B07FDC"/>
    <w:rsid w:val="00B101E9"/>
    <w:rsid w:val="00B103AB"/>
    <w:rsid w:val="00B10B6A"/>
    <w:rsid w:val="00B10CCC"/>
    <w:rsid w:val="00B10F52"/>
    <w:rsid w:val="00B113DA"/>
    <w:rsid w:val="00B11CD7"/>
    <w:rsid w:val="00B11F03"/>
    <w:rsid w:val="00B12361"/>
    <w:rsid w:val="00B123CC"/>
    <w:rsid w:val="00B124F0"/>
    <w:rsid w:val="00B12E79"/>
    <w:rsid w:val="00B1352D"/>
    <w:rsid w:val="00B140F9"/>
    <w:rsid w:val="00B145E1"/>
    <w:rsid w:val="00B1483C"/>
    <w:rsid w:val="00B14864"/>
    <w:rsid w:val="00B1510A"/>
    <w:rsid w:val="00B152B6"/>
    <w:rsid w:val="00B15BA1"/>
    <w:rsid w:val="00B1678D"/>
    <w:rsid w:val="00B16F3D"/>
    <w:rsid w:val="00B16F4A"/>
    <w:rsid w:val="00B17D03"/>
    <w:rsid w:val="00B20126"/>
    <w:rsid w:val="00B20161"/>
    <w:rsid w:val="00B21330"/>
    <w:rsid w:val="00B219E0"/>
    <w:rsid w:val="00B21EE6"/>
    <w:rsid w:val="00B2232A"/>
    <w:rsid w:val="00B22A1D"/>
    <w:rsid w:val="00B234B7"/>
    <w:rsid w:val="00B23CBC"/>
    <w:rsid w:val="00B23E00"/>
    <w:rsid w:val="00B24EAF"/>
    <w:rsid w:val="00B26211"/>
    <w:rsid w:val="00B266A8"/>
    <w:rsid w:val="00B26DC5"/>
    <w:rsid w:val="00B271BC"/>
    <w:rsid w:val="00B27C65"/>
    <w:rsid w:val="00B27E95"/>
    <w:rsid w:val="00B30037"/>
    <w:rsid w:val="00B30275"/>
    <w:rsid w:val="00B30281"/>
    <w:rsid w:val="00B30D8F"/>
    <w:rsid w:val="00B31DD8"/>
    <w:rsid w:val="00B3200F"/>
    <w:rsid w:val="00B32684"/>
    <w:rsid w:val="00B329FA"/>
    <w:rsid w:val="00B32E46"/>
    <w:rsid w:val="00B332A1"/>
    <w:rsid w:val="00B333AD"/>
    <w:rsid w:val="00B336FE"/>
    <w:rsid w:val="00B33A37"/>
    <w:rsid w:val="00B345A2"/>
    <w:rsid w:val="00B34AB9"/>
    <w:rsid w:val="00B34CF5"/>
    <w:rsid w:val="00B35171"/>
    <w:rsid w:val="00B353FC"/>
    <w:rsid w:val="00B35783"/>
    <w:rsid w:val="00B357D8"/>
    <w:rsid w:val="00B35DA9"/>
    <w:rsid w:val="00B36188"/>
    <w:rsid w:val="00B362D5"/>
    <w:rsid w:val="00B3635B"/>
    <w:rsid w:val="00B36557"/>
    <w:rsid w:val="00B365E4"/>
    <w:rsid w:val="00B36AE8"/>
    <w:rsid w:val="00B36F00"/>
    <w:rsid w:val="00B374D3"/>
    <w:rsid w:val="00B40A22"/>
    <w:rsid w:val="00B40C86"/>
    <w:rsid w:val="00B40CBE"/>
    <w:rsid w:val="00B41393"/>
    <w:rsid w:val="00B41530"/>
    <w:rsid w:val="00B417F6"/>
    <w:rsid w:val="00B41822"/>
    <w:rsid w:val="00B42082"/>
    <w:rsid w:val="00B423A6"/>
    <w:rsid w:val="00B427C4"/>
    <w:rsid w:val="00B42887"/>
    <w:rsid w:val="00B432AF"/>
    <w:rsid w:val="00B43D00"/>
    <w:rsid w:val="00B44125"/>
    <w:rsid w:val="00B449AD"/>
    <w:rsid w:val="00B44B1D"/>
    <w:rsid w:val="00B44BDE"/>
    <w:rsid w:val="00B44E6E"/>
    <w:rsid w:val="00B45012"/>
    <w:rsid w:val="00B453E8"/>
    <w:rsid w:val="00B456BA"/>
    <w:rsid w:val="00B4574B"/>
    <w:rsid w:val="00B458C9"/>
    <w:rsid w:val="00B45A6E"/>
    <w:rsid w:val="00B45F14"/>
    <w:rsid w:val="00B45FA9"/>
    <w:rsid w:val="00B46076"/>
    <w:rsid w:val="00B461F3"/>
    <w:rsid w:val="00B46967"/>
    <w:rsid w:val="00B469E5"/>
    <w:rsid w:val="00B46B68"/>
    <w:rsid w:val="00B4717B"/>
    <w:rsid w:val="00B473DE"/>
    <w:rsid w:val="00B47DCF"/>
    <w:rsid w:val="00B47F4C"/>
    <w:rsid w:val="00B5024D"/>
    <w:rsid w:val="00B509F5"/>
    <w:rsid w:val="00B50DB7"/>
    <w:rsid w:val="00B50DF8"/>
    <w:rsid w:val="00B510D7"/>
    <w:rsid w:val="00B513E6"/>
    <w:rsid w:val="00B51539"/>
    <w:rsid w:val="00B5171D"/>
    <w:rsid w:val="00B5173C"/>
    <w:rsid w:val="00B51C3D"/>
    <w:rsid w:val="00B51C8C"/>
    <w:rsid w:val="00B52429"/>
    <w:rsid w:val="00B5244B"/>
    <w:rsid w:val="00B52728"/>
    <w:rsid w:val="00B52EC2"/>
    <w:rsid w:val="00B53BD3"/>
    <w:rsid w:val="00B53C9F"/>
    <w:rsid w:val="00B53FEF"/>
    <w:rsid w:val="00B54239"/>
    <w:rsid w:val="00B5444D"/>
    <w:rsid w:val="00B54820"/>
    <w:rsid w:val="00B549F9"/>
    <w:rsid w:val="00B54C0E"/>
    <w:rsid w:val="00B55081"/>
    <w:rsid w:val="00B55118"/>
    <w:rsid w:val="00B55E00"/>
    <w:rsid w:val="00B5623F"/>
    <w:rsid w:val="00B56B1B"/>
    <w:rsid w:val="00B573E9"/>
    <w:rsid w:val="00B6016E"/>
    <w:rsid w:val="00B60591"/>
    <w:rsid w:val="00B60A70"/>
    <w:rsid w:val="00B60C12"/>
    <w:rsid w:val="00B60D7A"/>
    <w:rsid w:val="00B612BA"/>
    <w:rsid w:val="00B61629"/>
    <w:rsid w:val="00B616B4"/>
    <w:rsid w:val="00B61757"/>
    <w:rsid w:val="00B61A5F"/>
    <w:rsid w:val="00B6249E"/>
    <w:rsid w:val="00B625BD"/>
    <w:rsid w:val="00B62A31"/>
    <w:rsid w:val="00B6313C"/>
    <w:rsid w:val="00B63548"/>
    <w:rsid w:val="00B6375A"/>
    <w:rsid w:val="00B63AFB"/>
    <w:rsid w:val="00B63DFA"/>
    <w:rsid w:val="00B640F7"/>
    <w:rsid w:val="00B64A15"/>
    <w:rsid w:val="00B64D4D"/>
    <w:rsid w:val="00B64E53"/>
    <w:rsid w:val="00B65190"/>
    <w:rsid w:val="00B659DC"/>
    <w:rsid w:val="00B65B25"/>
    <w:rsid w:val="00B66229"/>
    <w:rsid w:val="00B6622C"/>
    <w:rsid w:val="00B66D48"/>
    <w:rsid w:val="00B67B85"/>
    <w:rsid w:val="00B67BCE"/>
    <w:rsid w:val="00B70134"/>
    <w:rsid w:val="00B70143"/>
    <w:rsid w:val="00B7025E"/>
    <w:rsid w:val="00B703DD"/>
    <w:rsid w:val="00B70BE0"/>
    <w:rsid w:val="00B71A0B"/>
    <w:rsid w:val="00B71E1A"/>
    <w:rsid w:val="00B71F55"/>
    <w:rsid w:val="00B7208A"/>
    <w:rsid w:val="00B72845"/>
    <w:rsid w:val="00B728AC"/>
    <w:rsid w:val="00B7323C"/>
    <w:rsid w:val="00B735BF"/>
    <w:rsid w:val="00B73690"/>
    <w:rsid w:val="00B7411D"/>
    <w:rsid w:val="00B744B2"/>
    <w:rsid w:val="00B74B93"/>
    <w:rsid w:val="00B74ED9"/>
    <w:rsid w:val="00B750FB"/>
    <w:rsid w:val="00B754E2"/>
    <w:rsid w:val="00B75646"/>
    <w:rsid w:val="00B759AB"/>
    <w:rsid w:val="00B75BCD"/>
    <w:rsid w:val="00B75BD2"/>
    <w:rsid w:val="00B75DEA"/>
    <w:rsid w:val="00B76664"/>
    <w:rsid w:val="00B76916"/>
    <w:rsid w:val="00B76ABF"/>
    <w:rsid w:val="00B76C4B"/>
    <w:rsid w:val="00B76FE5"/>
    <w:rsid w:val="00B7763B"/>
    <w:rsid w:val="00B77B5E"/>
    <w:rsid w:val="00B77CDF"/>
    <w:rsid w:val="00B77D0F"/>
    <w:rsid w:val="00B77D8A"/>
    <w:rsid w:val="00B77FEE"/>
    <w:rsid w:val="00B80658"/>
    <w:rsid w:val="00B80941"/>
    <w:rsid w:val="00B80ABA"/>
    <w:rsid w:val="00B80BEB"/>
    <w:rsid w:val="00B80C12"/>
    <w:rsid w:val="00B810CF"/>
    <w:rsid w:val="00B8132E"/>
    <w:rsid w:val="00B81C4B"/>
    <w:rsid w:val="00B81E2A"/>
    <w:rsid w:val="00B82434"/>
    <w:rsid w:val="00B825C2"/>
    <w:rsid w:val="00B825E6"/>
    <w:rsid w:val="00B8268D"/>
    <w:rsid w:val="00B83246"/>
    <w:rsid w:val="00B832C5"/>
    <w:rsid w:val="00B832CB"/>
    <w:rsid w:val="00B83A30"/>
    <w:rsid w:val="00B843B9"/>
    <w:rsid w:val="00B8547E"/>
    <w:rsid w:val="00B854B5"/>
    <w:rsid w:val="00B85A3B"/>
    <w:rsid w:val="00B85D2A"/>
    <w:rsid w:val="00B860F5"/>
    <w:rsid w:val="00B86428"/>
    <w:rsid w:val="00B86BF2"/>
    <w:rsid w:val="00B86CF0"/>
    <w:rsid w:val="00B8716D"/>
    <w:rsid w:val="00B873E7"/>
    <w:rsid w:val="00B87F35"/>
    <w:rsid w:val="00B87F89"/>
    <w:rsid w:val="00B87FB8"/>
    <w:rsid w:val="00B90218"/>
    <w:rsid w:val="00B90A3D"/>
    <w:rsid w:val="00B90B9F"/>
    <w:rsid w:val="00B90C72"/>
    <w:rsid w:val="00B918E4"/>
    <w:rsid w:val="00B91F67"/>
    <w:rsid w:val="00B921C1"/>
    <w:rsid w:val="00B92324"/>
    <w:rsid w:val="00B924C3"/>
    <w:rsid w:val="00B924DD"/>
    <w:rsid w:val="00B92C0D"/>
    <w:rsid w:val="00B92F0D"/>
    <w:rsid w:val="00B9303D"/>
    <w:rsid w:val="00B9321C"/>
    <w:rsid w:val="00B93496"/>
    <w:rsid w:val="00B936AA"/>
    <w:rsid w:val="00B938D8"/>
    <w:rsid w:val="00B93A42"/>
    <w:rsid w:val="00B93B17"/>
    <w:rsid w:val="00B9413F"/>
    <w:rsid w:val="00B9466F"/>
    <w:rsid w:val="00B9486D"/>
    <w:rsid w:val="00B94B68"/>
    <w:rsid w:val="00B94CDC"/>
    <w:rsid w:val="00B951B0"/>
    <w:rsid w:val="00B95273"/>
    <w:rsid w:val="00B95414"/>
    <w:rsid w:val="00B95F61"/>
    <w:rsid w:val="00B96043"/>
    <w:rsid w:val="00B96089"/>
    <w:rsid w:val="00B96287"/>
    <w:rsid w:val="00B96360"/>
    <w:rsid w:val="00B96627"/>
    <w:rsid w:val="00B96DDC"/>
    <w:rsid w:val="00B975C7"/>
    <w:rsid w:val="00B97AB4"/>
    <w:rsid w:val="00B97BA6"/>
    <w:rsid w:val="00B97E72"/>
    <w:rsid w:val="00BA0249"/>
    <w:rsid w:val="00BA0335"/>
    <w:rsid w:val="00BA06EE"/>
    <w:rsid w:val="00BA1262"/>
    <w:rsid w:val="00BA1D1B"/>
    <w:rsid w:val="00BA22C1"/>
    <w:rsid w:val="00BA2CE0"/>
    <w:rsid w:val="00BA2F2B"/>
    <w:rsid w:val="00BA31D1"/>
    <w:rsid w:val="00BA3B49"/>
    <w:rsid w:val="00BA3B5F"/>
    <w:rsid w:val="00BA3B87"/>
    <w:rsid w:val="00BA4182"/>
    <w:rsid w:val="00BA4469"/>
    <w:rsid w:val="00BA47FF"/>
    <w:rsid w:val="00BA4948"/>
    <w:rsid w:val="00BA4C6A"/>
    <w:rsid w:val="00BA4CC0"/>
    <w:rsid w:val="00BA4E47"/>
    <w:rsid w:val="00BA53C8"/>
    <w:rsid w:val="00BA5564"/>
    <w:rsid w:val="00BA58B8"/>
    <w:rsid w:val="00BA5CAF"/>
    <w:rsid w:val="00BA5F59"/>
    <w:rsid w:val="00BA647C"/>
    <w:rsid w:val="00BA677C"/>
    <w:rsid w:val="00BA6AC0"/>
    <w:rsid w:val="00BA6ACF"/>
    <w:rsid w:val="00BA6EE4"/>
    <w:rsid w:val="00BA77B5"/>
    <w:rsid w:val="00BB0258"/>
    <w:rsid w:val="00BB05C6"/>
    <w:rsid w:val="00BB06A6"/>
    <w:rsid w:val="00BB0A2D"/>
    <w:rsid w:val="00BB0AC1"/>
    <w:rsid w:val="00BB12C8"/>
    <w:rsid w:val="00BB1788"/>
    <w:rsid w:val="00BB18C0"/>
    <w:rsid w:val="00BB1AB0"/>
    <w:rsid w:val="00BB1BCD"/>
    <w:rsid w:val="00BB1BE6"/>
    <w:rsid w:val="00BB1D4B"/>
    <w:rsid w:val="00BB27AB"/>
    <w:rsid w:val="00BB28C3"/>
    <w:rsid w:val="00BB348A"/>
    <w:rsid w:val="00BB34CC"/>
    <w:rsid w:val="00BB356C"/>
    <w:rsid w:val="00BB3838"/>
    <w:rsid w:val="00BB3841"/>
    <w:rsid w:val="00BB3876"/>
    <w:rsid w:val="00BB46C5"/>
    <w:rsid w:val="00BB5112"/>
    <w:rsid w:val="00BB539E"/>
    <w:rsid w:val="00BB5572"/>
    <w:rsid w:val="00BB561B"/>
    <w:rsid w:val="00BB5900"/>
    <w:rsid w:val="00BB5D21"/>
    <w:rsid w:val="00BB6626"/>
    <w:rsid w:val="00BB6934"/>
    <w:rsid w:val="00BB6AB9"/>
    <w:rsid w:val="00BB6E3C"/>
    <w:rsid w:val="00BB74C3"/>
    <w:rsid w:val="00BB7577"/>
    <w:rsid w:val="00BB7693"/>
    <w:rsid w:val="00BC07C4"/>
    <w:rsid w:val="00BC107A"/>
    <w:rsid w:val="00BC1A42"/>
    <w:rsid w:val="00BC222E"/>
    <w:rsid w:val="00BC2283"/>
    <w:rsid w:val="00BC29B8"/>
    <w:rsid w:val="00BC2C9B"/>
    <w:rsid w:val="00BC2F97"/>
    <w:rsid w:val="00BC3110"/>
    <w:rsid w:val="00BC3780"/>
    <w:rsid w:val="00BC3BE1"/>
    <w:rsid w:val="00BC3C08"/>
    <w:rsid w:val="00BC3EEB"/>
    <w:rsid w:val="00BC4016"/>
    <w:rsid w:val="00BC44DC"/>
    <w:rsid w:val="00BC4641"/>
    <w:rsid w:val="00BC469E"/>
    <w:rsid w:val="00BC4BDB"/>
    <w:rsid w:val="00BC4C65"/>
    <w:rsid w:val="00BC511E"/>
    <w:rsid w:val="00BC5907"/>
    <w:rsid w:val="00BC61BB"/>
    <w:rsid w:val="00BC6414"/>
    <w:rsid w:val="00BC6A7C"/>
    <w:rsid w:val="00BC70A7"/>
    <w:rsid w:val="00BC712E"/>
    <w:rsid w:val="00BC7393"/>
    <w:rsid w:val="00BC7791"/>
    <w:rsid w:val="00BC7F54"/>
    <w:rsid w:val="00BD0F3B"/>
    <w:rsid w:val="00BD14EB"/>
    <w:rsid w:val="00BD1B77"/>
    <w:rsid w:val="00BD1FFB"/>
    <w:rsid w:val="00BD221C"/>
    <w:rsid w:val="00BD2757"/>
    <w:rsid w:val="00BD2A0D"/>
    <w:rsid w:val="00BD2B47"/>
    <w:rsid w:val="00BD2D4B"/>
    <w:rsid w:val="00BD39B4"/>
    <w:rsid w:val="00BD3F9B"/>
    <w:rsid w:val="00BD4701"/>
    <w:rsid w:val="00BD4C23"/>
    <w:rsid w:val="00BD4FBE"/>
    <w:rsid w:val="00BD5D2A"/>
    <w:rsid w:val="00BD607E"/>
    <w:rsid w:val="00BD6279"/>
    <w:rsid w:val="00BD68E1"/>
    <w:rsid w:val="00BD6E3F"/>
    <w:rsid w:val="00BD6E58"/>
    <w:rsid w:val="00BD73B3"/>
    <w:rsid w:val="00BD74E9"/>
    <w:rsid w:val="00BD7B22"/>
    <w:rsid w:val="00BD7C8F"/>
    <w:rsid w:val="00BE188A"/>
    <w:rsid w:val="00BE2360"/>
    <w:rsid w:val="00BE2C2B"/>
    <w:rsid w:val="00BE2E29"/>
    <w:rsid w:val="00BE2E7D"/>
    <w:rsid w:val="00BE32CD"/>
    <w:rsid w:val="00BE3A50"/>
    <w:rsid w:val="00BE44B9"/>
    <w:rsid w:val="00BE47F0"/>
    <w:rsid w:val="00BE4B87"/>
    <w:rsid w:val="00BE4D9E"/>
    <w:rsid w:val="00BE4E3C"/>
    <w:rsid w:val="00BE6F9D"/>
    <w:rsid w:val="00BE72CD"/>
    <w:rsid w:val="00BE736B"/>
    <w:rsid w:val="00BE770B"/>
    <w:rsid w:val="00BE7C70"/>
    <w:rsid w:val="00BE7D61"/>
    <w:rsid w:val="00BF0257"/>
    <w:rsid w:val="00BF03FC"/>
    <w:rsid w:val="00BF0526"/>
    <w:rsid w:val="00BF0AB5"/>
    <w:rsid w:val="00BF0ABD"/>
    <w:rsid w:val="00BF1282"/>
    <w:rsid w:val="00BF1DE5"/>
    <w:rsid w:val="00BF2300"/>
    <w:rsid w:val="00BF2B3D"/>
    <w:rsid w:val="00BF2E00"/>
    <w:rsid w:val="00BF3491"/>
    <w:rsid w:val="00BF3846"/>
    <w:rsid w:val="00BF3CB5"/>
    <w:rsid w:val="00BF4596"/>
    <w:rsid w:val="00BF5191"/>
    <w:rsid w:val="00BF5AAF"/>
    <w:rsid w:val="00BF5F24"/>
    <w:rsid w:val="00BF61F7"/>
    <w:rsid w:val="00BF63BE"/>
    <w:rsid w:val="00BF6456"/>
    <w:rsid w:val="00BF7277"/>
    <w:rsid w:val="00BF72CF"/>
    <w:rsid w:val="00BF7404"/>
    <w:rsid w:val="00BF78DC"/>
    <w:rsid w:val="00BF7D44"/>
    <w:rsid w:val="00BF7E14"/>
    <w:rsid w:val="00C002D7"/>
    <w:rsid w:val="00C007CD"/>
    <w:rsid w:val="00C00C6B"/>
    <w:rsid w:val="00C01967"/>
    <w:rsid w:val="00C01DC8"/>
    <w:rsid w:val="00C021BE"/>
    <w:rsid w:val="00C0234B"/>
    <w:rsid w:val="00C02597"/>
    <w:rsid w:val="00C027FD"/>
    <w:rsid w:val="00C03039"/>
    <w:rsid w:val="00C03BD8"/>
    <w:rsid w:val="00C03D6E"/>
    <w:rsid w:val="00C047FC"/>
    <w:rsid w:val="00C04AA1"/>
    <w:rsid w:val="00C0508D"/>
    <w:rsid w:val="00C05494"/>
    <w:rsid w:val="00C0559F"/>
    <w:rsid w:val="00C058D6"/>
    <w:rsid w:val="00C05B80"/>
    <w:rsid w:val="00C05C75"/>
    <w:rsid w:val="00C05D05"/>
    <w:rsid w:val="00C06322"/>
    <w:rsid w:val="00C06731"/>
    <w:rsid w:val="00C06AB6"/>
    <w:rsid w:val="00C0703E"/>
    <w:rsid w:val="00C07125"/>
    <w:rsid w:val="00C0768E"/>
    <w:rsid w:val="00C07AB2"/>
    <w:rsid w:val="00C07D1F"/>
    <w:rsid w:val="00C103A3"/>
    <w:rsid w:val="00C11236"/>
    <w:rsid w:val="00C11E50"/>
    <w:rsid w:val="00C11EEC"/>
    <w:rsid w:val="00C11F76"/>
    <w:rsid w:val="00C12F85"/>
    <w:rsid w:val="00C13031"/>
    <w:rsid w:val="00C1345E"/>
    <w:rsid w:val="00C13F39"/>
    <w:rsid w:val="00C140EB"/>
    <w:rsid w:val="00C1462B"/>
    <w:rsid w:val="00C146D7"/>
    <w:rsid w:val="00C14910"/>
    <w:rsid w:val="00C15518"/>
    <w:rsid w:val="00C1576D"/>
    <w:rsid w:val="00C15E44"/>
    <w:rsid w:val="00C161E4"/>
    <w:rsid w:val="00C163E3"/>
    <w:rsid w:val="00C164BE"/>
    <w:rsid w:val="00C16C81"/>
    <w:rsid w:val="00C16D94"/>
    <w:rsid w:val="00C20030"/>
    <w:rsid w:val="00C207D5"/>
    <w:rsid w:val="00C20E6F"/>
    <w:rsid w:val="00C212CA"/>
    <w:rsid w:val="00C21370"/>
    <w:rsid w:val="00C21466"/>
    <w:rsid w:val="00C217A1"/>
    <w:rsid w:val="00C2198A"/>
    <w:rsid w:val="00C22218"/>
    <w:rsid w:val="00C22402"/>
    <w:rsid w:val="00C227FB"/>
    <w:rsid w:val="00C22D39"/>
    <w:rsid w:val="00C2329C"/>
    <w:rsid w:val="00C23610"/>
    <w:rsid w:val="00C2379C"/>
    <w:rsid w:val="00C23CB7"/>
    <w:rsid w:val="00C23EB0"/>
    <w:rsid w:val="00C24930"/>
    <w:rsid w:val="00C24C01"/>
    <w:rsid w:val="00C24C06"/>
    <w:rsid w:val="00C259CA"/>
    <w:rsid w:val="00C25C16"/>
    <w:rsid w:val="00C268F0"/>
    <w:rsid w:val="00C2728F"/>
    <w:rsid w:val="00C27755"/>
    <w:rsid w:val="00C2781D"/>
    <w:rsid w:val="00C27BB8"/>
    <w:rsid w:val="00C27BD1"/>
    <w:rsid w:val="00C27CD0"/>
    <w:rsid w:val="00C27F15"/>
    <w:rsid w:val="00C27FA7"/>
    <w:rsid w:val="00C31700"/>
    <w:rsid w:val="00C31B94"/>
    <w:rsid w:val="00C31E72"/>
    <w:rsid w:val="00C32063"/>
    <w:rsid w:val="00C320E3"/>
    <w:rsid w:val="00C32303"/>
    <w:rsid w:val="00C328F5"/>
    <w:rsid w:val="00C32A01"/>
    <w:rsid w:val="00C32C37"/>
    <w:rsid w:val="00C32EC8"/>
    <w:rsid w:val="00C32EF5"/>
    <w:rsid w:val="00C33A5D"/>
    <w:rsid w:val="00C34ACB"/>
    <w:rsid w:val="00C34EB5"/>
    <w:rsid w:val="00C34ECB"/>
    <w:rsid w:val="00C355A2"/>
    <w:rsid w:val="00C35843"/>
    <w:rsid w:val="00C35DF2"/>
    <w:rsid w:val="00C36270"/>
    <w:rsid w:val="00C36B86"/>
    <w:rsid w:val="00C36D56"/>
    <w:rsid w:val="00C370FF"/>
    <w:rsid w:val="00C3719D"/>
    <w:rsid w:val="00C373DF"/>
    <w:rsid w:val="00C377DE"/>
    <w:rsid w:val="00C379F2"/>
    <w:rsid w:val="00C37E0B"/>
    <w:rsid w:val="00C37F6A"/>
    <w:rsid w:val="00C400ED"/>
    <w:rsid w:val="00C40177"/>
    <w:rsid w:val="00C40249"/>
    <w:rsid w:val="00C403A2"/>
    <w:rsid w:val="00C4092C"/>
    <w:rsid w:val="00C409E1"/>
    <w:rsid w:val="00C40A85"/>
    <w:rsid w:val="00C41292"/>
    <w:rsid w:val="00C4184F"/>
    <w:rsid w:val="00C4202E"/>
    <w:rsid w:val="00C43587"/>
    <w:rsid w:val="00C43821"/>
    <w:rsid w:val="00C43BAA"/>
    <w:rsid w:val="00C442F6"/>
    <w:rsid w:val="00C4467E"/>
    <w:rsid w:val="00C447B4"/>
    <w:rsid w:val="00C449FD"/>
    <w:rsid w:val="00C44CB3"/>
    <w:rsid w:val="00C4543B"/>
    <w:rsid w:val="00C4598D"/>
    <w:rsid w:val="00C46403"/>
    <w:rsid w:val="00C4681B"/>
    <w:rsid w:val="00C468A3"/>
    <w:rsid w:val="00C4700E"/>
    <w:rsid w:val="00C4714E"/>
    <w:rsid w:val="00C474A6"/>
    <w:rsid w:val="00C47D85"/>
    <w:rsid w:val="00C50646"/>
    <w:rsid w:val="00C5088C"/>
    <w:rsid w:val="00C508FD"/>
    <w:rsid w:val="00C51262"/>
    <w:rsid w:val="00C51509"/>
    <w:rsid w:val="00C51AE7"/>
    <w:rsid w:val="00C520AD"/>
    <w:rsid w:val="00C522A6"/>
    <w:rsid w:val="00C523B9"/>
    <w:rsid w:val="00C52540"/>
    <w:rsid w:val="00C52699"/>
    <w:rsid w:val="00C52DB7"/>
    <w:rsid w:val="00C52E68"/>
    <w:rsid w:val="00C53037"/>
    <w:rsid w:val="00C533C2"/>
    <w:rsid w:val="00C53B12"/>
    <w:rsid w:val="00C545F8"/>
    <w:rsid w:val="00C549E9"/>
    <w:rsid w:val="00C54F60"/>
    <w:rsid w:val="00C5524A"/>
    <w:rsid w:val="00C5524C"/>
    <w:rsid w:val="00C552E3"/>
    <w:rsid w:val="00C555D1"/>
    <w:rsid w:val="00C55849"/>
    <w:rsid w:val="00C55B8F"/>
    <w:rsid w:val="00C5609E"/>
    <w:rsid w:val="00C56FAF"/>
    <w:rsid w:val="00C570A7"/>
    <w:rsid w:val="00C57338"/>
    <w:rsid w:val="00C5780A"/>
    <w:rsid w:val="00C60742"/>
    <w:rsid w:val="00C60871"/>
    <w:rsid w:val="00C60AE8"/>
    <w:rsid w:val="00C60C31"/>
    <w:rsid w:val="00C60CA5"/>
    <w:rsid w:val="00C61801"/>
    <w:rsid w:val="00C61C64"/>
    <w:rsid w:val="00C62A6F"/>
    <w:rsid w:val="00C62BBC"/>
    <w:rsid w:val="00C62F21"/>
    <w:rsid w:val="00C63E70"/>
    <w:rsid w:val="00C64204"/>
    <w:rsid w:val="00C64310"/>
    <w:rsid w:val="00C645DF"/>
    <w:rsid w:val="00C64BA3"/>
    <w:rsid w:val="00C650D1"/>
    <w:rsid w:val="00C65A19"/>
    <w:rsid w:val="00C65D39"/>
    <w:rsid w:val="00C65DCD"/>
    <w:rsid w:val="00C65E44"/>
    <w:rsid w:val="00C66808"/>
    <w:rsid w:val="00C66AB8"/>
    <w:rsid w:val="00C66D5E"/>
    <w:rsid w:val="00C673EF"/>
    <w:rsid w:val="00C678D6"/>
    <w:rsid w:val="00C70274"/>
    <w:rsid w:val="00C70285"/>
    <w:rsid w:val="00C7049D"/>
    <w:rsid w:val="00C70C44"/>
    <w:rsid w:val="00C70D51"/>
    <w:rsid w:val="00C7150B"/>
    <w:rsid w:val="00C71D9C"/>
    <w:rsid w:val="00C72B9C"/>
    <w:rsid w:val="00C72EAE"/>
    <w:rsid w:val="00C73C4B"/>
    <w:rsid w:val="00C741C5"/>
    <w:rsid w:val="00C745ED"/>
    <w:rsid w:val="00C749B6"/>
    <w:rsid w:val="00C74AE5"/>
    <w:rsid w:val="00C74B76"/>
    <w:rsid w:val="00C74D95"/>
    <w:rsid w:val="00C75455"/>
    <w:rsid w:val="00C756FC"/>
    <w:rsid w:val="00C757D4"/>
    <w:rsid w:val="00C75C59"/>
    <w:rsid w:val="00C76624"/>
    <w:rsid w:val="00C7665F"/>
    <w:rsid w:val="00C76F11"/>
    <w:rsid w:val="00C770E5"/>
    <w:rsid w:val="00C77192"/>
    <w:rsid w:val="00C779DE"/>
    <w:rsid w:val="00C77BD8"/>
    <w:rsid w:val="00C77E1D"/>
    <w:rsid w:val="00C808DA"/>
    <w:rsid w:val="00C80F12"/>
    <w:rsid w:val="00C81145"/>
    <w:rsid w:val="00C81552"/>
    <w:rsid w:val="00C81805"/>
    <w:rsid w:val="00C819F3"/>
    <w:rsid w:val="00C81D7F"/>
    <w:rsid w:val="00C82723"/>
    <w:rsid w:val="00C8281C"/>
    <w:rsid w:val="00C82A3F"/>
    <w:rsid w:val="00C82E00"/>
    <w:rsid w:val="00C82FF6"/>
    <w:rsid w:val="00C8306D"/>
    <w:rsid w:val="00C837CF"/>
    <w:rsid w:val="00C83CB9"/>
    <w:rsid w:val="00C843A6"/>
    <w:rsid w:val="00C84765"/>
    <w:rsid w:val="00C84CCE"/>
    <w:rsid w:val="00C85072"/>
    <w:rsid w:val="00C857C2"/>
    <w:rsid w:val="00C85ADF"/>
    <w:rsid w:val="00C90409"/>
    <w:rsid w:val="00C905AF"/>
    <w:rsid w:val="00C90B56"/>
    <w:rsid w:val="00C90CD3"/>
    <w:rsid w:val="00C91645"/>
    <w:rsid w:val="00C918BB"/>
    <w:rsid w:val="00C92B0A"/>
    <w:rsid w:val="00C92D08"/>
    <w:rsid w:val="00C92F5C"/>
    <w:rsid w:val="00C93228"/>
    <w:rsid w:val="00C9363C"/>
    <w:rsid w:val="00C9375B"/>
    <w:rsid w:val="00C9413C"/>
    <w:rsid w:val="00C94986"/>
    <w:rsid w:val="00C950E9"/>
    <w:rsid w:val="00C95293"/>
    <w:rsid w:val="00C95346"/>
    <w:rsid w:val="00C95523"/>
    <w:rsid w:val="00C95630"/>
    <w:rsid w:val="00C958B3"/>
    <w:rsid w:val="00C95971"/>
    <w:rsid w:val="00C959F6"/>
    <w:rsid w:val="00C95EED"/>
    <w:rsid w:val="00C9620B"/>
    <w:rsid w:val="00C967B9"/>
    <w:rsid w:val="00C96E8F"/>
    <w:rsid w:val="00C97576"/>
    <w:rsid w:val="00C97A29"/>
    <w:rsid w:val="00C97B83"/>
    <w:rsid w:val="00C97ED6"/>
    <w:rsid w:val="00CA027D"/>
    <w:rsid w:val="00CA036A"/>
    <w:rsid w:val="00CA04E7"/>
    <w:rsid w:val="00CA180D"/>
    <w:rsid w:val="00CA1890"/>
    <w:rsid w:val="00CA2B2D"/>
    <w:rsid w:val="00CA3A75"/>
    <w:rsid w:val="00CA3A92"/>
    <w:rsid w:val="00CA3B1E"/>
    <w:rsid w:val="00CA421B"/>
    <w:rsid w:val="00CA43E9"/>
    <w:rsid w:val="00CA4AA4"/>
    <w:rsid w:val="00CA5EBC"/>
    <w:rsid w:val="00CA5FCD"/>
    <w:rsid w:val="00CA601D"/>
    <w:rsid w:val="00CA6044"/>
    <w:rsid w:val="00CA6169"/>
    <w:rsid w:val="00CA61C7"/>
    <w:rsid w:val="00CA63A5"/>
    <w:rsid w:val="00CA6F89"/>
    <w:rsid w:val="00CA7380"/>
    <w:rsid w:val="00CA7382"/>
    <w:rsid w:val="00CA777C"/>
    <w:rsid w:val="00CA7A56"/>
    <w:rsid w:val="00CA7C2A"/>
    <w:rsid w:val="00CB0AE3"/>
    <w:rsid w:val="00CB0B43"/>
    <w:rsid w:val="00CB0EEE"/>
    <w:rsid w:val="00CB2208"/>
    <w:rsid w:val="00CB29ED"/>
    <w:rsid w:val="00CB2B98"/>
    <w:rsid w:val="00CB336D"/>
    <w:rsid w:val="00CB3B35"/>
    <w:rsid w:val="00CB3F52"/>
    <w:rsid w:val="00CB4A38"/>
    <w:rsid w:val="00CB4CE3"/>
    <w:rsid w:val="00CB4FB5"/>
    <w:rsid w:val="00CB54DB"/>
    <w:rsid w:val="00CB5528"/>
    <w:rsid w:val="00CB5D0B"/>
    <w:rsid w:val="00CB6525"/>
    <w:rsid w:val="00CB6D8D"/>
    <w:rsid w:val="00CC0110"/>
    <w:rsid w:val="00CC0550"/>
    <w:rsid w:val="00CC1562"/>
    <w:rsid w:val="00CC1CDD"/>
    <w:rsid w:val="00CC1D53"/>
    <w:rsid w:val="00CC2093"/>
    <w:rsid w:val="00CC209C"/>
    <w:rsid w:val="00CC2165"/>
    <w:rsid w:val="00CC231D"/>
    <w:rsid w:val="00CC2ADF"/>
    <w:rsid w:val="00CC356A"/>
    <w:rsid w:val="00CC38A9"/>
    <w:rsid w:val="00CC3B42"/>
    <w:rsid w:val="00CC3CC8"/>
    <w:rsid w:val="00CC4C7A"/>
    <w:rsid w:val="00CC5039"/>
    <w:rsid w:val="00CC5228"/>
    <w:rsid w:val="00CC5544"/>
    <w:rsid w:val="00CC5A80"/>
    <w:rsid w:val="00CC6CC3"/>
    <w:rsid w:val="00CC6D66"/>
    <w:rsid w:val="00CC6E7D"/>
    <w:rsid w:val="00CC6FE0"/>
    <w:rsid w:val="00CC716E"/>
    <w:rsid w:val="00CC7211"/>
    <w:rsid w:val="00CD0435"/>
    <w:rsid w:val="00CD0FB1"/>
    <w:rsid w:val="00CD1664"/>
    <w:rsid w:val="00CD17D2"/>
    <w:rsid w:val="00CD188D"/>
    <w:rsid w:val="00CD1C9C"/>
    <w:rsid w:val="00CD1F3B"/>
    <w:rsid w:val="00CD2221"/>
    <w:rsid w:val="00CD23E7"/>
    <w:rsid w:val="00CD2716"/>
    <w:rsid w:val="00CD2D54"/>
    <w:rsid w:val="00CD2E3D"/>
    <w:rsid w:val="00CD34C1"/>
    <w:rsid w:val="00CD34CC"/>
    <w:rsid w:val="00CD37B5"/>
    <w:rsid w:val="00CD3830"/>
    <w:rsid w:val="00CD3B9B"/>
    <w:rsid w:val="00CD433F"/>
    <w:rsid w:val="00CD436D"/>
    <w:rsid w:val="00CD438F"/>
    <w:rsid w:val="00CD45A7"/>
    <w:rsid w:val="00CD470F"/>
    <w:rsid w:val="00CD49F2"/>
    <w:rsid w:val="00CD55A8"/>
    <w:rsid w:val="00CD5A29"/>
    <w:rsid w:val="00CD5E4F"/>
    <w:rsid w:val="00CD6207"/>
    <w:rsid w:val="00CD623A"/>
    <w:rsid w:val="00CD6849"/>
    <w:rsid w:val="00CD734D"/>
    <w:rsid w:val="00CD74A1"/>
    <w:rsid w:val="00CD75F3"/>
    <w:rsid w:val="00CD768C"/>
    <w:rsid w:val="00CE0375"/>
    <w:rsid w:val="00CE0622"/>
    <w:rsid w:val="00CE06B9"/>
    <w:rsid w:val="00CE0A36"/>
    <w:rsid w:val="00CE0AA4"/>
    <w:rsid w:val="00CE0CB0"/>
    <w:rsid w:val="00CE10D9"/>
    <w:rsid w:val="00CE12B3"/>
    <w:rsid w:val="00CE18E8"/>
    <w:rsid w:val="00CE1B5C"/>
    <w:rsid w:val="00CE1EBB"/>
    <w:rsid w:val="00CE1F2E"/>
    <w:rsid w:val="00CE2F78"/>
    <w:rsid w:val="00CE323A"/>
    <w:rsid w:val="00CE431A"/>
    <w:rsid w:val="00CE462B"/>
    <w:rsid w:val="00CE534C"/>
    <w:rsid w:val="00CE593B"/>
    <w:rsid w:val="00CE5C8D"/>
    <w:rsid w:val="00CE6049"/>
    <w:rsid w:val="00CE6405"/>
    <w:rsid w:val="00CE6471"/>
    <w:rsid w:val="00CE6AF2"/>
    <w:rsid w:val="00CE6BB8"/>
    <w:rsid w:val="00CE6E46"/>
    <w:rsid w:val="00CE701A"/>
    <w:rsid w:val="00CE716A"/>
    <w:rsid w:val="00CE71FC"/>
    <w:rsid w:val="00CE7350"/>
    <w:rsid w:val="00CE7544"/>
    <w:rsid w:val="00CE7D33"/>
    <w:rsid w:val="00CE7DF6"/>
    <w:rsid w:val="00CF07C7"/>
    <w:rsid w:val="00CF07F0"/>
    <w:rsid w:val="00CF0FF1"/>
    <w:rsid w:val="00CF109F"/>
    <w:rsid w:val="00CF1155"/>
    <w:rsid w:val="00CF1487"/>
    <w:rsid w:val="00CF1491"/>
    <w:rsid w:val="00CF151F"/>
    <w:rsid w:val="00CF178D"/>
    <w:rsid w:val="00CF1B28"/>
    <w:rsid w:val="00CF1CBA"/>
    <w:rsid w:val="00CF23E0"/>
    <w:rsid w:val="00CF246E"/>
    <w:rsid w:val="00CF2B55"/>
    <w:rsid w:val="00CF2B6B"/>
    <w:rsid w:val="00CF3223"/>
    <w:rsid w:val="00CF3B1D"/>
    <w:rsid w:val="00CF4532"/>
    <w:rsid w:val="00CF4687"/>
    <w:rsid w:val="00CF46F5"/>
    <w:rsid w:val="00CF47F3"/>
    <w:rsid w:val="00CF4EAE"/>
    <w:rsid w:val="00CF50B7"/>
    <w:rsid w:val="00CF5244"/>
    <w:rsid w:val="00CF567A"/>
    <w:rsid w:val="00CF590A"/>
    <w:rsid w:val="00CF5AE2"/>
    <w:rsid w:val="00CF5C5C"/>
    <w:rsid w:val="00CF5CAB"/>
    <w:rsid w:val="00CF5D27"/>
    <w:rsid w:val="00CF5E28"/>
    <w:rsid w:val="00CF6090"/>
    <w:rsid w:val="00CF63A6"/>
    <w:rsid w:val="00CF6924"/>
    <w:rsid w:val="00CF707D"/>
    <w:rsid w:val="00CF70C7"/>
    <w:rsid w:val="00CF712B"/>
    <w:rsid w:val="00CF725E"/>
    <w:rsid w:val="00CF7335"/>
    <w:rsid w:val="00CF7457"/>
    <w:rsid w:val="00CF7465"/>
    <w:rsid w:val="00CF7A64"/>
    <w:rsid w:val="00CF7AB8"/>
    <w:rsid w:val="00D01A18"/>
    <w:rsid w:val="00D01ACB"/>
    <w:rsid w:val="00D01EE2"/>
    <w:rsid w:val="00D023BD"/>
    <w:rsid w:val="00D02C28"/>
    <w:rsid w:val="00D02CBB"/>
    <w:rsid w:val="00D033AD"/>
    <w:rsid w:val="00D03E6A"/>
    <w:rsid w:val="00D04C46"/>
    <w:rsid w:val="00D04C9F"/>
    <w:rsid w:val="00D04DA6"/>
    <w:rsid w:val="00D04DCC"/>
    <w:rsid w:val="00D04EB8"/>
    <w:rsid w:val="00D0602E"/>
    <w:rsid w:val="00D060BD"/>
    <w:rsid w:val="00D064AB"/>
    <w:rsid w:val="00D064F0"/>
    <w:rsid w:val="00D071AF"/>
    <w:rsid w:val="00D0720B"/>
    <w:rsid w:val="00D0743B"/>
    <w:rsid w:val="00D078FB"/>
    <w:rsid w:val="00D109EB"/>
    <w:rsid w:val="00D10AFF"/>
    <w:rsid w:val="00D11A9E"/>
    <w:rsid w:val="00D11C87"/>
    <w:rsid w:val="00D11CC7"/>
    <w:rsid w:val="00D12046"/>
    <w:rsid w:val="00D1220F"/>
    <w:rsid w:val="00D12716"/>
    <w:rsid w:val="00D13042"/>
    <w:rsid w:val="00D137DC"/>
    <w:rsid w:val="00D13A7D"/>
    <w:rsid w:val="00D13BA6"/>
    <w:rsid w:val="00D13F56"/>
    <w:rsid w:val="00D1423A"/>
    <w:rsid w:val="00D1498E"/>
    <w:rsid w:val="00D14B91"/>
    <w:rsid w:val="00D15BBB"/>
    <w:rsid w:val="00D15C95"/>
    <w:rsid w:val="00D15FFD"/>
    <w:rsid w:val="00D164E3"/>
    <w:rsid w:val="00D169EE"/>
    <w:rsid w:val="00D1734A"/>
    <w:rsid w:val="00D1746D"/>
    <w:rsid w:val="00D17584"/>
    <w:rsid w:val="00D178DA"/>
    <w:rsid w:val="00D17B55"/>
    <w:rsid w:val="00D17C16"/>
    <w:rsid w:val="00D17CD5"/>
    <w:rsid w:val="00D17D5B"/>
    <w:rsid w:val="00D17F42"/>
    <w:rsid w:val="00D202F8"/>
    <w:rsid w:val="00D2060C"/>
    <w:rsid w:val="00D20666"/>
    <w:rsid w:val="00D2066F"/>
    <w:rsid w:val="00D2067B"/>
    <w:rsid w:val="00D20725"/>
    <w:rsid w:val="00D20B00"/>
    <w:rsid w:val="00D20C85"/>
    <w:rsid w:val="00D214AF"/>
    <w:rsid w:val="00D2166F"/>
    <w:rsid w:val="00D22155"/>
    <w:rsid w:val="00D222BE"/>
    <w:rsid w:val="00D22656"/>
    <w:rsid w:val="00D22D21"/>
    <w:rsid w:val="00D22DC5"/>
    <w:rsid w:val="00D22DF3"/>
    <w:rsid w:val="00D22E8C"/>
    <w:rsid w:val="00D22F8A"/>
    <w:rsid w:val="00D2357D"/>
    <w:rsid w:val="00D237FE"/>
    <w:rsid w:val="00D23B25"/>
    <w:rsid w:val="00D23B4E"/>
    <w:rsid w:val="00D23F5C"/>
    <w:rsid w:val="00D2424F"/>
    <w:rsid w:val="00D24366"/>
    <w:rsid w:val="00D243A5"/>
    <w:rsid w:val="00D24A49"/>
    <w:rsid w:val="00D24AB5"/>
    <w:rsid w:val="00D255BC"/>
    <w:rsid w:val="00D256F0"/>
    <w:rsid w:val="00D25D14"/>
    <w:rsid w:val="00D26132"/>
    <w:rsid w:val="00D265A2"/>
    <w:rsid w:val="00D26771"/>
    <w:rsid w:val="00D26C6C"/>
    <w:rsid w:val="00D26E96"/>
    <w:rsid w:val="00D27049"/>
    <w:rsid w:val="00D271EA"/>
    <w:rsid w:val="00D30262"/>
    <w:rsid w:val="00D307FA"/>
    <w:rsid w:val="00D30829"/>
    <w:rsid w:val="00D30B84"/>
    <w:rsid w:val="00D30D9B"/>
    <w:rsid w:val="00D314C9"/>
    <w:rsid w:val="00D314F7"/>
    <w:rsid w:val="00D3169C"/>
    <w:rsid w:val="00D31BCE"/>
    <w:rsid w:val="00D32675"/>
    <w:rsid w:val="00D33D41"/>
    <w:rsid w:val="00D34B9E"/>
    <w:rsid w:val="00D351CC"/>
    <w:rsid w:val="00D353E6"/>
    <w:rsid w:val="00D354EF"/>
    <w:rsid w:val="00D360AD"/>
    <w:rsid w:val="00D37180"/>
    <w:rsid w:val="00D37B6E"/>
    <w:rsid w:val="00D405A9"/>
    <w:rsid w:val="00D40C86"/>
    <w:rsid w:val="00D41F7A"/>
    <w:rsid w:val="00D42708"/>
    <w:rsid w:val="00D436EC"/>
    <w:rsid w:val="00D4391D"/>
    <w:rsid w:val="00D43D18"/>
    <w:rsid w:val="00D43DED"/>
    <w:rsid w:val="00D43ED9"/>
    <w:rsid w:val="00D440F2"/>
    <w:rsid w:val="00D446AB"/>
    <w:rsid w:val="00D44A2A"/>
    <w:rsid w:val="00D45127"/>
    <w:rsid w:val="00D45520"/>
    <w:rsid w:val="00D4574D"/>
    <w:rsid w:val="00D46930"/>
    <w:rsid w:val="00D474F9"/>
    <w:rsid w:val="00D4780F"/>
    <w:rsid w:val="00D4793D"/>
    <w:rsid w:val="00D50037"/>
    <w:rsid w:val="00D505C2"/>
    <w:rsid w:val="00D50AAA"/>
    <w:rsid w:val="00D50DD0"/>
    <w:rsid w:val="00D51BD2"/>
    <w:rsid w:val="00D51E94"/>
    <w:rsid w:val="00D5203C"/>
    <w:rsid w:val="00D52D8A"/>
    <w:rsid w:val="00D53333"/>
    <w:rsid w:val="00D533F3"/>
    <w:rsid w:val="00D5340F"/>
    <w:rsid w:val="00D534D4"/>
    <w:rsid w:val="00D540FD"/>
    <w:rsid w:val="00D54724"/>
    <w:rsid w:val="00D54739"/>
    <w:rsid w:val="00D54A38"/>
    <w:rsid w:val="00D55775"/>
    <w:rsid w:val="00D56F98"/>
    <w:rsid w:val="00D60391"/>
    <w:rsid w:val="00D603F9"/>
    <w:rsid w:val="00D609CB"/>
    <w:rsid w:val="00D60A58"/>
    <w:rsid w:val="00D60CF7"/>
    <w:rsid w:val="00D614DD"/>
    <w:rsid w:val="00D6177F"/>
    <w:rsid w:val="00D61DAE"/>
    <w:rsid w:val="00D630F4"/>
    <w:rsid w:val="00D631F5"/>
    <w:rsid w:val="00D637A0"/>
    <w:rsid w:val="00D63846"/>
    <w:rsid w:val="00D639E7"/>
    <w:rsid w:val="00D640CA"/>
    <w:rsid w:val="00D64387"/>
    <w:rsid w:val="00D6447E"/>
    <w:rsid w:val="00D64577"/>
    <w:rsid w:val="00D64794"/>
    <w:rsid w:val="00D64A51"/>
    <w:rsid w:val="00D64C79"/>
    <w:rsid w:val="00D65C3A"/>
    <w:rsid w:val="00D66CA3"/>
    <w:rsid w:val="00D6719C"/>
    <w:rsid w:val="00D676A5"/>
    <w:rsid w:val="00D67756"/>
    <w:rsid w:val="00D67812"/>
    <w:rsid w:val="00D67CF0"/>
    <w:rsid w:val="00D67D7A"/>
    <w:rsid w:val="00D70033"/>
    <w:rsid w:val="00D703A4"/>
    <w:rsid w:val="00D70854"/>
    <w:rsid w:val="00D709F4"/>
    <w:rsid w:val="00D710F4"/>
    <w:rsid w:val="00D71B80"/>
    <w:rsid w:val="00D71C0E"/>
    <w:rsid w:val="00D71DC2"/>
    <w:rsid w:val="00D721F6"/>
    <w:rsid w:val="00D72695"/>
    <w:rsid w:val="00D72C50"/>
    <w:rsid w:val="00D72DF9"/>
    <w:rsid w:val="00D73254"/>
    <w:rsid w:val="00D7343F"/>
    <w:rsid w:val="00D734D0"/>
    <w:rsid w:val="00D734F4"/>
    <w:rsid w:val="00D735A1"/>
    <w:rsid w:val="00D7390D"/>
    <w:rsid w:val="00D73CAE"/>
    <w:rsid w:val="00D7446E"/>
    <w:rsid w:val="00D74888"/>
    <w:rsid w:val="00D748F7"/>
    <w:rsid w:val="00D7499A"/>
    <w:rsid w:val="00D75036"/>
    <w:rsid w:val="00D75AAC"/>
    <w:rsid w:val="00D75E95"/>
    <w:rsid w:val="00D76890"/>
    <w:rsid w:val="00D76CD1"/>
    <w:rsid w:val="00D77607"/>
    <w:rsid w:val="00D806BA"/>
    <w:rsid w:val="00D80AED"/>
    <w:rsid w:val="00D81510"/>
    <w:rsid w:val="00D81867"/>
    <w:rsid w:val="00D81D25"/>
    <w:rsid w:val="00D825BA"/>
    <w:rsid w:val="00D8279D"/>
    <w:rsid w:val="00D83E8F"/>
    <w:rsid w:val="00D8409B"/>
    <w:rsid w:val="00D84429"/>
    <w:rsid w:val="00D84809"/>
    <w:rsid w:val="00D84B13"/>
    <w:rsid w:val="00D84B83"/>
    <w:rsid w:val="00D84BC7"/>
    <w:rsid w:val="00D84D9F"/>
    <w:rsid w:val="00D84E88"/>
    <w:rsid w:val="00D8546B"/>
    <w:rsid w:val="00D8579C"/>
    <w:rsid w:val="00D85AFE"/>
    <w:rsid w:val="00D85BDC"/>
    <w:rsid w:val="00D85F65"/>
    <w:rsid w:val="00D8611F"/>
    <w:rsid w:val="00D864C2"/>
    <w:rsid w:val="00D86B3C"/>
    <w:rsid w:val="00D86D0D"/>
    <w:rsid w:val="00D86FB4"/>
    <w:rsid w:val="00D8787E"/>
    <w:rsid w:val="00D878F6"/>
    <w:rsid w:val="00D879C1"/>
    <w:rsid w:val="00D87AA2"/>
    <w:rsid w:val="00D9018A"/>
    <w:rsid w:val="00D902A5"/>
    <w:rsid w:val="00D90538"/>
    <w:rsid w:val="00D90B40"/>
    <w:rsid w:val="00D90D1E"/>
    <w:rsid w:val="00D90FA4"/>
    <w:rsid w:val="00D918E7"/>
    <w:rsid w:val="00D92251"/>
    <w:rsid w:val="00D92335"/>
    <w:rsid w:val="00D92681"/>
    <w:rsid w:val="00D93486"/>
    <w:rsid w:val="00D93F55"/>
    <w:rsid w:val="00D9404D"/>
    <w:rsid w:val="00D943C1"/>
    <w:rsid w:val="00D94414"/>
    <w:rsid w:val="00D95195"/>
    <w:rsid w:val="00D95220"/>
    <w:rsid w:val="00D952B9"/>
    <w:rsid w:val="00D953D3"/>
    <w:rsid w:val="00D9568C"/>
    <w:rsid w:val="00D95BB4"/>
    <w:rsid w:val="00D95CF2"/>
    <w:rsid w:val="00D95F6D"/>
    <w:rsid w:val="00D966A6"/>
    <w:rsid w:val="00D972BE"/>
    <w:rsid w:val="00D97F3D"/>
    <w:rsid w:val="00D97F86"/>
    <w:rsid w:val="00D97F96"/>
    <w:rsid w:val="00DA061E"/>
    <w:rsid w:val="00DA0EEE"/>
    <w:rsid w:val="00DA1076"/>
    <w:rsid w:val="00DA12F8"/>
    <w:rsid w:val="00DA1BB5"/>
    <w:rsid w:val="00DA26A8"/>
    <w:rsid w:val="00DA26CB"/>
    <w:rsid w:val="00DA2737"/>
    <w:rsid w:val="00DA2AE9"/>
    <w:rsid w:val="00DA303F"/>
    <w:rsid w:val="00DA4259"/>
    <w:rsid w:val="00DA45E5"/>
    <w:rsid w:val="00DA4643"/>
    <w:rsid w:val="00DA4B0B"/>
    <w:rsid w:val="00DA5760"/>
    <w:rsid w:val="00DA584C"/>
    <w:rsid w:val="00DA673F"/>
    <w:rsid w:val="00DA6820"/>
    <w:rsid w:val="00DA68DA"/>
    <w:rsid w:val="00DA74EA"/>
    <w:rsid w:val="00DA7B3C"/>
    <w:rsid w:val="00DA7B9F"/>
    <w:rsid w:val="00DB027F"/>
    <w:rsid w:val="00DB03F2"/>
    <w:rsid w:val="00DB0882"/>
    <w:rsid w:val="00DB0BE6"/>
    <w:rsid w:val="00DB0CE2"/>
    <w:rsid w:val="00DB0FD4"/>
    <w:rsid w:val="00DB125A"/>
    <w:rsid w:val="00DB12ED"/>
    <w:rsid w:val="00DB165D"/>
    <w:rsid w:val="00DB1AC4"/>
    <w:rsid w:val="00DB22DC"/>
    <w:rsid w:val="00DB2795"/>
    <w:rsid w:val="00DB285A"/>
    <w:rsid w:val="00DB28A8"/>
    <w:rsid w:val="00DB307B"/>
    <w:rsid w:val="00DB3165"/>
    <w:rsid w:val="00DB3B1D"/>
    <w:rsid w:val="00DB45FC"/>
    <w:rsid w:val="00DB4719"/>
    <w:rsid w:val="00DB4925"/>
    <w:rsid w:val="00DB4F28"/>
    <w:rsid w:val="00DB5038"/>
    <w:rsid w:val="00DB59B6"/>
    <w:rsid w:val="00DB5DAD"/>
    <w:rsid w:val="00DB64C0"/>
    <w:rsid w:val="00DB6608"/>
    <w:rsid w:val="00DB6C4C"/>
    <w:rsid w:val="00DB7008"/>
    <w:rsid w:val="00DB794F"/>
    <w:rsid w:val="00DB7D7D"/>
    <w:rsid w:val="00DB7E9E"/>
    <w:rsid w:val="00DC00F2"/>
    <w:rsid w:val="00DC0470"/>
    <w:rsid w:val="00DC0856"/>
    <w:rsid w:val="00DC1AD2"/>
    <w:rsid w:val="00DC1D4A"/>
    <w:rsid w:val="00DC31CD"/>
    <w:rsid w:val="00DC3435"/>
    <w:rsid w:val="00DC3878"/>
    <w:rsid w:val="00DC3BB2"/>
    <w:rsid w:val="00DC4A31"/>
    <w:rsid w:val="00DC4DEE"/>
    <w:rsid w:val="00DC5948"/>
    <w:rsid w:val="00DC5D44"/>
    <w:rsid w:val="00DC5FAD"/>
    <w:rsid w:val="00DC633E"/>
    <w:rsid w:val="00DC6441"/>
    <w:rsid w:val="00DC6CF6"/>
    <w:rsid w:val="00DC7092"/>
    <w:rsid w:val="00DC7551"/>
    <w:rsid w:val="00DD0045"/>
    <w:rsid w:val="00DD0198"/>
    <w:rsid w:val="00DD038C"/>
    <w:rsid w:val="00DD097B"/>
    <w:rsid w:val="00DD182F"/>
    <w:rsid w:val="00DD20B7"/>
    <w:rsid w:val="00DD21C4"/>
    <w:rsid w:val="00DD2241"/>
    <w:rsid w:val="00DD2478"/>
    <w:rsid w:val="00DD24FA"/>
    <w:rsid w:val="00DD2D3B"/>
    <w:rsid w:val="00DD30DF"/>
    <w:rsid w:val="00DD34BB"/>
    <w:rsid w:val="00DD39B9"/>
    <w:rsid w:val="00DD3C2C"/>
    <w:rsid w:val="00DD3C87"/>
    <w:rsid w:val="00DD4071"/>
    <w:rsid w:val="00DD4C8E"/>
    <w:rsid w:val="00DD4DCC"/>
    <w:rsid w:val="00DD51C3"/>
    <w:rsid w:val="00DD51FA"/>
    <w:rsid w:val="00DD53E6"/>
    <w:rsid w:val="00DD558F"/>
    <w:rsid w:val="00DD56D2"/>
    <w:rsid w:val="00DD5932"/>
    <w:rsid w:val="00DD61CA"/>
    <w:rsid w:val="00DD622B"/>
    <w:rsid w:val="00DD6BA2"/>
    <w:rsid w:val="00DD7017"/>
    <w:rsid w:val="00DD734A"/>
    <w:rsid w:val="00DD7582"/>
    <w:rsid w:val="00DE0AA5"/>
    <w:rsid w:val="00DE0BB9"/>
    <w:rsid w:val="00DE0DFC"/>
    <w:rsid w:val="00DE1548"/>
    <w:rsid w:val="00DE180C"/>
    <w:rsid w:val="00DE22DD"/>
    <w:rsid w:val="00DE242C"/>
    <w:rsid w:val="00DE246A"/>
    <w:rsid w:val="00DE28B4"/>
    <w:rsid w:val="00DE2ED8"/>
    <w:rsid w:val="00DE4186"/>
    <w:rsid w:val="00DE4A60"/>
    <w:rsid w:val="00DE4A72"/>
    <w:rsid w:val="00DE4DD5"/>
    <w:rsid w:val="00DE4E20"/>
    <w:rsid w:val="00DE4EB2"/>
    <w:rsid w:val="00DE5167"/>
    <w:rsid w:val="00DE548C"/>
    <w:rsid w:val="00DE614C"/>
    <w:rsid w:val="00DE6199"/>
    <w:rsid w:val="00DE6557"/>
    <w:rsid w:val="00DE69A9"/>
    <w:rsid w:val="00DE721E"/>
    <w:rsid w:val="00DE7B08"/>
    <w:rsid w:val="00DE7F29"/>
    <w:rsid w:val="00DE7F57"/>
    <w:rsid w:val="00DF03D1"/>
    <w:rsid w:val="00DF0E58"/>
    <w:rsid w:val="00DF129E"/>
    <w:rsid w:val="00DF1433"/>
    <w:rsid w:val="00DF27DE"/>
    <w:rsid w:val="00DF28CA"/>
    <w:rsid w:val="00DF2B98"/>
    <w:rsid w:val="00DF31AA"/>
    <w:rsid w:val="00DF35EF"/>
    <w:rsid w:val="00DF378A"/>
    <w:rsid w:val="00DF393B"/>
    <w:rsid w:val="00DF3AF0"/>
    <w:rsid w:val="00DF43FB"/>
    <w:rsid w:val="00DF4A5A"/>
    <w:rsid w:val="00DF50FD"/>
    <w:rsid w:val="00DF54A4"/>
    <w:rsid w:val="00DF55C6"/>
    <w:rsid w:val="00DF5851"/>
    <w:rsid w:val="00DF58A8"/>
    <w:rsid w:val="00DF5A65"/>
    <w:rsid w:val="00DF5A87"/>
    <w:rsid w:val="00DF6BC2"/>
    <w:rsid w:val="00DF714D"/>
    <w:rsid w:val="00DF720E"/>
    <w:rsid w:val="00DF768C"/>
    <w:rsid w:val="00DF78A1"/>
    <w:rsid w:val="00E0033A"/>
    <w:rsid w:val="00E00ABC"/>
    <w:rsid w:val="00E00B27"/>
    <w:rsid w:val="00E01F70"/>
    <w:rsid w:val="00E020D6"/>
    <w:rsid w:val="00E0227D"/>
    <w:rsid w:val="00E02647"/>
    <w:rsid w:val="00E02658"/>
    <w:rsid w:val="00E02EF9"/>
    <w:rsid w:val="00E03191"/>
    <w:rsid w:val="00E03994"/>
    <w:rsid w:val="00E04090"/>
    <w:rsid w:val="00E042B6"/>
    <w:rsid w:val="00E04339"/>
    <w:rsid w:val="00E04813"/>
    <w:rsid w:val="00E04E38"/>
    <w:rsid w:val="00E04F44"/>
    <w:rsid w:val="00E05158"/>
    <w:rsid w:val="00E057CE"/>
    <w:rsid w:val="00E05D83"/>
    <w:rsid w:val="00E05FCB"/>
    <w:rsid w:val="00E06113"/>
    <w:rsid w:val="00E061A4"/>
    <w:rsid w:val="00E069FC"/>
    <w:rsid w:val="00E06B31"/>
    <w:rsid w:val="00E06B82"/>
    <w:rsid w:val="00E06CA6"/>
    <w:rsid w:val="00E078F6"/>
    <w:rsid w:val="00E07AD0"/>
    <w:rsid w:val="00E112BA"/>
    <w:rsid w:val="00E1133D"/>
    <w:rsid w:val="00E11EC8"/>
    <w:rsid w:val="00E12204"/>
    <w:rsid w:val="00E1250C"/>
    <w:rsid w:val="00E12C60"/>
    <w:rsid w:val="00E13499"/>
    <w:rsid w:val="00E134A7"/>
    <w:rsid w:val="00E139FB"/>
    <w:rsid w:val="00E13E75"/>
    <w:rsid w:val="00E14870"/>
    <w:rsid w:val="00E14EE5"/>
    <w:rsid w:val="00E1564B"/>
    <w:rsid w:val="00E15832"/>
    <w:rsid w:val="00E15ED2"/>
    <w:rsid w:val="00E16511"/>
    <w:rsid w:val="00E1696E"/>
    <w:rsid w:val="00E17035"/>
    <w:rsid w:val="00E1734B"/>
    <w:rsid w:val="00E175C6"/>
    <w:rsid w:val="00E1787D"/>
    <w:rsid w:val="00E20BCB"/>
    <w:rsid w:val="00E20EB6"/>
    <w:rsid w:val="00E210A8"/>
    <w:rsid w:val="00E21845"/>
    <w:rsid w:val="00E219C7"/>
    <w:rsid w:val="00E21D7B"/>
    <w:rsid w:val="00E221CA"/>
    <w:rsid w:val="00E22A53"/>
    <w:rsid w:val="00E22E20"/>
    <w:rsid w:val="00E22E5C"/>
    <w:rsid w:val="00E23D10"/>
    <w:rsid w:val="00E242B3"/>
    <w:rsid w:val="00E245B4"/>
    <w:rsid w:val="00E247C8"/>
    <w:rsid w:val="00E2517F"/>
    <w:rsid w:val="00E2592B"/>
    <w:rsid w:val="00E25B6E"/>
    <w:rsid w:val="00E25BC4"/>
    <w:rsid w:val="00E2607C"/>
    <w:rsid w:val="00E2683E"/>
    <w:rsid w:val="00E2695A"/>
    <w:rsid w:val="00E26BDE"/>
    <w:rsid w:val="00E26D0B"/>
    <w:rsid w:val="00E27696"/>
    <w:rsid w:val="00E2771A"/>
    <w:rsid w:val="00E27844"/>
    <w:rsid w:val="00E27DED"/>
    <w:rsid w:val="00E3074E"/>
    <w:rsid w:val="00E307FA"/>
    <w:rsid w:val="00E3093E"/>
    <w:rsid w:val="00E3125E"/>
    <w:rsid w:val="00E31981"/>
    <w:rsid w:val="00E31B86"/>
    <w:rsid w:val="00E31D21"/>
    <w:rsid w:val="00E3279E"/>
    <w:rsid w:val="00E329CF"/>
    <w:rsid w:val="00E32C67"/>
    <w:rsid w:val="00E32CB7"/>
    <w:rsid w:val="00E337A0"/>
    <w:rsid w:val="00E33FEE"/>
    <w:rsid w:val="00E345B8"/>
    <w:rsid w:val="00E34B3D"/>
    <w:rsid w:val="00E34F8D"/>
    <w:rsid w:val="00E3533B"/>
    <w:rsid w:val="00E353F0"/>
    <w:rsid w:val="00E355D4"/>
    <w:rsid w:val="00E35EA7"/>
    <w:rsid w:val="00E35F4C"/>
    <w:rsid w:val="00E360D6"/>
    <w:rsid w:val="00E3647F"/>
    <w:rsid w:val="00E3650E"/>
    <w:rsid w:val="00E36794"/>
    <w:rsid w:val="00E36F4A"/>
    <w:rsid w:val="00E3732D"/>
    <w:rsid w:val="00E3765A"/>
    <w:rsid w:val="00E37907"/>
    <w:rsid w:val="00E37C36"/>
    <w:rsid w:val="00E37E10"/>
    <w:rsid w:val="00E37F4D"/>
    <w:rsid w:val="00E40500"/>
    <w:rsid w:val="00E405EE"/>
    <w:rsid w:val="00E40EA4"/>
    <w:rsid w:val="00E41610"/>
    <w:rsid w:val="00E41FA9"/>
    <w:rsid w:val="00E420DD"/>
    <w:rsid w:val="00E42DB6"/>
    <w:rsid w:val="00E44522"/>
    <w:rsid w:val="00E449CA"/>
    <w:rsid w:val="00E4507C"/>
    <w:rsid w:val="00E450F7"/>
    <w:rsid w:val="00E45231"/>
    <w:rsid w:val="00E452DB"/>
    <w:rsid w:val="00E454A5"/>
    <w:rsid w:val="00E4595A"/>
    <w:rsid w:val="00E45B04"/>
    <w:rsid w:val="00E45C59"/>
    <w:rsid w:val="00E45FE9"/>
    <w:rsid w:val="00E46141"/>
    <w:rsid w:val="00E461EE"/>
    <w:rsid w:val="00E46393"/>
    <w:rsid w:val="00E464AF"/>
    <w:rsid w:val="00E46757"/>
    <w:rsid w:val="00E46A67"/>
    <w:rsid w:val="00E46C01"/>
    <w:rsid w:val="00E46CC6"/>
    <w:rsid w:val="00E4766E"/>
    <w:rsid w:val="00E47CAC"/>
    <w:rsid w:val="00E47D75"/>
    <w:rsid w:val="00E500D6"/>
    <w:rsid w:val="00E50405"/>
    <w:rsid w:val="00E50586"/>
    <w:rsid w:val="00E507C6"/>
    <w:rsid w:val="00E507CC"/>
    <w:rsid w:val="00E50940"/>
    <w:rsid w:val="00E50C0D"/>
    <w:rsid w:val="00E50E76"/>
    <w:rsid w:val="00E50EEE"/>
    <w:rsid w:val="00E51AE4"/>
    <w:rsid w:val="00E522D5"/>
    <w:rsid w:val="00E5261F"/>
    <w:rsid w:val="00E52F1A"/>
    <w:rsid w:val="00E53931"/>
    <w:rsid w:val="00E53D39"/>
    <w:rsid w:val="00E53E1B"/>
    <w:rsid w:val="00E54019"/>
    <w:rsid w:val="00E5405E"/>
    <w:rsid w:val="00E5420C"/>
    <w:rsid w:val="00E544C6"/>
    <w:rsid w:val="00E54863"/>
    <w:rsid w:val="00E54ACD"/>
    <w:rsid w:val="00E54BE3"/>
    <w:rsid w:val="00E55241"/>
    <w:rsid w:val="00E559ED"/>
    <w:rsid w:val="00E55AE2"/>
    <w:rsid w:val="00E55D4E"/>
    <w:rsid w:val="00E56272"/>
    <w:rsid w:val="00E5687E"/>
    <w:rsid w:val="00E57459"/>
    <w:rsid w:val="00E57BD1"/>
    <w:rsid w:val="00E57FA0"/>
    <w:rsid w:val="00E6000B"/>
    <w:rsid w:val="00E600EB"/>
    <w:rsid w:val="00E60892"/>
    <w:rsid w:val="00E6089A"/>
    <w:rsid w:val="00E60EFB"/>
    <w:rsid w:val="00E612D5"/>
    <w:rsid w:val="00E61461"/>
    <w:rsid w:val="00E615C3"/>
    <w:rsid w:val="00E622E3"/>
    <w:rsid w:val="00E62AB0"/>
    <w:rsid w:val="00E62B34"/>
    <w:rsid w:val="00E630FC"/>
    <w:rsid w:val="00E633AA"/>
    <w:rsid w:val="00E634A8"/>
    <w:rsid w:val="00E63657"/>
    <w:rsid w:val="00E64003"/>
    <w:rsid w:val="00E64A71"/>
    <w:rsid w:val="00E651B6"/>
    <w:rsid w:val="00E659F9"/>
    <w:rsid w:val="00E659FD"/>
    <w:rsid w:val="00E65D0A"/>
    <w:rsid w:val="00E65E46"/>
    <w:rsid w:val="00E663CA"/>
    <w:rsid w:val="00E6703E"/>
    <w:rsid w:val="00E67059"/>
    <w:rsid w:val="00E67161"/>
    <w:rsid w:val="00E67E86"/>
    <w:rsid w:val="00E67FAD"/>
    <w:rsid w:val="00E70674"/>
    <w:rsid w:val="00E708CD"/>
    <w:rsid w:val="00E70C06"/>
    <w:rsid w:val="00E70C26"/>
    <w:rsid w:val="00E70DE6"/>
    <w:rsid w:val="00E715DE"/>
    <w:rsid w:val="00E719FB"/>
    <w:rsid w:val="00E71CB1"/>
    <w:rsid w:val="00E71E40"/>
    <w:rsid w:val="00E72A55"/>
    <w:rsid w:val="00E72BB9"/>
    <w:rsid w:val="00E73B6C"/>
    <w:rsid w:val="00E74130"/>
    <w:rsid w:val="00E742B7"/>
    <w:rsid w:val="00E7435A"/>
    <w:rsid w:val="00E74782"/>
    <w:rsid w:val="00E7491C"/>
    <w:rsid w:val="00E754CD"/>
    <w:rsid w:val="00E7553A"/>
    <w:rsid w:val="00E757C2"/>
    <w:rsid w:val="00E75F50"/>
    <w:rsid w:val="00E7632E"/>
    <w:rsid w:val="00E76751"/>
    <w:rsid w:val="00E76F25"/>
    <w:rsid w:val="00E7726C"/>
    <w:rsid w:val="00E77373"/>
    <w:rsid w:val="00E7763A"/>
    <w:rsid w:val="00E777B7"/>
    <w:rsid w:val="00E77F6B"/>
    <w:rsid w:val="00E80369"/>
    <w:rsid w:val="00E8058F"/>
    <w:rsid w:val="00E805AA"/>
    <w:rsid w:val="00E81777"/>
    <w:rsid w:val="00E819AF"/>
    <w:rsid w:val="00E81B6E"/>
    <w:rsid w:val="00E81DAF"/>
    <w:rsid w:val="00E81E50"/>
    <w:rsid w:val="00E82782"/>
    <w:rsid w:val="00E82936"/>
    <w:rsid w:val="00E82A42"/>
    <w:rsid w:val="00E82AA2"/>
    <w:rsid w:val="00E832BC"/>
    <w:rsid w:val="00E8358C"/>
    <w:rsid w:val="00E83CA7"/>
    <w:rsid w:val="00E83DD0"/>
    <w:rsid w:val="00E844F5"/>
    <w:rsid w:val="00E84531"/>
    <w:rsid w:val="00E84B1D"/>
    <w:rsid w:val="00E84FC6"/>
    <w:rsid w:val="00E8544F"/>
    <w:rsid w:val="00E85503"/>
    <w:rsid w:val="00E85AD7"/>
    <w:rsid w:val="00E85C73"/>
    <w:rsid w:val="00E8661F"/>
    <w:rsid w:val="00E86A22"/>
    <w:rsid w:val="00E86C9C"/>
    <w:rsid w:val="00E86CF5"/>
    <w:rsid w:val="00E87BB5"/>
    <w:rsid w:val="00E87DD0"/>
    <w:rsid w:val="00E9085D"/>
    <w:rsid w:val="00E9094B"/>
    <w:rsid w:val="00E91328"/>
    <w:rsid w:val="00E91832"/>
    <w:rsid w:val="00E92557"/>
    <w:rsid w:val="00E925E2"/>
    <w:rsid w:val="00E927E9"/>
    <w:rsid w:val="00E93753"/>
    <w:rsid w:val="00E93F8D"/>
    <w:rsid w:val="00E94B00"/>
    <w:rsid w:val="00E94CEC"/>
    <w:rsid w:val="00E9558F"/>
    <w:rsid w:val="00E95B37"/>
    <w:rsid w:val="00E96D88"/>
    <w:rsid w:val="00E96DD0"/>
    <w:rsid w:val="00E97690"/>
    <w:rsid w:val="00E97753"/>
    <w:rsid w:val="00E97785"/>
    <w:rsid w:val="00E977B4"/>
    <w:rsid w:val="00E97F70"/>
    <w:rsid w:val="00EA014F"/>
    <w:rsid w:val="00EA0422"/>
    <w:rsid w:val="00EA048E"/>
    <w:rsid w:val="00EA0535"/>
    <w:rsid w:val="00EA1894"/>
    <w:rsid w:val="00EA26F6"/>
    <w:rsid w:val="00EA3329"/>
    <w:rsid w:val="00EA39C3"/>
    <w:rsid w:val="00EA3A9E"/>
    <w:rsid w:val="00EA3B7C"/>
    <w:rsid w:val="00EA3C83"/>
    <w:rsid w:val="00EA40D0"/>
    <w:rsid w:val="00EA40E3"/>
    <w:rsid w:val="00EA561D"/>
    <w:rsid w:val="00EA5A04"/>
    <w:rsid w:val="00EA5F3A"/>
    <w:rsid w:val="00EA6772"/>
    <w:rsid w:val="00EA6B25"/>
    <w:rsid w:val="00EA6EF4"/>
    <w:rsid w:val="00EA7270"/>
    <w:rsid w:val="00EA748D"/>
    <w:rsid w:val="00EA750D"/>
    <w:rsid w:val="00EB0C5C"/>
    <w:rsid w:val="00EB0E29"/>
    <w:rsid w:val="00EB0E66"/>
    <w:rsid w:val="00EB1693"/>
    <w:rsid w:val="00EB24E1"/>
    <w:rsid w:val="00EB2831"/>
    <w:rsid w:val="00EB2C1C"/>
    <w:rsid w:val="00EB309C"/>
    <w:rsid w:val="00EB3656"/>
    <w:rsid w:val="00EB373C"/>
    <w:rsid w:val="00EB3884"/>
    <w:rsid w:val="00EB3BA9"/>
    <w:rsid w:val="00EB3BBD"/>
    <w:rsid w:val="00EB3DD7"/>
    <w:rsid w:val="00EB3EF9"/>
    <w:rsid w:val="00EB42FC"/>
    <w:rsid w:val="00EB4DCE"/>
    <w:rsid w:val="00EB51BC"/>
    <w:rsid w:val="00EB51F9"/>
    <w:rsid w:val="00EB590A"/>
    <w:rsid w:val="00EB5B6F"/>
    <w:rsid w:val="00EB5C6E"/>
    <w:rsid w:val="00EB6203"/>
    <w:rsid w:val="00EB668F"/>
    <w:rsid w:val="00EB687D"/>
    <w:rsid w:val="00EB6DC6"/>
    <w:rsid w:val="00EB6E2F"/>
    <w:rsid w:val="00EB6EC2"/>
    <w:rsid w:val="00EB74A1"/>
    <w:rsid w:val="00EB7643"/>
    <w:rsid w:val="00EB77DA"/>
    <w:rsid w:val="00EB7DD0"/>
    <w:rsid w:val="00EB7E1D"/>
    <w:rsid w:val="00EB7F1B"/>
    <w:rsid w:val="00EB7F9B"/>
    <w:rsid w:val="00EC01AB"/>
    <w:rsid w:val="00EC03D3"/>
    <w:rsid w:val="00EC08C1"/>
    <w:rsid w:val="00EC1533"/>
    <w:rsid w:val="00EC17E7"/>
    <w:rsid w:val="00EC1E12"/>
    <w:rsid w:val="00EC2ACE"/>
    <w:rsid w:val="00EC2D9C"/>
    <w:rsid w:val="00EC2DDA"/>
    <w:rsid w:val="00EC2F88"/>
    <w:rsid w:val="00EC386B"/>
    <w:rsid w:val="00EC39AC"/>
    <w:rsid w:val="00EC3AB6"/>
    <w:rsid w:val="00EC3B5A"/>
    <w:rsid w:val="00EC3BD4"/>
    <w:rsid w:val="00EC3EBB"/>
    <w:rsid w:val="00EC3F43"/>
    <w:rsid w:val="00EC4827"/>
    <w:rsid w:val="00EC4944"/>
    <w:rsid w:val="00EC4B9C"/>
    <w:rsid w:val="00EC4CEA"/>
    <w:rsid w:val="00EC4DE0"/>
    <w:rsid w:val="00EC4FDF"/>
    <w:rsid w:val="00EC53C2"/>
    <w:rsid w:val="00EC5470"/>
    <w:rsid w:val="00EC5B2E"/>
    <w:rsid w:val="00EC6347"/>
    <w:rsid w:val="00EC636D"/>
    <w:rsid w:val="00EC6584"/>
    <w:rsid w:val="00EC6A26"/>
    <w:rsid w:val="00EC6E10"/>
    <w:rsid w:val="00EC6E42"/>
    <w:rsid w:val="00EC7FD5"/>
    <w:rsid w:val="00ED03AD"/>
    <w:rsid w:val="00ED0715"/>
    <w:rsid w:val="00ED0929"/>
    <w:rsid w:val="00ED098C"/>
    <w:rsid w:val="00ED0B46"/>
    <w:rsid w:val="00ED0DBB"/>
    <w:rsid w:val="00ED0DD2"/>
    <w:rsid w:val="00ED0DEF"/>
    <w:rsid w:val="00ED1898"/>
    <w:rsid w:val="00ED1948"/>
    <w:rsid w:val="00ED1C87"/>
    <w:rsid w:val="00ED1DBA"/>
    <w:rsid w:val="00ED2426"/>
    <w:rsid w:val="00ED253F"/>
    <w:rsid w:val="00ED273C"/>
    <w:rsid w:val="00ED3272"/>
    <w:rsid w:val="00ED336F"/>
    <w:rsid w:val="00ED3C0F"/>
    <w:rsid w:val="00ED51C3"/>
    <w:rsid w:val="00ED541E"/>
    <w:rsid w:val="00ED586A"/>
    <w:rsid w:val="00ED612E"/>
    <w:rsid w:val="00ED632D"/>
    <w:rsid w:val="00ED7255"/>
    <w:rsid w:val="00ED7BAB"/>
    <w:rsid w:val="00ED7F11"/>
    <w:rsid w:val="00EE087E"/>
    <w:rsid w:val="00EE08B6"/>
    <w:rsid w:val="00EE0D14"/>
    <w:rsid w:val="00EE1491"/>
    <w:rsid w:val="00EE1843"/>
    <w:rsid w:val="00EE1BF8"/>
    <w:rsid w:val="00EE266A"/>
    <w:rsid w:val="00EE28D5"/>
    <w:rsid w:val="00EE2B52"/>
    <w:rsid w:val="00EE2D58"/>
    <w:rsid w:val="00EE2E4A"/>
    <w:rsid w:val="00EE336E"/>
    <w:rsid w:val="00EE385C"/>
    <w:rsid w:val="00EE3C88"/>
    <w:rsid w:val="00EE3EF9"/>
    <w:rsid w:val="00EE4017"/>
    <w:rsid w:val="00EE4626"/>
    <w:rsid w:val="00EE4AB2"/>
    <w:rsid w:val="00EE4C5C"/>
    <w:rsid w:val="00EE519F"/>
    <w:rsid w:val="00EE594D"/>
    <w:rsid w:val="00EE62BF"/>
    <w:rsid w:val="00EE62DA"/>
    <w:rsid w:val="00EE6647"/>
    <w:rsid w:val="00EE669D"/>
    <w:rsid w:val="00EE686C"/>
    <w:rsid w:val="00EE75D1"/>
    <w:rsid w:val="00EE7791"/>
    <w:rsid w:val="00EF0A9B"/>
    <w:rsid w:val="00EF0EE9"/>
    <w:rsid w:val="00EF10F9"/>
    <w:rsid w:val="00EF11D3"/>
    <w:rsid w:val="00EF2491"/>
    <w:rsid w:val="00EF26FE"/>
    <w:rsid w:val="00EF2C88"/>
    <w:rsid w:val="00EF2F64"/>
    <w:rsid w:val="00EF3217"/>
    <w:rsid w:val="00EF326D"/>
    <w:rsid w:val="00EF4818"/>
    <w:rsid w:val="00EF4877"/>
    <w:rsid w:val="00EF4C10"/>
    <w:rsid w:val="00EF545D"/>
    <w:rsid w:val="00EF5D57"/>
    <w:rsid w:val="00EF5F82"/>
    <w:rsid w:val="00EF5F90"/>
    <w:rsid w:val="00EF6143"/>
    <w:rsid w:val="00EF679B"/>
    <w:rsid w:val="00EF68DE"/>
    <w:rsid w:val="00EF6BA9"/>
    <w:rsid w:val="00EF6C9F"/>
    <w:rsid w:val="00EF7827"/>
    <w:rsid w:val="00EF79C9"/>
    <w:rsid w:val="00EF7FA0"/>
    <w:rsid w:val="00F00208"/>
    <w:rsid w:val="00F002CA"/>
    <w:rsid w:val="00F002EF"/>
    <w:rsid w:val="00F0031B"/>
    <w:rsid w:val="00F003BD"/>
    <w:rsid w:val="00F00453"/>
    <w:rsid w:val="00F00B94"/>
    <w:rsid w:val="00F00F7A"/>
    <w:rsid w:val="00F01D55"/>
    <w:rsid w:val="00F027C2"/>
    <w:rsid w:val="00F028D3"/>
    <w:rsid w:val="00F03334"/>
    <w:rsid w:val="00F03B68"/>
    <w:rsid w:val="00F04028"/>
    <w:rsid w:val="00F0489D"/>
    <w:rsid w:val="00F05381"/>
    <w:rsid w:val="00F061E1"/>
    <w:rsid w:val="00F06454"/>
    <w:rsid w:val="00F064FB"/>
    <w:rsid w:val="00F06975"/>
    <w:rsid w:val="00F07442"/>
    <w:rsid w:val="00F07969"/>
    <w:rsid w:val="00F101B4"/>
    <w:rsid w:val="00F10414"/>
    <w:rsid w:val="00F10658"/>
    <w:rsid w:val="00F107AC"/>
    <w:rsid w:val="00F10EE3"/>
    <w:rsid w:val="00F114C4"/>
    <w:rsid w:val="00F11EC9"/>
    <w:rsid w:val="00F12299"/>
    <w:rsid w:val="00F125E9"/>
    <w:rsid w:val="00F12A4E"/>
    <w:rsid w:val="00F12B72"/>
    <w:rsid w:val="00F12D14"/>
    <w:rsid w:val="00F12F35"/>
    <w:rsid w:val="00F1342F"/>
    <w:rsid w:val="00F13643"/>
    <w:rsid w:val="00F13DE4"/>
    <w:rsid w:val="00F13ECA"/>
    <w:rsid w:val="00F1410B"/>
    <w:rsid w:val="00F148E4"/>
    <w:rsid w:val="00F14C86"/>
    <w:rsid w:val="00F14EF2"/>
    <w:rsid w:val="00F14FC8"/>
    <w:rsid w:val="00F15454"/>
    <w:rsid w:val="00F1580F"/>
    <w:rsid w:val="00F15D3E"/>
    <w:rsid w:val="00F15E05"/>
    <w:rsid w:val="00F16999"/>
    <w:rsid w:val="00F16A7B"/>
    <w:rsid w:val="00F16E06"/>
    <w:rsid w:val="00F17B81"/>
    <w:rsid w:val="00F2008A"/>
    <w:rsid w:val="00F204DA"/>
    <w:rsid w:val="00F20789"/>
    <w:rsid w:val="00F209D3"/>
    <w:rsid w:val="00F20B58"/>
    <w:rsid w:val="00F20C8C"/>
    <w:rsid w:val="00F20E1C"/>
    <w:rsid w:val="00F2158A"/>
    <w:rsid w:val="00F2188A"/>
    <w:rsid w:val="00F21E4A"/>
    <w:rsid w:val="00F21FF1"/>
    <w:rsid w:val="00F221EC"/>
    <w:rsid w:val="00F227E8"/>
    <w:rsid w:val="00F22B56"/>
    <w:rsid w:val="00F22F57"/>
    <w:rsid w:val="00F231B0"/>
    <w:rsid w:val="00F23291"/>
    <w:rsid w:val="00F23416"/>
    <w:rsid w:val="00F235C2"/>
    <w:rsid w:val="00F238B1"/>
    <w:rsid w:val="00F23A30"/>
    <w:rsid w:val="00F23C17"/>
    <w:rsid w:val="00F23C50"/>
    <w:rsid w:val="00F23C81"/>
    <w:rsid w:val="00F23CCC"/>
    <w:rsid w:val="00F23DCA"/>
    <w:rsid w:val="00F23FD7"/>
    <w:rsid w:val="00F2439C"/>
    <w:rsid w:val="00F244B5"/>
    <w:rsid w:val="00F245A5"/>
    <w:rsid w:val="00F2491F"/>
    <w:rsid w:val="00F24EB0"/>
    <w:rsid w:val="00F24F09"/>
    <w:rsid w:val="00F2583C"/>
    <w:rsid w:val="00F2584B"/>
    <w:rsid w:val="00F25EB3"/>
    <w:rsid w:val="00F2613B"/>
    <w:rsid w:val="00F261EC"/>
    <w:rsid w:val="00F265E3"/>
    <w:rsid w:val="00F26A4F"/>
    <w:rsid w:val="00F2762C"/>
    <w:rsid w:val="00F27B56"/>
    <w:rsid w:val="00F27FE8"/>
    <w:rsid w:val="00F31185"/>
    <w:rsid w:val="00F314B5"/>
    <w:rsid w:val="00F31A73"/>
    <w:rsid w:val="00F31BAD"/>
    <w:rsid w:val="00F31D92"/>
    <w:rsid w:val="00F3207D"/>
    <w:rsid w:val="00F32E07"/>
    <w:rsid w:val="00F32FF2"/>
    <w:rsid w:val="00F33597"/>
    <w:rsid w:val="00F33A89"/>
    <w:rsid w:val="00F33DAB"/>
    <w:rsid w:val="00F33DC7"/>
    <w:rsid w:val="00F34143"/>
    <w:rsid w:val="00F34496"/>
    <w:rsid w:val="00F34543"/>
    <w:rsid w:val="00F34642"/>
    <w:rsid w:val="00F34B44"/>
    <w:rsid w:val="00F34E41"/>
    <w:rsid w:val="00F34ED2"/>
    <w:rsid w:val="00F3515A"/>
    <w:rsid w:val="00F353D8"/>
    <w:rsid w:val="00F35911"/>
    <w:rsid w:val="00F360F6"/>
    <w:rsid w:val="00F36C5E"/>
    <w:rsid w:val="00F3732C"/>
    <w:rsid w:val="00F3759B"/>
    <w:rsid w:val="00F37ED6"/>
    <w:rsid w:val="00F37EFB"/>
    <w:rsid w:val="00F4010C"/>
    <w:rsid w:val="00F402D3"/>
    <w:rsid w:val="00F40E99"/>
    <w:rsid w:val="00F4122A"/>
    <w:rsid w:val="00F420A7"/>
    <w:rsid w:val="00F421AB"/>
    <w:rsid w:val="00F42428"/>
    <w:rsid w:val="00F43386"/>
    <w:rsid w:val="00F43736"/>
    <w:rsid w:val="00F43B58"/>
    <w:rsid w:val="00F4411D"/>
    <w:rsid w:val="00F448B9"/>
    <w:rsid w:val="00F44B44"/>
    <w:rsid w:val="00F4503B"/>
    <w:rsid w:val="00F45145"/>
    <w:rsid w:val="00F454C0"/>
    <w:rsid w:val="00F45C63"/>
    <w:rsid w:val="00F46208"/>
    <w:rsid w:val="00F4624E"/>
    <w:rsid w:val="00F46C5C"/>
    <w:rsid w:val="00F47175"/>
    <w:rsid w:val="00F478D1"/>
    <w:rsid w:val="00F47B60"/>
    <w:rsid w:val="00F47D2F"/>
    <w:rsid w:val="00F508C9"/>
    <w:rsid w:val="00F509A6"/>
    <w:rsid w:val="00F50E66"/>
    <w:rsid w:val="00F51999"/>
    <w:rsid w:val="00F51A1F"/>
    <w:rsid w:val="00F51E89"/>
    <w:rsid w:val="00F521FF"/>
    <w:rsid w:val="00F52273"/>
    <w:rsid w:val="00F522CF"/>
    <w:rsid w:val="00F52B3B"/>
    <w:rsid w:val="00F52C58"/>
    <w:rsid w:val="00F52D00"/>
    <w:rsid w:val="00F52DA2"/>
    <w:rsid w:val="00F53144"/>
    <w:rsid w:val="00F5331B"/>
    <w:rsid w:val="00F53D8E"/>
    <w:rsid w:val="00F53DE0"/>
    <w:rsid w:val="00F53E7C"/>
    <w:rsid w:val="00F53F19"/>
    <w:rsid w:val="00F54028"/>
    <w:rsid w:val="00F542AE"/>
    <w:rsid w:val="00F54547"/>
    <w:rsid w:val="00F54FC6"/>
    <w:rsid w:val="00F552A8"/>
    <w:rsid w:val="00F55930"/>
    <w:rsid w:val="00F55964"/>
    <w:rsid w:val="00F55D9A"/>
    <w:rsid w:val="00F56023"/>
    <w:rsid w:val="00F56B1D"/>
    <w:rsid w:val="00F56C0C"/>
    <w:rsid w:val="00F56D03"/>
    <w:rsid w:val="00F56D07"/>
    <w:rsid w:val="00F56FFB"/>
    <w:rsid w:val="00F57F2B"/>
    <w:rsid w:val="00F60188"/>
    <w:rsid w:val="00F606D4"/>
    <w:rsid w:val="00F608EE"/>
    <w:rsid w:val="00F613B0"/>
    <w:rsid w:val="00F61562"/>
    <w:rsid w:val="00F61E42"/>
    <w:rsid w:val="00F63288"/>
    <w:rsid w:val="00F632A8"/>
    <w:rsid w:val="00F644B6"/>
    <w:rsid w:val="00F646DD"/>
    <w:rsid w:val="00F64974"/>
    <w:rsid w:val="00F64FB2"/>
    <w:rsid w:val="00F650BE"/>
    <w:rsid w:val="00F650CD"/>
    <w:rsid w:val="00F65327"/>
    <w:rsid w:val="00F65594"/>
    <w:rsid w:val="00F659EE"/>
    <w:rsid w:val="00F65A00"/>
    <w:rsid w:val="00F65BD4"/>
    <w:rsid w:val="00F660A5"/>
    <w:rsid w:val="00F661CC"/>
    <w:rsid w:val="00F66CED"/>
    <w:rsid w:val="00F66DA1"/>
    <w:rsid w:val="00F67130"/>
    <w:rsid w:val="00F67144"/>
    <w:rsid w:val="00F672FA"/>
    <w:rsid w:val="00F676A4"/>
    <w:rsid w:val="00F67781"/>
    <w:rsid w:val="00F67837"/>
    <w:rsid w:val="00F67B0A"/>
    <w:rsid w:val="00F70B62"/>
    <w:rsid w:val="00F71E85"/>
    <w:rsid w:val="00F72083"/>
    <w:rsid w:val="00F726A8"/>
    <w:rsid w:val="00F73060"/>
    <w:rsid w:val="00F739DE"/>
    <w:rsid w:val="00F74839"/>
    <w:rsid w:val="00F748AA"/>
    <w:rsid w:val="00F74F55"/>
    <w:rsid w:val="00F7513A"/>
    <w:rsid w:val="00F758F7"/>
    <w:rsid w:val="00F76313"/>
    <w:rsid w:val="00F767BB"/>
    <w:rsid w:val="00F768E9"/>
    <w:rsid w:val="00F775BD"/>
    <w:rsid w:val="00F7777C"/>
    <w:rsid w:val="00F77D53"/>
    <w:rsid w:val="00F803A6"/>
    <w:rsid w:val="00F811D0"/>
    <w:rsid w:val="00F8134A"/>
    <w:rsid w:val="00F81396"/>
    <w:rsid w:val="00F817D7"/>
    <w:rsid w:val="00F81A4C"/>
    <w:rsid w:val="00F81FE8"/>
    <w:rsid w:val="00F836D0"/>
    <w:rsid w:val="00F83822"/>
    <w:rsid w:val="00F83855"/>
    <w:rsid w:val="00F8385B"/>
    <w:rsid w:val="00F83A44"/>
    <w:rsid w:val="00F84579"/>
    <w:rsid w:val="00F8476B"/>
    <w:rsid w:val="00F84B03"/>
    <w:rsid w:val="00F8503F"/>
    <w:rsid w:val="00F8511B"/>
    <w:rsid w:val="00F8536F"/>
    <w:rsid w:val="00F85E57"/>
    <w:rsid w:val="00F85E7D"/>
    <w:rsid w:val="00F863E3"/>
    <w:rsid w:val="00F8654B"/>
    <w:rsid w:val="00F8687E"/>
    <w:rsid w:val="00F86B0A"/>
    <w:rsid w:val="00F86D18"/>
    <w:rsid w:val="00F86E0A"/>
    <w:rsid w:val="00F8778E"/>
    <w:rsid w:val="00F87A16"/>
    <w:rsid w:val="00F87A46"/>
    <w:rsid w:val="00F9055F"/>
    <w:rsid w:val="00F90885"/>
    <w:rsid w:val="00F909BD"/>
    <w:rsid w:val="00F90B60"/>
    <w:rsid w:val="00F90EDC"/>
    <w:rsid w:val="00F90FCA"/>
    <w:rsid w:val="00F910EF"/>
    <w:rsid w:val="00F916BE"/>
    <w:rsid w:val="00F91A2E"/>
    <w:rsid w:val="00F921A9"/>
    <w:rsid w:val="00F922A0"/>
    <w:rsid w:val="00F9241C"/>
    <w:rsid w:val="00F926D3"/>
    <w:rsid w:val="00F927EE"/>
    <w:rsid w:val="00F92B58"/>
    <w:rsid w:val="00F92D93"/>
    <w:rsid w:val="00F9374C"/>
    <w:rsid w:val="00F93BC3"/>
    <w:rsid w:val="00F9407C"/>
    <w:rsid w:val="00F94FCD"/>
    <w:rsid w:val="00F95312"/>
    <w:rsid w:val="00F953E8"/>
    <w:rsid w:val="00F954B4"/>
    <w:rsid w:val="00F975CB"/>
    <w:rsid w:val="00F975F2"/>
    <w:rsid w:val="00F97A55"/>
    <w:rsid w:val="00F97E02"/>
    <w:rsid w:val="00FA02CE"/>
    <w:rsid w:val="00FA0A53"/>
    <w:rsid w:val="00FA0C2F"/>
    <w:rsid w:val="00FA106E"/>
    <w:rsid w:val="00FA16E8"/>
    <w:rsid w:val="00FA1968"/>
    <w:rsid w:val="00FA1C45"/>
    <w:rsid w:val="00FA2072"/>
    <w:rsid w:val="00FA2539"/>
    <w:rsid w:val="00FA26BC"/>
    <w:rsid w:val="00FA28C4"/>
    <w:rsid w:val="00FA29EC"/>
    <w:rsid w:val="00FA30F6"/>
    <w:rsid w:val="00FA37C7"/>
    <w:rsid w:val="00FA3A37"/>
    <w:rsid w:val="00FA4123"/>
    <w:rsid w:val="00FA41B3"/>
    <w:rsid w:val="00FA51F2"/>
    <w:rsid w:val="00FA5862"/>
    <w:rsid w:val="00FA5E09"/>
    <w:rsid w:val="00FA65C7"/>
    <w:rsid w:val="00FA6979"/>
    <w:rsid w:val="00FA6A39"/>
    <w:rsid w:val="00FA6B14"/>
    <w:rsid w:val="00FA6D04"/>
    <w:rsid w:val="00FA77E0"/>
    <w:rsid w:val="00FA7A3F"/>
    <w:rsid w:val="00FA7D76"/>
    <w:rsid w:val="00FB087A"/>
    <w:rsid w:val="00FB0B9F"/>
    <w:rsid w:val="00FB1278"/>
    <w:rsid w:val="00FB1962"/>
    <w:rsid w:val="00FB2643"/>
    <w:rsid w:val="00FB26E8"/>
    <w:rsid w:val="00FB2888"/>
    <w:rsid w:val="00FB3D70"/>
    <w:rsid w:val="00FB4063"/>
    <w:rsid w:val="00FB42BF"/>
    <w:rsid w:val="00FB4419"/>
    <w:rsid w:val="00FB4920"/>
    <w:rsid w:val="00FB4F7D"/>
    <w:rsid w:val="00FB5202"/>
    <w:rsid w:val="00FB5423"/>
    <w:rsid w:val="00FB55D1"/>
    <w:rsid w:val="00FB57A5"/>
    <w:rsid w:val="00FB5DC1"/>
    <w:rsid w:val="00FB6307"/>
    <w:rsid w:val="00FB64F4"/>
    <w:rsid w:val="00FB670F"/>
    <w:rsid w:val="00FB680D"/>
    <w:rsid w:val="00FB69BF"/>
    <w:rsid w:val="00FB6BF6"/>
    <w:rsid w:val="00FB6CA7"/>
    <w:rsid w:val="00FB71B4"/>
    <w:rsid w:val="00FB7203"/>
    <w:rsid w:val="00FC08C8"/>
    <w:rsid w:val="00FC0CFF"/>
    <w:rsid w:val="00FC10E0"/>
    <w:rsid w:val="00FC1201"/>
    <w:rsid w:val="00FC16B2"/>
    <w:rsid w:val="00FC258C"/>
    <w:rsid w:val="00FC27B8"/>
    <w:rsid w:val="00FC317E"/>
    <w:rsid w:val="00FC324E"/>
    <w:rsid w:val="00FC35C1"/>
    <w:rsid w:val="00FC3B35"/>
    <w:rsid w:val="00FC3F08"/>
    <w:rsid w:val="00FC43F9"/>
    <w:rsid w:val="00FC4510"/>
    <w:rsid w:val="00FC4C1A"/>
    <w:rsid w:val="00FC50B6"/>
    <w:rsid w:val="00FC5277"/>
    <w:rsid w:val="00FC53DC"/>
    <w:rsid w:val="00FC54FF"/>
    <w:rsid w:val="00FC5561"/>
    <w:rsid w:val="00FC600A"/>
    <w:rsid w:val="00FC61B8"/>
    <w:rsid w:val="00FC7554"/>
    <w:rsid w:val="00FC7F2D"/>
    <w:rsid w:val="00FD074E"/>
    <w:rsid w:val="00FD1619"/>
    <w:rsid w:val="00FD1AFF"/>
    <w:rsid w:val="00FD1B65"/>
    <w:rsid w:val="00FD20F7"/>
    <w:rsid w:val="00FD222C"/>
    <w:rsid w:val="00FD223E"/>
    <w:rsid w:val="00FD28D2"/>
    <w:rsid w:val="00FD29FF"/>
    <w:rsid w:val="00FD37D5"/>
    <w:rsid w:val="00FD38D8"/>
    <w:rsid w:val="00FD3A6E"/>
    <w:rsid w:val="00FD3C3D"/>
    <w:rsid w:val="00FD4637"/>
    <w:rsid w:val="00FD4C24"/>
    <w:rsid w:val="00FD4D58"/>
    <w:rsid w:val="00FD4E95"/>
    <w:rsid w:val="00FD559F"/>
    <w:rsid w:val="00FD5889"/>
    <w:rsid w:val="00FD5B0F"/>
    <w:rsid w:val="00FD5CA0"/>
    <w:rsid w:val="00FD5EA1"/>
    <w:rsid w:val="00FD5F66"/>
    <w:rsid w:val="00FD5FB7"/>
    <w:rsid w:val="00FD6ACC"/>
    <w:rsid w:val="00FD7827"/>
    <w:rsid w:val="00FD794A"/>
    <w:rsid w:val="00FD7B01"/>
    <w:rsid w:val="00FD7D9E"/>
    <w:rsid w:val="00FD7F21"/>
    <w:rsid w:val="00FE02E6"/>
    <w:rsid w:val="00FE0BA5"/>
    <w:rsid w:val="00FE20C9"/>
    <w:rsid w:val="00FE21A0"/>
    <w:rsid w:val="00FE2252"/>
    <w:rsid w:val="00FE2389"/>
    <w:rsid w:val="00FE265C"/>
    <w:rsid w:val="00FE28CE"/>
    <w:rsid w:val="00FE29C1"/>
    <w:rsid w:val="00FE2A8A"/>
    <w:rsid w:val="00FE2CD4"/>
    <w:rsid w:val="00FE37FC"/>
    <w:rsid w:val="00FE4A54"/>
    <w:rsid w:val="00FE4E51"/>
    <w:rsid w:val="00FE6521"/>
    <w:rsid w:val="00FE6597"/>
    <w:rsid w:val="00FE6A55"/>
    <w:rsid w:val="00FE702E"/>
    <w:rsid w:val="00FE70B0"/>
    <w:rsid w:val="00FE71EF"/>
    <w:rsid w:val="00FE7572"/>
    <w:rsid w:val="00FE762F"/>
    <w:rsid w:val="00FE76C6"/>
    <w:rsid w:val="00FE7A68"/>
    <w:rsid w:val="00FF0426"/>
    <w:rsid w:val="00FF07A3"/>
    <w:rsid w:val="00FF0E3A"/>
    <w:rsid w:val="00FF19EE"/>
    <w:rsid w:val="00FF1A73"/>
    <w:rsid w:val="00FF1BCD"/>
    <w:rsid w:val="00FF2069"/>
    <w:rsid w:val="00FF2C84"/>
    <w:rsid w:val="00FF2CBC"/>
    <w:rsid w:val="00FF34FC"/>
    <w:rsid w:val="00FF36B2"/>
    <w:rsid w:val="00FF432F"/>
    <w:rsid w:val="00FF441D"/>
    <w:rsid w:val="00FF48D6"/>
    <w:rsid w:val="00FF48E5"/>
    <w:rsid w:val="00FF4E56"/>
    <w:rsid w:val="00FF50A9"/>
    <w:rsid w:val="00FF511E"/>
    <w:rsid w:val="00FF5255"/>
    <w:rsid w:val="00FF5294"/>
    <w:rsid w:val="00FF5299"/>
    <w:rsid w:val="00FF54EC"/>
    <w:rsid w:val="00FF5877"/>
    <w:rsid w:val="00FF598F"/>
    <w:rsid w:val="00FF5F07"/>
    <w:rsid w:val="00FF631B"/>
    <w:rsid w:val="00FF6A15"/>
    <w:rsid w:val="00FF76E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CA7E517"/>
  <w15:docId w15:val="{50D601A3-BAB5-4A8F-9A81-9DF809361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4209"/>
    <w:rPr>
      <w:sz w:val="24"/>
      <w:lang w:val="es-ES" w:eastAsia="es-ES"/>
    </w:rPr>
  </w:style>
  <w:style w:type="paragraph" w:styleId="Ttulo1">
    <w:name w:val="heading 1"/>
    <w:basedOn w:val="Normal"/>
    <w:next w:val="Normal"/>
    <w:qFormat/>
    <w:pPr>
      <w:keepNext/>
      <w:numPr>
        <w:numId w:val="6"/>
      </w:numPr>
      <w:tabs>
        <w:tab w:val="left" w:pos="-495"/>
        <w:tab w:val="left" w:pos="708"/>
        <w:tab w:val="left" w:pos="1241"/>
        <w:tab w:val="left" w:pos="2268"/>
        <w:tab w:val="left" w:pos="2480"/>
        <w:tab w:val="left" w:pos="4181"/>
        <w:tab w:val="left" w:pos="4536"/>
        <w:tab w:val="left" w:pos="5103"/>
        <w:tab w:val="left" w:pos="5387"/>
        <w:tab w:val="left" w:pos="7088"/>
        <w:tab w:val="left" w:pos="7938"/>
      </w:tabs>
      <w:autoSpaceDE w:val="0"/>
      <w:autoSpaceDN w:val="0"/>
      <w:adjustRightInd w:val="0"/>
      <w:spacing w:line="240" w:lineRule="atLeast"/>
      <w:ind w:right="141"/>
      <w:jc w:val="both"/>
      <w:outlineLvl w:val="0"/>
    </w:pPr>
    <w:rPr>
      <w:rFonts w:ascii="Arial" w:hAnsi="Arial"/>
      <w:b/>
      <w:smallCaps/>
      <w:snapToGrid w:val="0"/>
      <w:color w:val="000000"/>
      <w:sz w:val="32"/>
    </w:rPr>
  </w:style>
  <w:style w:type="paragraph" w:styleId="Ttulo2">
    <w:name w:val="heading 2"/>
    <w:basedOn w:val="Normal"/>
    <w:next w:val="Normal"/>
    <w:qFormat/>
    <w:pPr>
      <w:keepNext/>
      <w:numPr>
        <w:ilvl w:val="1"/>
        <w:numId w:val="6"/>
      </w:numPr>
      <w:tabs>
        <w:tab w:val="left" w:pos="-495"/>
        <w:tab w:val="left" w:pos="708"/>
        <w:tab w:val="left" w:pos="1241"/>
        <w:tab w:val="left" w:pos="2268"/>
        <w:tab w:val="left" w:pos="2480"/>
        <w:tab w:val="left" w:pos="4181"/>
        <w:tab w:val="left" w:pos="4536"/>
        <w:tab w:val="left" w:pos="5103"/>
        <w:tab w:val="left" w:pos="5387"/>
        <w:tab w:val="left" w:pos="7088"/>
        <w:tab w:val="left" w:pos="7938"/>
      </w:tabs>
      <w:autoSpaceDE w:val="0"/>
      <w:autoSpaceDN w:val="0"/>
      <w:adjustRightInd w:val="0"/>
      <w:spacing w:line="240" w:lineRule="atLeast"/>
      <w:ind w:right="141"/>
      <w:outlineLvl w:val="1"/>
    </w:pPr>
    <w:rPr>
      <w:b/>
      <w:snapToGrid w:val="0"/>
      <w:color w:val="000000"/>
      <w:sz w:val="28"/>
    </w:rPr>
  </w:style>
  <w:style w:type="paragraph" w:styleId="Ttulo3">
    <w:name w:val="heading 3"/>
    <w:basedOn w:val="Normal"/>
    <w:next w:val="Normal"/>
    <w:qFormat/>
    <w:pPr>
      <w:keepNext/>
      <w:numPr>
        <w:ilvl w:val="2"/>
        <w:numId w:val="6"/>
      </w:numPr>
      <w:tabs>
        <w:tab w:val="left" w:pos="-495"/>
        <w:tab w:val="left" w:pos="1241"/>
        <w:tab w:val="left" w:pos="2268"/>
        <w:tab w:val="left" w:pos="2480"/>
        <w:tab w:val="left" w:pos="4181"/>
        <w:tab w:val="left" w:pos="4536"/>
        <w:tab w:val="left" w:pos="5103"/>
        <w:tab w:val="left" w:pos="5387"/>
        <w:tab w:val="left" w:pos="7088"/>
        <w:tab w:val="left" w:pos="7938"/>
      </w:tabs>
      <w:autoSpaceDE w:val="0"/>
      <w:autoSpaceDN w:val="0"/>
      <w:adjustRightInd w:val="0"/>
      <w:spacing w:line="240" w:lineRule="atLeast"/>
      <w:ind w:right="141"/>
      <w:jc w:val="both"/>
      <w:outlineLvl w:val="2"/>
    </w:pPr>
    <w:rPr>
      <w:rFonts w:ascii="Arial" w:hAnsi="Arial"/>
      <w:b/>
      <w:i/>
      <w:snapToGrid w:val="0"/>
      <w:color w:val="000000"/>
      <w:sz w:val="22"/>
    </w:rPr>
  </w:style>
  <w:style w:type="paragraph" w:styleId="Ttulo4">
    <w:name w:val="heading 4"/>
    <w:basedOn w:val="Normal"/>
    <w:next w:val="Normal"/>
    <w:qFormat/>
    <w:pPr>
      <w:keepNext/>
      <w:numPr>
        <w:ilvl w:val="3"/>
        <w:numId w:val="6"/>
      </w:numPr>
      <w:tabs>
        <w:tab w:val="left" w:pos="-495"/>
        <w:tab w:val="left" w:pos="425"/>
        <w:tab w:val="left" w:pos="708"/>
        <w:tab w:val="left" w:pos="1241"/>
        <w:tab w:val="left" w:pos="1346"/>
        <w:tab w:val="left" w:pos="2268"/>
        <w:tab w:val="left" w:pos="2480"/>
        <w:tab w:val="left" w:pos="4181"/>
        <w:tab w:val="left" w:pos="4536"/>
        <w:tab w:val="left" w:pos="5103"/>
        <w:tab w:val="left" w:pos="5386"/>
        <w:tab w:val="left" w:pos="5670"/>
        <w:tab w:val="left" w:pos="6804"/>
        <w:tab w:val="left" w:pos="7088"/>
        <w:tab w:val="left" w:pos="7938"/>
      </w:tabs>
      <w:autoSpaceDE w:val="0"/>
      <w:autoSpaceDN w:val="0"/>
      <w:adjustRightInd w:val="0"/>
      <w:spacing w:line="240" w:lineRule="atLeast"/>
      <w:ind w:right="141"/>
      <w:jc w:val="both"/>
      <w:outlineLvl w:val="3"/>
    </w:pPr>
    <w:rPr>
      <w:rFonts w:ascii="Arial" w:hAnsi="Arial"/>
      <w:b/>
      <w:snapToGrid w:val="0"/>
      <w:color w:val="000000"/>
      <w:sz w:val="22"/>
    </w:rPr>
  </w:style>
  <w:style w:type="paragraph" w:styleId="Ttulo5">
    <w:name w:val="heading 5"/>
    <w:basedOn w:val="Normal"/>
    <w:next w:val="Normal"/>
    <w:qFormat/>
    <w:pPr>
      <w:keepNext/>
      <w:numPr>
        <w:ilvl w:val="4"/>
        <w:numId w:val="6"/>
      </w:numPr>
      <w:tabs>
        <w:tab w:val="left" w:pos="-495"/>
        <w:tab w:val="left" w:pos="708"/>
        <w:tab w:val="left" w:pos="1241"/>
        <w:tab w:val="left" w:pos="2268"/>
        <w:tab w:val="left" w:pos="2480"/>
        <w:tab w:val="left" w:pos="4181"/>
        <w:tab w:val="left" w:pos="4536"/>
        <w:tab w:val="left" w:pos="5103"/>
        <w:tab w:val="left" w:pos="5387"/>
        <w:tab w:val="left" w:pos="7088"/>
        <w:tab w:val="left" w:pos="7938"/>
      </w:tabs>
      <w:autoSpaceDE w:val="0"/>
      <w:autoSpaceDN w:val="0"/>
      <w:adjustRightInd w:val="0"/>
      <w:spacing w:line="240" w:lineRule="atLeast"/>
      <w:ind w:right="141"/>
      <w:outlineLvl w:val="4"/>
    </w:pPr>
    <w:rPr>
      <w:rFonts w:ascii="Arial" w:hAnsi="Arial"/>
      <w:b/>
      <w:snapToGrid w:val="0"/>
      <w:color w:val="000000"/>
    </w:rPr>
  </w:style>
  <w:style w:type="paragraph" w:styleId="Ttulo6">
    <w:name w:val="heading 6"/>
    <w:basedOn w:val="Normal"/>
    <w:next w:val="Normal"/>
    <w:qFormat/>
    <w:pPr>
      <w:keepNext/>
      <w:numPr>
        <w:ilvl w:val="5"/>
        <w:numId w:val="6"/>
      </w:numPr>
      <w:tabs>
        <w:tab w:val="left" w:pos="-495"/>
        <w:tab w:val="left" w:pos="425"/>
        <w:tab w:val="left" w:pos="708"/>
        <w:tab w:val="left" w:pos="1241"/>
        <w:tab w:val="left" w:pos="1346"/>
        <w:tab w:val="left" w:pos="2268"/>
        <w:tab w:val="left" w:pos="2480"/>
        <w:tab w:val="left" w:pos="4181"/>
        <w:tab w:val="left" w:pos="4536"/>
        <w:tab w:val="left" w:pos="5103"/>
        <w:tab w:val="left" w:pos="5386"/>
        <w:tab w:val="left" w:pos="5670"/>
        <w:tab w:val="left" w:pos="6804"/>
        <w:tab w:val="left" w:pos="7088"/>
        <w:tab w:val="left" w:pos="7938"/>
      </w:tabs>
      <w:autoSpaceDE w:val="0"/>
      <w:autoSpaceDN w:val="0"/>
      <w:adjustRightInd w:val="0"/>
      <w:spacing w:line="240" w:lineRule="atLeast"/>
      <w:ind w:right="141"/>
      <w:jc w:val="center"/>
      <w:outlineLvl w:val="5"/>
    </w:pPr>
    <w:rPr>
      <w:rFonts w:ascii="Arial" w:hAnsi="Arial"/>
      <w:b/>
      <w:snapToGrid w:val="0"/>
      <w:color w:val="000000"/>
    </w:rPr>
  </w:style>
  <w:style w:type="paragraph" w:styleId="Ttulo7">
    <w:name w:val="heading 7"/>
    <w:basedOn w:val="Normal"/>
    <w:next w:val="Normal"/>
    <w:qFormat/>
    <w:pPr>
      <w:keepNext/>
      <w:numPr>
        <w:ilvl w:val="6"/>
        <w:numId w:val="6"/>
      </w:numPr>
      <w:tabs>
        <w:tab w:val="left" w:pos="-495"/>
        <w:tab w:val="left" w:pos="425"/>
        <w:tab w:val="left" w:pos="708"/>
        <w:tab w:val="left" w:pos="1241"/>
        <w:tab w:val="left" w:pos="1346"/>
        <w:tab w:val="left" w:pos="2268"/>
        <w:tab w:val="left" w:pos="2480"/>
        <w:tab w:val="left" w:pos="4181"/>
        <w:tab w:val="left" w:pos="4536"/>
        <w:tab w:val="left" w:pos="5103"/>
        <w:tab w:val="left" w:pos="5386"/>
        <w:tab w:val="left" w:pos="5670"/>
        <w:tab w:val="left" w:pos="6804"/>
        <w:tab w:val="left" w:pos="7088"/>
        <w:tab w:val="left" w:pos="7938"/>
      </w:tabs>
      <w:autoSpaceDE w:val="0"/>
      <w:autoSpaceDN w:val="0"/>
      <w:adjustRightInd w:val="0"/>
      <w:spacing w:line="240" w:lineRule="atLeast"/>
      <w:ind w:right="141"/>
      <w:jc w:val="both"/>
      <w:outlineLvl w:val="6"/>
    </w:pPr>
    <w:rPr>
      <w:rFonts w:ascii="Arial" w:hAnsi="Arial"/>
      <w:snapToGrid w:val="0"/>
      <w:color w:val="000000"/>
    </w:rPr>
  </w:style>
  <w:style w:type="paragraph" w:styleId="Ttulo8">
    <w:name w:val="heading 8"/>
    <w:basedOn w:val="Normal"/>
    <w:next w:val="Normal"/>
    <w:qFormat/>
    <w:pPr>
      <w:keepNext/>
      <w:numPr>
        <w:ilvl w:val="7"/>
        <w:numId w:val="6"/>
      </w:numPr>
      <w:tabs>
        <w:tab w:val="left" w:pos="-495"/>
        <w:tab w:val="left" w:pos="425"/>
        <w:tab w:val="left" w:pos="708"/>
        <w:tab w:val="left" w:pos="1241"/>
        <w:tab w:val="left" w:pos="1346"/>
        <w:tab w:val="left" w:pos="2268"/>
        <w:tab w:val="left" w:pos="2480"/>
        <w:tab w:val="left" w:pos="4181"/>
        <w:tab w:val="left" w:pos="4536"/>
        <w:tab w:val="left" w:pos="5103"/>
        <w:tab w:val="left" w:pos="5386"/>
        <w:tab w:val="left" w:pos="5670"/>
        <w:tab w:val="left" w:pos="6804"/>
        <w:tab w:val="left" w:pos="7088"/>
        <w:tab w:val="left" w:pos="7938"/>
      </w:tabs>
      <w:autoSpaceDE w:val="0"/>
      <w:autoSpaceDN w:val="0"/>
      <w:adjustRightInd w:val="0"/>
      <w:spacing w:line="240" w:lineRule="atLeast"/>
      <w:ind w:right="141"/>
      <w:jc w:val="center"/>
      <w:outlineLvl w:val="7"/>
    </w:pPr>
    <w:rPr>
      <w:rFonts w:ascii="Arial" w:hAnsi="Arial"/>
      <w:b/>
      <w:snapToGrid w:val="0"/>
      <w:color w:val="000000"/>
      <w:u w:val="single"/>
    </w:rPr>
  </w:style>
  <w:style w:type="paragraph" w:styleId="Ttulo9">
    <w:name w:val="heading 9"/>
    <w:basedOn w:val="Normal"/>
    <w:next w:val="Normal"/>
    <w:qFormat/>
    <w:pPr>
      <w:keepNext/>
      <w:numPr>
        <w:ilvl w:val="8"/>
        <w:numId w:val="6"/>
      </w:numPr>
      <w:tabs>
        <w:tab w:val="left" w:pos="-495"/>
        <w:tab w:val="left" w:pos="708"/>
        <w:tab w:val="left" w:pos="1241"/>
        <w:tab w:val="left" w:pos="2268"/>
        <w:tab w:val="left" w:pos="2480"/>
        <w:tab w:val="left" w:pos="4181"/>
        <w:tab w:val="left" w:pos="4536"/>
        <w:tab w:val="left" w:pos="5103"/>
        <w:tab w:val="left" w:pos="5387"/>
        <w:tab w:val="left" w:pos="7088"/>
        <w:tab w:val="left" w:pos="7938"/>
      </w:tabs>
      <w:autoSpaceDE w:val="0"/>
      <w:autoSpaceDN w:val="0"/>
      <w:adjustRightInd w:val="0"/>
      <w:spacing w:line="240" w:lineRule="atLeast"/>
      <w:ind w:right="141"/>
      <w:outlineLvl w:val="8"/>
    </w:pPr>
    <w:rPr>
      <w:rFonts w:ascii="Arial" w:hAnsi="Arial"/>
      <w:i/>
      <w:snapToGrid w:val="0"/>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keepNext/>
      <w:tabs>
        <w:tab w:val="left" w:pos="-495"/>
        <w:tab w:val="left" w:pos="708"/>
        <w:tab w:val="left" w:pos="1241"/>
        <w:tab w:val="left" w:pos="2268"/>
        <w:tab w:val="left" w:pos="2480"/>
        <w:tab w:val="left" w:pos="4181"/>
        <w:tab w:val="left" w:pos="4536"/>
        <w:tab w:val="left" w:pos="5103"/>
        <w:tab w:val="left" w:pos="5387"/>
        <w:tab w:val="left" w:pos="7088"/>
        <w:tab w:val="left" w:pos="7938"/>
      </w:tabs>
      <w:autoSpaceDE w:val="0"/>
      <w:autoSpaceDN w:val="0"/>
      <w:adjustRightInd w:val="0"/>
      <w:spacing w:line="240" w:lineRule="atLeast"/>
      <w:ind w:right="141"/>
      <w:jc w:val="center"/>
    </w:pPr>
    <w:rPr>
      <w:rFonts w:ascii="Arial" w:hAnsi="Arial"/>
      <w:b/>
      <w:smallCaps/>
      <w:snapToGrid w:val="0"/>
      <w:color w:val="000000"/>
      <w:sz w:val="32"/>
    </w:rPr>
  </w:style>
  <w:style w:type="character" w:styleId="Hipervnculo">
    <w:name w:val="Hyperlink"/>
    <w:uiPriority w:val="99"/>
    <w:rPr>
      <w:color w:val="0000FF"/>
      <w:u w:val="single"/>
    </w:rPr>
  </w:style>
  <w:style w:type="paragraph" w:styleId="Textonotapie">
    <w:name w:val="footnote text"/>
    <w:basedOn w:val="Normal"/>
    <w:semiHidden/>
    <w:pPr>
      <w:keepNext/>
      <w:tabs>
        <w:tab w:val="left" w:pos="-495"/>
        <w:tab w:val="left" w:pos="708"/>
        <w:tab w:val="left" w:pos="1241"/>
        <w:tab w:val="left" w:pos="2268"/>
        <w:tab w:val="left" w:pos="2480"/>
        <w:tab w:val="left" w:pos="4181"/>
        <w:tab w:val="left" w:pos="4536"/>
        <w:tab w:val="left" w:pos="5103"/>
        <w:tab w:val="left" w:pos="5387"/>
        <w:tab w:val="left" w:pos="7088"/>
        <w:tab w:val="left" w:pos="7938"/>
      </w:tabs>
      <w:autoSpaceDE w:val="0"/>
      <w:autoSpaceDN w:val="0"/>
      <w:adjustRightInd w:val="0"/>
      <w:spacing w:line="240" w:lineRule="atLeast"/>
      <w:ind w:right="141"/>
      <w:jc w:val="both"/>
    </w:pPr>
    <w:rPr>
      <w:rFonts w:ascii="Arial" w:hAnsi="Arial"/>
      <w:snapToGrid w:val="0"/>
      <w:color w:val="000000"/>
      <w:sz w:val="18"/>
    </w:rPr>
  </w:style>
  <w:style w:type="character" w:styleId="Refdenotaalpie">
    <w:name w:val="footnote reference"/>
    <w:semiHidden/>
    <w:rPr>
      <w:vertAlign w:val="superscript"/>
    </w:rPr>
  </w:style>
  <w:style w:type="paragraph" w:styleId="Encabezado">
    <w:name w:val="header"/>
    <w:basedOn w:val="Normal"/>
    <w:link w:val="EncabezadoCar"/>
    <w:uiPriority w:val="99"/>
    <w:pPr>
      <w:keepNext/>
      <w:tabs>
        <w:tab w:val="left" w:pos="-495"/>
        <w:tab w:val="left" w:pos="708"/>
        <w:tab w:val="left" w:pos="1241"/>
        <w:tab w:val="left" w:pos="2268"/>
        <w:tab w:val="left" w:pos="2480"/>
        <w:tab w:val="left" w:pos="4181"/>
        <w:tab w:val="center" w:pos="4252"/>
        <w:tab w:val="left" w:pos="4536"/>
        <w:tab w:val="left" w:pos="5103"/>
        <w:tab w:val="left" w:pos="5387"/>
        <w:tab w:val="left" w:pos="7088"/>
        <w:tab w:val="left" w:pos="7938"/>
        <w:tab w:val="right" w:pos="8504"/>
      </w:tabs>
      <w:autoSpaceDE w:val="0"/>
      <w:autoSpaceDN w:val="0"/>
      <w:adjustRightInd w:val="0"/>
      <w:spacing w:line="240" w:lineRule="atLeast"/>
      <w:ind w:right="141"/>
      <w:jc w:val="both"/>
    </w:pPr>
    <w:rPr>
      <w:rFonts w:ascii="Arial" w:hAnsi="Arial"/>
      <w:snapToGrid w:val="0"/>
      <w:color w:val="000000"/>
      <w:sz w:val="22"/>
    </w:rPr>
  </w:style>
  <w:style w:type="paragraph" w:styleId="Piedepgina">
    <w:name w:val="footer"/>
    <w:basedOn w:val="Normal"/>
    <w:link w:val="PiedepginaCar"/>
    <w:uiPriority w:val="99"/>
    <w:pPr>
      <w:keepNext/>
      <w:tabs>
        <w:tab w:val="left" w:pos="-495"/>
        <w:tab w:val="left" w:pos="708"/>
        <w:tab w:val="left" w:pos="1241"/>
        <w:tab w:val="left" w:pos="2268"/>
        <w:tab w:val="left" w:pos="2480"/>
        <w:tab w:val="left" w:pos="4181"/>
        <w:tab w:val="center" w:pos="4252"/>
        <w:tab w:val="left" w:pos="4536"/>
        <w:tab w:val="left" w:pos="5103"/>
        <w:tab w:val="left" w:pos="5387"/>
        <w:tab w:val="left" w:pos="7088"/>
        <w:tab w:val="left" w:pos="7938"/>
        <w:tab w:val="right" w:pos="8504"/>
      </w:tabs>
      <w:autoSpaceDE w:val="0"/>
      <w:autoSpaceDN w:val="0"/>
      <w:adjustRightInd w:val="0"/>
      <w:spacing w:line="240" w:lineRule="atLeast"/>
      <w:ind w:right="141"/>
    </w:pPr>
    <w:rPr>
      <w:rFonts w:ascii="Arial" w:hAnsi="Arial"/>
      <w:snapToGrid w:val="0"/>
      <w:color w:val="000000"/>
      <w:sz w:val="16"/>
    </w:rPr>
  </w:style>
  <w:style w:type="paragraph" w:styleId="Textoindependiente">
    <w:name w:val="Body Text"/>
    <w:basedOn w:val="Normal"/>
    <w:pPr>
      <w:keepNext/>
      <w:tabs>
        <w:tab w:val="left" w:pos="-495"/>
        <w:tab w:val="left" w:pos="425"/>
        <w:tab w:val="left" w:pos="708"/>
        <w:tab w:val="left" w:pos="1241"/>
        <w:tab w:val="left" w:pos="1346"/>
        <w:tab w:val="left" w:pos="2268"/>
        <w:tab w:val="left" w:pos="2480"/>
        <w:tab w:val="left" w:pos="4181"/>
        <w:tab w:val="left" w:pos="4536"/>
        <w:tab w:val="left" w:pos="5103"/>
        <w:tab w:val="left" w:pos="5386"/>
        <w:tab w:val="left" w:pos="5670"/>
        <w:tab w:val="left" w:pos="6804"/>
        <w:tab w:val="left" w:pos="7088"/>
        <w:tab w:val="left" w:pos="7938"/>
      </w:tabs>
      <w:autoSpaceDE w:val="0"/>
      <w:autoSpaceDN w:val="0"/>
      <w:adjustRightInd w:val="0"/>
      <w:spacing w:line="240" w:lineRule="atLeast"/>
      <w:ind w:right="141"/>
      <w:jc w:val="both"/>
    </w:pPr>
    <w:rPr>
      <w:rFonts w:ascii="Arial" w:hAnsi="Arial"/>
      <w:snapToGrid w:val="0"/>
      <w:color w:val="000000"/>
    </w:rPr>
  </w:style>
  <w:style w:type="paragraph" w:styleId="Textoindependiente2">
    <w:name w:val="Body Text 2"/>
    <w:basedOn w:val="Normal"/>
    <w:pPr>
      <w:keepNext/>
      <w:tabs>
        <w:tab w:val="left" w:pos="-495"/>
        <w:tab w:val="left" w:pos="425"/>
        <w:tab w:val="left" w:pos="708"/>
        <w:tab w:val="left" w:pos="1241"/>
        <w:tab w:val="left" w:pos="1346"/>
        <w:tab w:val="left" w:pos="2268"/>
        <w:tab w:val="left" w:pos="2480"/>
        <w:tab w:val="left" w:pos="4181"/>
        <w:tab w:val="left" w:pos="4536"/>
        <w:tab w:val="left" w:pos="5103"/>
        <w:tab w:val="left" w:pos="5386"/>
        <w:tab w:val="left" w:pos="5670"/>
        <w:tab w:val="left" w:pos="6804"/>
        <w:tab w:val="left" w:pos="7088"/>
        <w:tab w:val="left" w:pos="7938"/>
      </w:tabs>
      <w:autoSpaceDE w:val="0"/>
      <w:autoSpaceDN w:val="0"/>
      <w:adjustRightInd w:val="0"/>
      <w:spacing w:line="240" w:lineRule="atLeast"/>
      <w:ind w:right="141"/>
    </w:pPr>
    <w:rPr>
      <w:rFonts w:ascii="Arial" w:hAnsi="Arial"/>
      <w:snapToGrid w:val="0"/>
      <w:color w:val="000000"/>
    </w:rPr>
  </w:style>
  <w:style w:type="character" w:styleId="Nmerodepgina">
    <w:name w:val="page number"/>
    <w:basedOn w:val="Fuentedeprrafopredeter"/>
  </w:style>
  <w:style w:type="paragraph" w:styleId="Textoindependiente3">
    <w:name w:val="Body Text 3"/>
    <w:basedOn w:val="Normal"/>
    <w:pPr>
      <w:keepNext/>
      <w:tabs>
        <w:tab w:val="left" w:pos="-495"/>
        <w:tab w:val="left" w:pos="425"/>
        <w:tab w:val="left" w:pos="708"/>
        <w:tab w:val="left" w:pos="1241"/>
        <w:tab w:val="left" w:pos="1346"/>
        <w:tab w:val="left" w:pos="2268"/>
        <w:tab w:val="left" w:pos="2480"/>
        <w:tab w:val="left" w:pos="4181"/>
        <w:tab w:val="left" w:pos="4536"/>
        <w:tab w:val="left" w:pos="5103"/>
        <w:tab w:val="left" w:pos="5386"/>
        <w:tab w:val="left" w:pos="5670"/>
        <w:tab w:val="left" w:pos="6804"/>
        <w:tab w:val="left" w:pos="7088"/>
        <w:tab w:val="left" w:pos="7938"/>
      </w:tabs>
      <w:autoSpaceDE w:val="0"/>
      <w:autoSpaceDN w:val="0"/>
      <w:adjustRightInd w:val="0"/>
      <w:spacing w:line="240" w:lineRule="atLeast"/>
      <w:ind w:right="141"/>
      <w:jc w:val="both"/>
    </w:pPr>
    <w:rPr>
      <w:rFonts w:ascii="Arial" w:hAnsi="Arial"/>
      <w:b/>
      <w:snapToGrid w:val="0"/>
      <w:color w:val="FF0000"/>
    </w:rPr>
  </w:style>
  <w:style w:type="paragraph" w:styleId="Sangradetextonormal">
    <w:name w:val="Body Text Indent"/>
    <w:basedOn w:val="Normal"/>
    <w:pPr>
      <w:keepNext/>
      <w:tabs>
        <w:tab w:val="left" w:pos="-495"/>
        <w:tab w:val="left" w:pos="708"/>
        <w:tab w:val="left" w:pos="1241"/>
        <w:tab w:val="left" w:pos="2268"/>
        <w:tab w:val="left" w:pos="2480"/>
        <w:tab w:val="left" w:pos="4181"/>
        <w:tab w:val="left" w:pos="4536"/>
        <w:tab w:val="left" w:pos="5103"/>
        <w:tab w:val="left" w:pos="5387"/>
        <w:tab w:val="left" w:pos="7088"/>
        <w:tab w:val="left" w:pos="7938"/>
      </w:tabs>
      <w:autoSpaceDE w:val="0"/>
      <w:autoSpaceDN w:val="0"/>
      <w:adjustRightInd w:val="0"/>
      <w:spacing w:line="240" w:lineRule="atLeast"/>
      <w:ind w:left="357" w:right="141"/>
    </w:pPr>
    <w:rPr>
      <w:rFonts w:ascii="Arial" w:hAnsi="Arial"/>
      <w:b/>
      <w:snapToGrid w:val="0"/>
      <w:color w:val="FF0000"/>
      <w:lang w:val="es-CR"/>
    </w:rPr>
  </w:style>
  <w:style w:type="paragraph" w:styleId="TDC1">
    <w:name w:val="toc 1"/>
    <w:basedOn w:val="Normal"/>
    <w:next w:val="Normal"/>
    <w:autoRedefine/>
    <w:uiPriority w:val="39"/>
    <w:rsid w:val="00237286"/>
    <w:pPr>
      <w:tabs>
        <w:tab w:val="right" w:leader="dot" w:pos="9113"/>
      </w:tabs>
      <w:spacing w:before="120"/>
      <w:ind w:left="540"/>
      <w:jc w:val="both"/>
    </w:pPr>
    <w:rPr>
      <w:rFonts w:ascii="Arial" w:hAnsi="Arial" w:cs="Arial"/>
      <w:bCs/>
      <w:noProof/>
      <w:szCs w:val="24"/>
    </w:rPr>
  </w:style>
  <w:style w:type="paragraph" w:styleId="TDC2">
    <w:name w:val="toc 2"/>
    <w:basedOn w:val="Normal"/>
    <w:next w:val="Normal"/>
    <w:autoRedefine/>
    <w:uiPriority w:val="39"/>
    <w:rsid w:val="00B74B93"/>
    <w:pPr>
      <w:tabs>
        <w:tab w:val="left" w:pos="960"/>
        <w:tab w:val="left" w:pos="1134"/>
        <w:tab w:val="left" w:pos="1276"/>
        <w:tab w:val="right" w:leader="dot" w:pos="9113"/>
      </w:tabs>
      <w:spacing w:before="120"/>
      <w:ind w:left="540"/>
    </w:pPr>
    <w:rPr>
      <w:rFonts w:ascii="Arial" w:hAnsi="Arial" w:cs="Arial"/>
      <w:b/>
      <w:noProof/>
      <w:szCs w:val="24"/>
    </w:rPr>
  </w:style>
  <w:style w:type="paragraph" w:styleId="TDC3">
    <w:name w:val="toc 3"/>
    <w:basedOn w:val="Normal"/>
    <w:next w:val="Normal"/>
    <w:autoRedefine/>
    <w:uiPriority w:val="39"/>
    <w:rsid w:val="00E139FB"/>
    <w:pPr>
      <w:tabs>
        <w:tab w:val="right" w:leader="dot" w:pos="9113"/>
      </w:tabs>
      <w:ind w:left="540"/>
    </w:pPr>
    <w:rPr>
      <w:rFonts w:ascii="Arial" w:hAnsi="Arial" w:cs="Arial"/>
      <w:i/>
      <w:noProof/>
      <w:szCs w:val="24"/>
    </w:rPr>
  </w:style>
  <w:style w:type="paragraph" w:styleId="TDC4">
    <w:name w:val="toc 4"/>
    <w:basedOn w:val="Normal"/>
    <w:next w:val="Normal"/>
    <w:autoRedefine/>
    <w:semiHidden/>
    <w:pPr>
      <w:ind w:left="720"/>
    </w:pPr>
    <w:rPr>
      <w:sz w:val="20"/>
    </w:rPr>
  </w:style>
  <w:style w:type="paragraph" w:styleId="TDC5">
    <w:name w:val="toc 5"/>
    <w:basedOn w:val="Normal"/>
    <w:next w:val="Normal"/>
    <w:autoRedefine/>
    <w:semiHidden/>
    <w:pPr>
      <w:ind w:left="960"/>
    </w:pPr>
    <w:rPr>
      <w:sz w:val="20"/>
    </w:rPr>
  </w:style>
  <w:style w:type="paragraph" w:styleId="TDC6">
    <w:name w:val="toc 6"/>
    <w:basedOn w:val="Normal"/>
    <w:next w:val="Normal"/>
    <w:autoRedefine/>
    <w:semiHidden/>
    <w:pPr>
      <w:ind w:left="1200"/>
    </w:pPr>
    <w:rPr>
      <w:sz w:val="20"/>
    </w:rPr>
  </w:style>
  <w:style w:type="paragraph" w:styleId="TDC7">
    <w:name w:val="toc 7"/>
    <w:basedOn w:val="Normal"/>
    <w:next w:val="Normal"/>
    <w:autoRedefine/>
    <w:semiHidden/>
    <w:pPr>
      <w:ind w:left="1440"/>
    </w:pPr>
    <w:rPr>
      <w:sz w:val="20"/>
    </w:rPr>
  </w:style>
  <w:style w:type="paragraph" w:styleId="TDC8">
    <w:name w:val="toc 8"/>
    <w:basedOn w:val="Normal"/>
    <w:next w:val="Normal"/>
    <w:autoRedefine/>
    <w:semiHidden/>
    <w:pPr>
      <w:ind w:left="1680"/>
    </w:pPr>
    <w:rPr>
      <w:sz w:val="20"/>
    </w:rPr>
  </w:style>
  <w:style w:type="paragraph" w:styleId="TDC9">
    <w:name w:val="toc 9"/>
    <w:basedOn w:val="Normal"/>
    <w:next w:val="Normal"/>
    <w:autoRedefine/>
    <w:semiHidden/>
    <w:pPr>
      <w:ind w:left="1920"/>
    </w:pPr>
    <w:rPr>
      <w:sz w:val="20"/>
    </w:rPr>
  </w:style>
  <w:style w:type="paragraph" w:styleId="Sangra2detindependiente">
    <w:name w:val="Body Text Indent 2"/>
    <w:basedOn w:val="Normal"/>
    <w:pPr>
      <w:keepNext/>
      <w:tabs>
        <w:tab w:val="left" w:pos="-495"/>
        <w:tab w:val="left" w:pos="708"/>
        <w:tab w:val="left" w:pos="1241"/>
        <w:tab w:val="left" w:pos="2268"/>
        <w:tab w:val="left" w:pos="2480"/>
        <w:tab w:val="left" w:pos="4181"/>
        <w:tab w:val="left" w:pos="4536"/>
        <w:tab w:val="left" w:pos="5103"/>
        <w:tab w:val="left" w:pos="5387"/>
        <w:tab w:val="left" w:pos="7088"/>
        <w:tab w:val="left" w:pos="7938"/>
      </w:tabs>
      <w:autoSpaceDE w:val="0"/>
      <w:autoSpaceDN w:val="0"/>
      <w:adjustRightInd w:val="0"/>
      <w:spacing w:line="240" w:lineRule="atLeast"/>
      <w:ind w:right="141"/>
    </w:pPr>
    <w:rPr>
      <w:rFonts w:ascii="Arial" w:hAnsi="Arial"/>
      <w:snapToGrid w:val="0"/>
      <w:color w:val="000000"/>
      <w:sz w:val="16"/>
    </w:rPr>
  </w:style>
  <w:style w:type="paragraph" w:styleId="Textodebloque">
    <w:name w:val="Block Text"/>
    <w:basedOn w:val="Normal"/>
    <w:pPr>
      <w:keepNext/>
      <w:tabs>
        <w:tab w:val="left" w:pos="-495"/>
        <w:tab w:val="left" w:pos="708"/>
        <w:tab w:val="left" w:pos="1241"/>
        <w:tab w:val="left" w:pos="2268"/>
        <w:tab w:val="left" w:pos="2480"/>
        <w:tab w:val="left" w:pos="4181"/>
        <w:tab w:val="left" w:pos="4536"/>
        <w:tab w:val="left" w:pos="5103"/>
        <w:tab w:val="left" w:pos="5387"/>
        <w:tab w:val="left" w:pos="7088"/>
        <w:tab w:val="left" w:pos="7938"/>
      </w:tabs>
      <w:autoSpaceDE w:val="0"/>
      <w:autoSpaceDN w:val="0"/>
      <w:adjustRightInd w:val="0"/>
      <w:spacing w:line="240" w:lineRule="atLeast"/>
      <w:ind w:right="141"/>
    </w:pPr>
    <w:rPr>
      <w:rFonts w:ascii="Arial" w:hAnsi="Arial"/>
      <w:snapToGrid w:val="0"/>
      <w:color w:val="000000"/>
      <w:sz w:val="16"/>
    </w:rPr>
  </w:style>
  <w:style w:type="paragraph" w:styleId="NormalWeb">
    <w:name w:val="Normal (Web)"/>
    <w:basedOn w:val="Normal"/>
    <w:pPr>
      <w:keepNext/>
      <w:tabs>
        <w:tab w:val="left" w:pos="-495"/>
        <w:tab w:val="left" w:pos="1241"/>
      </w:tabs>
      <w:autoSpaceDE w:val="0"/>
      <w:autoSpaceDN w:val="0"/>
      <w:adjustRightInd w:val="0"/>
      <w:spacing w:before="100" w:after="100"/>
    </w:pPr>
    <w:rPr>
      <w:rFonts w:eastAsia="Arial Unicode MS"/>
      <w:color w:val="000000"/>
    </w:rPr>
  </w:style>
  <w:style w:type="character" w:styleId="Hipervnculovisitado">
    <w:name w:val="FollowedHyperlink"/>
    <w:rPr>
      <w:color w:val="800080"/>
      <w:u w:val="single"/>
    </w:rPr>
  </w:style>
  <w:style w:type="paragraph" w:styleId="Mapadeldocumento">
    <w:name w:val="Document Map"/>
    <w:basedOn w:val="Normal"/>
    <w:semiHidden/>
    <w:pPr>
      <w:keepNext/>
      <w:shd w:val="clear" w:color="auto" w:fill="000080"/>
      <w:tabs>
        <w:tab w:val="left" w:pos="-495"/>
        <w:tab w:val="left" w:pos="708"/>
        <w:tab w:val="left" w:pos="1241"/>
        <w:tab w:val="left" w:pos="2268"/>
        <w:tab w:val="left" w:pos="2480"/>
        <w:tab w:val="left" w:pos="4181"/>
        <w:tab w:val="left" w:pos="4536"/>
        <w:tab w:val="left" w:pos="5103"/>
        <w:tab w:val="left" w:pos="5387"/>
        <w:tab w:val="left" w:pos="7088"/>
        <w:tab w:val="left" w:pos="7938"/>
      </w:tabs>
      <w:autoSpaceDE w:val="0"/>
      <w:autoSpaceDN w:val="0"/>
      <w:adjustRightInd w:val="0"/>
      <w:spacing w:line="240" w:lineRule="atLeast"/>
      <w:ind w:right="141"/>
    </w:pPr>
    <w:rPr>
      <w:rFonts w:ascii="Tahoma" w:hAnsi="Tahoma"/>
      <w:snapToGrid w:val="0"/>
      <w:color w:val="000000"/>
      <w:sz w:val="16"/>
    </w:rPr>
  </w:style>
  <w:style w:type="character" w:styleId="Refdecomentario">
    <w:name w:val="annotation reference"/>
    <w:semiHidden/>
    <w:rPr>
      <w:sz w:val="16"/>
    </w:rPr>
  </w:style>
  <w:style w:type="paragraph" w:styleId="Textocomentario">
    <w:name w:val="annotation text"/>
    <w:basedOn w:val="Normal"/>
    <w:semiHidden/>
    <w:pPr>
      <w:keepNext/>
      <w:tabs>
        <w:tab w:val="left" w:pos="-495"/>
        <w:tab w:val="left" w:pos="708"/>
        <w:tab w:val="left" w:pos="1241"/>
        <w:tab w:val="left" w:pos="2268"/>
        <w:tab w:val="left" w:pos="2480"/>
        <w:tab w:val="left" w:pos="4181"/>
        <w:tab w:val="left" w:pos="4536"/>
        <w:tab w:val="left" w:pos="5103"/>
        <w:tab w:val="left" w:pos="5387"/>
        <w:tab w:val="left" w:pos="7088"/>
        <w:tab w:val="left" w:pos="7938"/>
      </w:tabs>
      <w:autoSpaceDE w:val="0"/>
      <w:autoSpaceDN w:val="0"/>
      <w:adjustRightInd w:val="0"/>
      <w:spacing w:line="240" w:lineRule="atLeast"/>
      <w:ind w:right="141"/>
    </w:pPr>
    <w:rPr>
      <w:rFonts w:ascii="Arial" w:hAnsi="Arial"/>
      <w:snapToGrid w:val="0"/>
      <w:color w:val="000000"/>
      <w:sz w:val="20"/>
    </w:rPr>
  </w:style>
  <w:style w:type="paragraph" w:styleId="Sangra3detindependiente">
    <w:name w:val="Body Text Indent 3"/>
    <w:basedOn w:val="Normal"/>
    <w:pPr>
      <w:keepNext/>
      <w:tabs>
        <w:tab w:val="left" w:pos="-495"/>
        <w:tab w:val="left" w:pos="708"/>
        <w:tab w:val="left" w:pos="1241"/>
        <w:tab w:val="left" w:pos="2268"/>
        <w:tab w:val="left" w:pos="2480"/>
        <w:tab w:val="left" w:pos="4181"/>
        <w:tab w:val="left" w:pos="4536"/>
        <w:tab w:val="left" w:pos="5103"/>
        <w:tab w:val="left" w:pos="5387"/>
        <w:tab w:val="left" w:pos="7088"/>
        <w:tab w:val="left" w:pos="7938"/>
      </w:tabs>
      <w:autoSpaceDE w:val="0"/>
      <w:autoSpaceDN w:val="0"/>
      <w:adjustRightInd w:val="0"/>
      <w:spacing w:line="240" w:lineRule="atLeast"/>
      <w:ind w:right="141"/>
    </w:pPr>
    <w:rPr>
      <w:rFonts w:ascii="Arial" w:hAnsi="Arial"/>
      <w:snapToGrid w:val="0"/>
      <w:color w:val="000000"/>
      <w:sz w:val="16"/>
    </w:rPr>
  </w:style>
  <w:style w:type="paragraph" w:styleId="Descripcin">
    <w:name w:val="caption"/>
    <w:basedOn w:val="Normal"/>
    <w:next w:val="Normal"/>
    <w:qFormat/>
    <w:pPr>
      <w:keepNext/>
      <w:tabs>
        <w:tab w:val="left" w:pos="-495"/>
        <w:tab w:val="left" w:pos="708"/>
        <w:tab w:val="left" w:pos="1241"/>
        <w:tab w:val="left" w:pos="2268"/>
        <w:tab w:val="left" w:pos="2480"/>
        <w:tab w:val="left" w:pos="4181"/>
        <w:tab w:val="left" w:pos="4536"/>
        <w:tab w:val="left" w:pos="5103"/>
        <w:tab w:val="left" w:pos="5387"/>
        <w:tab w:val="left" w:pos="7088"/>
        <w:tab w:val="left" w:pos="7938"/>
      </w:tabs>
      <w:autoSpaceDE w:val="0"/>
      <w:autoSpaceDN w:val="0"/>
      <w:adjustRightInd w:val="0"/>
      <w:spacing w:line="240" w:lineRule="atLeast"/>
      <w:ind w:right="141"/>
    </w:pPr>
    <w:rPr>
      <w:rFonts w:ascii="Arial" w:hAnsi="Arial"/>
      <w:b/>
      <w:snapToGrid w:val="0"/>
      <w:color w:val="000000"/>
      <w:sz w:val="18"/>
    </w:r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style>
  <w:style w:type="paragraph" w:customStyle="1" w:styleId="CNV">
    <w:name w:val="CNV"/>
    <w:basedOn w:val="Normal"/>
    <w:pPr>
      <w:jc w:val="both"/>
    </w:pPr>
    <w:rPr>
      <w:rFonts w:ascii="BR-01T" w:hAnsi="BR-01T"/>
      <w:lang w:val="es-ES_tradnl" w:eastAsia="en-US"/>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Pr>
      <w:rFonts w:ascii="Tahoma" w:hAnsi="Tahoma" w:cs="Tahoma"/>
      <w:sz w:val="16"/>
      <w:szCs w:val="16"/>
    </w:rPr>
  </w:style>
  <w:style w:type="paragraph" w:styleId="Asuntodelcomentario">
    <w:name w:val="annotation subject"/>
    <w:basedOn w:val="Textocomentario"/>
    <w:next w:val="Textocomentario"/>
    <w:semiHidden/>
    <w:pPr>
      <w:keepNext w:val="0"/>
      <w:tabs>
        <w:tab w:val="clear" w:pos="-495"/>
        <w:tab w:val="clear" w:pos="708"/>
        <w:tab w:val="clear" w:pos="1241"/>
        <w:tab w:val="clear" w:pos="2268"/>
        <w:tab w:val="clear" w:pos="2480"/>
        <w:tab w:val="clear" w:pos="4181"/>
        <w:tab w:val="clear" w:pos="4536"/>
        <w:tab w:val="clear" w:pos="5103"/>
        <w:tab w:val="clear" w:pos="5387"/>
        <w:tab w:val="clear" w:pos="7088"/>
        <w:tab w:val="clear" w:pos="7938"/>
      </w:tabs>
      <w:autoSpaceDE/>
      <w:autoSpaceDN/>
      <w:adjustRightInd/>
      <w:spacing w:line="240" w:lineRule="auto"/>
      <w:ind w:right="0"/>
    </w:pPr>
    <w:rPr>
      <w:rFonts w:ascii="Times New Roman" w:hAnsi="Times New Roman"/>
      <w:b/>
      <w:bCs/>
      <w:snapToGrid/>
      <w:color w:val="auto"/>
    </w:rPr>
  </w:style>
  <w:style w:type="table" w:styleId="Tablaelegante">
    <w:name w:val="Table Elegant"/>
    <w:basedOn w:val="Tablanormal"/>
    <w:rsid w:val="00E0033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Prrafodelista">
    <w:name w:val="List Paragraph"/>
    <w:aliases w:val="EY EPM - Lista,Indice de Figuras"/>
    <w:basedOn w:val="Normal"/>
    <w:link w:val="PrrafodelistaCar"/>
    <w:uiPriority w:val="34"/>
    <w:qFormat/>
    <w:rsid w:val="00DD4DCC"/>
    <w:pPr>
      <w:ind w:left="708"/>
    </w:pPr>
  </w:style>
  <w:style w:type="paragraph" w:customStyle="1" w:styleId="Default">
    <w:name w:val="Default"/>
    <w:rsid w:val="001174F6"/>
    <w:pPr>
      <w:autoSpaceDE w:val="0"/>
      <w:autoSpaceDN w:val="0"/>
      <w:adjustRightInd w:val="0"/>
    </w:pPr>
    <w:rPr>
      <w:rFonts w:ascii="Franklin Gothic Book" w:hAnsi="Franklin Gothic Book" w:cs="Franklin Gothic Book"/>
      <w:color w:val="000000"/>
      <w:sz w:val="24"/>
      <w:szCs w:val="24"/>
    </w:rPr>
  </w:style>
  <w:style w:type="numbering" w:customStyle="1" w:styleId="Estilo1">
    <w:name w:val="Estilo1"/>
    <w:uiPriority w:val="99"/>
    <w:pPr>
      <w:numPr>
        <w:numId w:val="7"/>
      </w:numPr>
    </w:pPr>
  </w:style>
  <w:style w:type="character" w:customStyle="1" w:styleId="PrrafodelistaCar">
    <w:name w:val="Párrafo de lista Car"/>
    <w:aliases w:val="EY EPM - Lista Car,Indice de Figuras Car"/>
    <w:basedOn w:val="Fuentedeprrafopredeter"/>
    <w:link w:val="Prrafodelista"/>
    <w:uiPriority w:val="34"/>
    <w:locked/>
    <w:rsid w:val="00B20161"/>
    <w:rPr>
      <w:sz w:val="24"/>
      <w:lang w:val="es-ES" w:eastAsia="es-ES"/>
    </w:rPr>
  </w:style>
  <w:style w:type="paragraph" w:customStyle="1" w:styleId="NOR">
    <w:name w:val="NOR"/>
    <w:basedOn w:val="Normal"/>
    <w:link w:val="NORCar"/>
    <w:qFormat/>
    <w:rsid w:val="00AA36A7"/>
    <w:pPr>
      <w:spacing w:after="200" w:line="276" w:lineRule="auto"/>
      <w:jc w:val="both"/>
    </w:pPr>
    <w:rPr>
      <w:rFonts w:ascii="Verdana" w:eastAsiaTheme="minorHAnsi" w:hAnsi="Verdana" w:cstheme="minorBidi"/>
      <w:sz w:val="22"/>
      <w:szCs w:val="24"/>
      <w:lang w:eastAsia="en-US"/>
    </w:rPr>
  </w:style>
  <w:style w:type="character" w:customStyle="1" w:styleId="NORCar">
    <w:name w:val="NOR Car"/>
    <w:basedOn w:val="Fuentedeprrafopredeter"/>
    <w:link w:val="NOR"/>
    <w:rsid w:val="00AA36A7"/>
    <w:rPr>
      <w:rFonts w:ascii="Verdana" w:eastAsiaTheme="minorHAnsi" w:hAnsi="Verdana" w:cstheme="minorBidi"/>
      <w:sz w:val="22"/>
      <w:szCs w:val="24"/>
      <w:lang w:val="es-ES" w:eastAsia="en-US"/>
    </w:rPr>
  </w:style>
  <w:style w:type="paragraph" w:customStyle="1" w:styleId="tab5">
    <w:name w:val="tab5"/>
    <w:basedOn w:val="Normal"/>
    <w:rsid w:val="00FB42BF"/>
    <w:pPr>
      <w:ind w:left="1134" w:hanging="567"/>
      <w:jc w:val="both"/>
    </w:pPr>
    <w:rPr>
      <w:rFonts w:ascii="Times" w:hAnsi="Times"/>
      <w:lang w:val="es-ES_tradnl" w:eastAsia="en-US"/>
    </w:rPr>
  </w:style>
  <w:style w:type="paragraph" w:customStyle="1" w:styleId="parrafo">
    <w:name w:val="parrafo"/>
    <w:basedOn w:val="Normal"/>
    <w:rsid w:val="00FB42BF"/>
    <w:pPr>
      <w:ind w:left="1120" w:hanging="560"/>
      <w:jc w:val="both"/>
    </w:pPr>
    <w:rPr>
      <w:rFonts w:ascii="Times" w:eastAsia="Calibri" w:hAnsi="Times"/>
      <w:sz w:val="14"/>
      <w:szCs w:val="14"/>
      <w:u w:val="single"/>
      <w:lang w:val="en-US" w:eastAsia="en-US"/>
    </w:rPr>
  </w:style>
  <w:style w:type="paragraph" w:styleId="Textosinformato">
    <w:name w:val="Plain Text"/>
    <w:basedOn w:val="Normal"/>
    <w:link w:val="TextosinformatoCar"/>
    <w:uiPriority w:val="99"/>
    <w:rsid w:val="00453107"/>
    <w:pPr>
      <w:widowControl w:val="0"/>
    </w:pPr>
    <w:rPr>
      <w:rFonts w:ascii="Courier New" w:hAnsi="Courier New"/>
      <w:sz w:val="20"/>
      <w:lang w:val="es-CR" w:eastAsia="en-US"/>
    </w:rPr>
  </w:style>
  <w:style w:type="character" w:customStyle="1" w:styleId="TextosinformatoCar">
    <w:name w:val="Texto sin formato Car"/>
    <w:basedOn w:val="Fuentedeprrafopredeter"/>
    <w:link w:val="Textosinformato"/>
    <w:uiPriority w:val="99"/>
    <w:rsid w:val="00453107"/>
    <w:rPr>
      <w:rFonts w:ascii="Courier New" w:hAnsi="Courier New"/>
      <w:lang w:eastAsia="en-US"/>
    </w:rPr>
  </w:style>
  <w:style w:type="paragraph" w:customStyle="1" w:styleId="Nota10">
    <w:name w:val="Nota10"/>
    <w:basedOn w:val="Normal"/>
    <w:rsid w:val="006B3E99"/>
    <w:pPr>
      <w:tabs>
        <w:tab w:val="left" w:pos="5060"/>
      </w:tabs>
      <w:jc w:val="right"/>
    </w:pPr>
    <w:rPr>
      <w:sz w:val="20"/>
      <w:lang w:val="es-ES_tradnl" w:eastAsia="en-US"/>
    </w:rPr>
  </w:style>
  <w:style w:type="character" w:customStyle="1" w:styleId="PiedepginaCar">
    <w:name w:val="Pie de página Car"/>
    <w:basedOn w:val="Fuentedeprrafopredeter"/>
    <w:link w:val="Piedepgina"/>
    <w:uiPriority w:val="99"/>
    <w:rsid w:val="00C522A6"/>
    <w:rPr>
      <w:rFonts w:ascii="Arial" w:hAnsi="Arial"/>
      <w:snapToGrid w:val="0"/>
      <w:color w:val="000000"/>
      <w:sz w:val="16"/>
      <w:lang w:val="es-ES" w:eastAsia="es-ES"/>
    </w:rPr>
  </w:style>
  <w:style w:type="character" w:styleId="Textoennegrita">
    <w:name w:val="Strong"/>
    <w:basedOn w:val="Fuentedeprrafopredeter"/>
    <w:uiPriority w:val="22"/>
    <w:qFormat/>
    <w:rsid w:val="00A44E3C"/>
    <w:rPr>
      <w:b/>
      <w:bCs/>
    </w:rPr>
  </w:style>
  <w:style w:type="character" w:customStyle="1" w:styleId="SinespaciadoCar">
    <w:name w:val="Sin espaciado Car"/>
    <w:link w:val="Sinespaciado"/>
    <w:uiPriority w:val="1"/>
    <w:locked/>
    <w:rsid w:val="0017458A"/>
    <w:rPr>
      <w:sz w:val="24"/>
      <w:szCs w:val="24"/>
    </w:rPr>
  </w:style>
  <w:style w:type="paragraph" w:styleId="Sinespaciado">
    <w:name w:val="No Spacing"/>
    <w:link w:val="SinespaciadoCar"/>
    <w:uiPriority w:val="1"/>
    <w:qFormat/>
    <w:rsid w:val="0017458A"/>
    <w:rPr>
      <w:sz w:val="24"/>
      <w:szCs w:val="24"/>
    </w:rPr>
  </w:style>
  <w:style w:type="character" w:customStyle="1" w:styleId="EncabezadoCar">
    <w:name w:val="Encabezado Car"/>
    <w:basedOn w:val="Fuentedeprrafopredeter"/>
    <w:link w:val="Encabezado"/>
    <w:uiPriority w:val="99"/>
    <w:rsid w:val="0040763C"/>
    <w:rPr>
      <w:rFonts w:ascii="Arial" w:hAnsi="Arial"/>
      <w:snapToGrid w:val="0"/>
      <w:color w:val="000000"/>
      <w:sz w:val="22"/>
      <w:lang w:val="es-ES" w:eastAsia="es-ES"/>
    </w:rPr>
  </w:style>
  <w:style w:type="paragraph" w:customStyle="1" w:styleId="FSapara">
    <w:name w:val="F/S (a) para"/>
    <w:basedOn w:val="Normal"/>
    <w:rsid w:val="009D5888"/>
    <w:pPr>
      <w:ind w:left="1260"/>
      <w:jc w:val="both"/>
    </w:pPr>
    <w:rPr>
      <w:rFonts w:ascii="Times" w:hAnsi="Times"/>
      <w:sz w:val="20"/>
      <w:lang w:val="es-ES_tradnl" w:eastAsia="en-US"/>
    </w:rPr>
  </w:style>
  <w:style w:type="numbering" w:customStyle="1" w:styleId="Estilo2">
    <w:name w:val="Estilo2"/>
    <w:uiPriority w:val="99"/>
    <w:rsid w:val="007A0FBB"/>
    <w:pPr>
      <w:numPr>
        <w:numId w:val="43"/>
      </w:numPr>
    </w:pPr>
  </w:style>
  <w:style w:type="paragraph" w:styleId="Revisin">
    <w:name w:val="Revision"/>
    <w:hidden/>
    <w:uiPriority w:val="99"/>
    <w:semiHidden/>
    <w:rsid w:val="00506EA4"/>
    <w:rPr>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49186">
      <w:bodyDiv w:val="1"/>
      <w:marLeft w:val="0"/>
      <w:marRight w:val="0"/>
      <w:marTop w:val="0"/>
      <w:marBottom w:val="0"/>
      <w:divBdr>
        <w:top w:val="none" w:sz="0" w:space="0" w:color="auto"/>
        <w:left w:val="none" w:sz="0" w:space="0" w:color="auto"/>
        <w:bottom w:val="none" w:sz="0" w:space="0" w:color="auto"/>
        <w:right w:val="none" w:sz="0" w:space="0" w:color="auto"/>
      </w:divBdr>
    </w:div>
    <w:div w:id="61373446">
      <w:bodyDiv w:val="1"/>
      <w:marLeft w:val="0"/>
      <w:marRight w:val="0"/>
      <w:marTop w:val="0"/>
      <w:marBottom w:val="0"/>
      <w:divBdr>
        <w:top w:val="none" w:sz="0" w:space="0" w:color="auto"/>
        <w:left w:val="none" w:sz="0" w:space="0" w:color="auto"/>
        <w:bottom w:val="none" w:sz="0" w:space="0" w:color="auto"/>
        <w:right w:val="none" w:sz="0" w:space="0" w:color="auto"/>
      </w:divBdr>
    </w:div>
    <w:div w:id="71633576">
      <w:bodyDiv w:val="1"/>
      <w:marLeft w:val="0"/>
      <w:marRight w:val="0"/>
      <w:marTop w:val="0"/>
      <w:marBottom w:val="0"/>
      <w:divBdr>
        <w:top w:val="none" w:sz="0" w:space="0" w:color="auto"/>
        <w:left w:val="none" w:sz="0" w:space="0" w:color="auto"/>
        <w:bottom w:val="none" w:sz="0" w:space="0" w:color="auto"/>
        <w:right w:val="none" w:sz="0" w:space="0" w:color="auto"/>
      </w:divBdr>
    </w:div>
    <w:div w:id="76290125">
      <w:bodyDiv w:val="1"/>
      <w:marLeft w:val="0"/>
      <w:marRight w:val="0"/>
      <w:marTop w:val="0"/>
      <w:marBottom w:val="0"/>
      <w:divBdr>
        <w:top w:val="none" w:sz="0" w:space="0" w:color="auto"/>
        <w:left w:val="none" w:sz="0" w:space="0" w:color="auto"/>
        <w:bottom w:val="none" w:sz="0" w:space="0" w:color="auto"/>
        <w:right w:val="none" w:sz="0" w:space="0" w:color="auto"/>
      </w:divBdr>
    </w:div>
    <w:div w:id="99225176">
      <w:bodyDiv w:val="1"/>
      <w:marLeft w:val="0"/>
      <w:marRight w:val="0"/>
      <w:marTop w:val="0"/>
      <w:marBottom w:val="0"/>
      <w:divBdr>
        <w:top w:val="none" w:sz="0" w:space="0" w:color="auto"/>
        <w:left w:val="none" w:sz="0" w:space="0" w:color="auto"/>
        <w:bottom w:val="none" w:sz="0" w:space="0" w:color="auto"/>
        <w:right w:val="none" w:sz="0" w:space="0" w:color="auto"/>
      </w:divBdr>
    </w:div>
    <w:div w:id="118379642">
      <w:bodyDiv w:val="1"/>
      <w:marLeft w:val="0"/>
      <w:marRight w:val="0"/>
      <w:marTop w:val="0"/>
      <w:marBottom w:val="0"/>
      <w:divBdr>
        <w:top w:val="none" w:sz="0" w:space="0" w:color="auto"/>
        <w:left w:val="none" w:sz="0" w:space="0" w:color="auto"/>
        <w:bottom w:val="none" w:sz="0" w:space="0" w:color="auto"/>
        <w:right w:val="none" w:sz="0" w:space="0" w:color="auto"/>
      </w:divBdr>
    </w:div>
    <w:div w:id="141582921">
      <w:bodyDiv w:val="1"/>
      <w:marLeft w:val="0"/>
      <w:marRight w:val="0"/>
      <w:marTop w:val="0"/>
      <w:marBottom w:val="0"/>
      <w:divBdr>
        <w:top w:val="none" w:sz="0" w:space="0" w:color="auto"/>
        <w:left w:val="none" w:sz="0" w:space="0" w:color="auto"/>
        <w:bottom w:val="none" w:sz="0" w:space="0" w:color="auto"/>
        <w:right w:val="none" w:sz="0" w:space="0" w:color="auto"/>
      </w:divBdr>
    </w:div>
    <w:div w:id="146292075">
      <w:bodyDiv w:val="1"/>
      <w:marLeft w:val="0"/>
      <w:marRight w:val="0"/>
      <w:marTop w:val="0"/>
      <w:marBottom w:val="0"/>
      <w:divBdr>
        <w:top w:val="none" w:sz="0" w:space="0" w:color="auto"/>
        <w:left w:val="none" w:sz="0" w:space="0" w:color="auto"/>
        <w:bottom w:val="none" w:sz="0" w:space="0" w:color="auto"/>
        <w:right w:val="none" w:sz="0" w:space="0" w:color="auto"/>
      </w:divBdr>
    </w:div>
    <w:div w:id="170682479">
      <w:bodyDiv w:val="1"/>
      <w:marLeft w:val="0"/>
      <w:marRight w:val="0"/>
      <w:marTop w:val="0"/>
      <w:marBottom w:val="0"/>
      <w:divBdr>
        <w:top w:val="none" w:sz="0" w:space="0" w:color="auto"/>
        <w:left w:val="none" w:sz="0" w:space="0" w:color="auto"/>
        <w:bottom w:val="none" w:sz="0" w:space="0" w:color="auto"/>
        <w:right w:val="none" w:sz="0" w:space="0" w:color="auto"/>
      </w:divBdr>
    </w:div>
    <w:div w:id="173737422">
      <w:bodyDiv w:val="1"/>
      <w:marLeft w:val="0"/>
      <w:marRight w:val="0"/>
      <w:marTop w:val="0"/>
      <w:marBottom w:val="0"/>
      <w:divBdr>
        <w:top w:val="none" w:sz="0" w:space="0" w:color="auto"/>
        <w:left w:val="none" w:sz="0" w:space="0" w:color="auto"/>
        <w:bottom w:val="none" w:sz="0" w:space="0" w:color="auto"/>
        <w:right w:val="none" w:sz="0" w:space="0" w:color="auto"/>
      </w:divBdr>
    </w:div>
    <w:div w:id="204176238">
      <w:bodyDiv w:val="1"/>
      <w:marLeft w:val="0"/>
      <w:marRight w:val="0"/>
      <w:marTop w:val="0"/>
      <w:marBottom w:val="0"/>
      <w:divBdr>
        <w:top w:val="none" w:sz="0" w:space="0" w:color="auto"/>
        <w:left w:val="none" w:sz="0" w:space="0" w:color="auto"/>
        <w:bottom w:val="none" w:sz="0" w:space="0" w:color="auto"/>
        <w:right w:val="none" w:sz="0" w:space="0" w:color="auto"/>
      </w:divBdr>
    </w:div>
    <w:div w:id="206374703">
      <w:bodyDiv w:val="1"/>
      <w:marLeft w:val="0"/>
      <w:marRight w:val="0"/>
      <w:marTop w:val="0"/>
      <w:marBottom w:val="0"/>
      <w:divBdr>
        <w:top w:val="none" w:sz="0" w:space="0" w:color="auto"/>
        <w:left w:val="none" w:sz="0" w:space="0" w:color="auto"/>
        <w:bottom w:val="none" w:sz="0" w:space="0" w:color="auto"/>
        <w:right w:val="none" w:sz="0" w:space="0" w:color="auto"/>
      </w:divBdr>
    </w:div>
    <w:div w:id="225453344">
      <w:bodyDiv w:val="1"/>
      <w:marLeft w:val="0"/>
      <w:marRight w:val="0"/>
      <w:marTop w:val="0"/>
      <w:marBottom w:val="0"/>
      <w:divBdr>
        <w:top w:val="none" w:sz="0" w:space="0" w:color="auto"/>
        <w:left w:val="none" w:sz="0" w:space="0" w:color="auto"/>
        <w:bottom w:val="none" w:sz="0" w:space="0" w:color="auto"/>
        <w:right w:val="none" w:sz="0" w:space="0" w:color="auto"/>
      </w:divBdr>
    </w:div>
    <w:div w:id="249898841">
      <w:bodyDiv w:val="1"/>
      <w:marLeft w:val="0"/>
      <w:marRight w:val="0"/>
      <w:marTop w:val="0"/>
      <w:marBottom w:val="0"/>
      <w:divBdr>
        <w:top w:val="none" w:sz="0" w:space="0" w:color="auto"/>
        <w:left w:val="none" w:sz="0" w:space="0" w:color="auto"/>
        <w:bottom w:val="none" w:sz="0" w:space="0" w:color="auto"/>
        <w:right w:val="none" w:sz="0" w:space="0" w:color="auto"/>
      </w:divBdr>
    </w:div>
    <w:div w:id="312371260">
      <w:bodyDiv w:val="1"/>
      <w:marLeft w:val="0"/>
      <w:marRight w:val="0"/>
      <w:marTop w:val="0"/>
      <w:marBottom w:val="0"/>
      <w:divBdr>
        <w:top w:val="none" w:sz="0" w:space="0" w:color="auto"/>
        <w:left w:val="none" w:sz="0" w:space="0" w:color="auto"/>
        <w:bottom w:val="none" w:sz="0" w:space="0" w:color="auto"/>
        <w:right w:val="none" w:sz="0" w:space="0" w:color="auto"/>
      </w:divBdr>
    </w:div>
    <w:div w:id="326130761">
      <w:bodyDiv w:val="1"/>
      <w:marLeft w:val="0"/>
      <w:marRight w:val="0"/>
      <w:marTop w:val="0"/>
      <w:marBottom w:val="0"/>
      <w:divBdr>
        <w:top w:val="none" w:sz="0" w:space="0" w:color="auto"/>
        <w:left w:val="none" w:sz="0" w:space="0" w:color="auto"/>
        <w:bottom w:val="none" w:sz="0" w:space="0" w:color="auto"/>
        <w:right w:val="none" w:sz="0" w:space="0" w:color="auto"/>
      </w:divBdr>
    </w:div>
    <w:div w:id="349986489">
      <w:bodyDiv w:val="1"/>
      <w:marLeft w:val="0"/>
      <w:marRight w:val="0"/>
      <w:marTop w:val="0"/>
      <w:marBottom w:val="0"/>
      <w:divBdr>
        <w:top w:val="none" w:sz="0" w:space="0" w:color="auto"/>
        <w:left w:val="none" w:sz="0" w:space="0" w:color="auto"/>
        <w:bottom w:val="none" w:sz="0" w:space="0" w:color="auto"/>
        <w:right w:val="none" w:sz="0" w:space="0" w:color="auto"/>
      </w:divBdr>
    </w:div>
    <w:div w:id="368649226">
      <w:bodyDiv w:val="1"/>
      <w:marLeft w:val="0"/>
      <w:marRight w:val="0"/>
      <w:marTop w:val="0"/>
      <w:marBottom w:val="0"/>
      <w:divBdr>
        <w:top w:val="none" w:sz="0" w:space="0" w:color="auto"/>
        <w:left w:val="none" w:sz="0" w:space="0" w:color="auto"/>
        <w:bottom w:val="none" w:sz="0" w:space="0" w:color="auto"/>
        <w:right w:val="none" w:sz="0" w:space="0" w:color="auto"/>
      </w:divBdr>
    </w:div>
    <w:div w:id="414521649">
      <w:bodyDiv w:val="1"/>
      <w:marLeft w:val="0"/>
      <w:marRight w:val="0"/>
      <w:marTop w:val="0"/>
      <w:marBottom w:val="0"/>
      <w:divBdr>
        <w:top w:val="none" w:sz="0" w:space="0" w:color="auto"/>
        <w:left w:val="none" w:sz="0" w:space="0" w:color="auto"/>
        <w:bottom w:val="none" w:sz="0" w:space="0" w:color="auto"/>
        <w:right w:val="none" w:sz="0" w:space="0" w:color="auto"/>
      </w:divBdr>
    </w:div>
    <w:div w:id="455417020">
      <w:bodyDiv w:val="1"/>
      <w:marLeft w:val="0"/>
      <w:marRight w:val="0"/>
      <w:marTop w:val="0"/>
      <w:marBottom w:val="0"/>
      <w:divBdr>
        <w:top w:val="none" w:sz="0" w:space="0" w:color="auto"/>
        <w:left w:val="none" w:sz="0" w:space="0" w:color="auto"/>
        <w:bottom w:val="none" w:sz="0" w:space="0" w:color="auto"/>
        <w:right w:val="none" w:sz="0" w:space="0" w:color="auto"/>
      </w:divBdr>
    </w:div>
    <w:div w:id="462043341">
      <w:bodyDiv w:val="1"/>
      <w:marLeft w:val="0"/>
      <w:marRight w:val="0"/>
      <w:marTop w:val="0"/>
      <w:marBottom w:val="0"/>
      <w:divBdr>
        <w:top w:val="none" w:sz="0" w:space="0" w:color="auto"/>
        <w:left w:val="none" w:sz="0" w:space="0" w:color="auto"/>
        <w:bottom w:val="none" w:sz="0" w:space="0" w:color="auto"/>
        <w:right w:val="none" w:sz="0" w:space="0" w:color="auto"/>
      </w:divBdr>
    </w:div>
    <w:div w:id="481628305">
      <w:bodyDiv w:val="1"/>
      <w:marLeft w:val="0"/>
      <w:marRight w:val="0"/>
      <w:marTop w:val="0"/>
      <w:marBottom w:val="0"/>
      <w:divBdr>
        <w:top w:val="none" w:sz="0" w:space="0" w:color="auto"/>
        <w:left w:val="none" w:sz="0" w:space="0" w:color="auto"/>
        <w:bottom w:val="none" w:sz="0" w:space="0" w:color="auto"/>
        <w:right w:val="none" w:sz="0" w:space="0" w:color="auto"/>
      </w:divBdr>
    </w:div>
    <w:div w:id="488257673">
      <w:bodyDiv w:val="1"/>
      <w:marLeft w:val="0"/>
      <w:marRight w:val="0"/>
      <w:marTop w:val="0"/>
      <w:marBottom w:val="0"/>
      <w:divBdr>
        <w:top w:val="none" w:sz="0" w:space="0" w:color="auto"/>
        <w:left w:val="none" w:sz="0" w:space="0" w:color="auto"/>
        <w:bottom w:val="none" w:sz="0" w:space="0" w:color="auto"/>
        <w:right w:val="none" w:sz="0" w:space="0" w:color="auto"/>
      </w:divBdr>
    </w:div>
    <w:div w:id="512426369">
      <w:bodyDiv w:val="1"/>
      <w:marLeft w:val="0"/>
      <w:marRight w:val="0"/>
      <w:marTop w:val="0"/>
      <w:marBottom w:val="0"/>
      <w:divBdr>
        <w:top w:val="none" w:sz="0" w:space="0" w:color="auto"/>
        <w:left w:val="none" w:sz="0" w:space="0" w:color="auto"/>
        <w:bottom w:val="none" w:sz="0" w:space="0" w:color="auto"/>
        <w:right w:val="none" w:sz="0" w:space="0" w:color="auto"/>
      </w:divBdr>
    </w:div>
    <w:div w:id="527910653">
      <w:bodyDiv w:val="1"/>
      <w:marLeft w:val="0"/>
      <w:marRight w:val="0"/>
      <w:marTop w:val="0"/>
      <w:marBottom w:val="0"/>
      <w:divBdr>
        <w:top w:val="none" w:sz="0" w:space="0" w:color="auto"/>
        <w:left w:val="none" w:sz="0" w:space="0" w:color="auto"/>
        <w:bottom w:val="none" w:sz="0" w:space="0" w:color="auto"/>
        <w:right w:val="none" w:sz="0" w:space="0" w:color="auto"/>
      </w:divBdr>
    </w:div>
    <w:div w:id="529925837">
      <w:bodyDiv w:val="1"/>
      <w:marLeft w:val="0"/>
      <w:marRight w:val="0"/>
      <w:marTop w:val="0"/>
      <w:marBottom w:val="0"/>
      <w:divBdr>
        <w:top w:val="none" w:sz="0" w:space="0" w:color="auto"/>
        <w:left w:val="none" w:sz="0" w:space="0" w:color="auto"/>
        <w:bottom w:val="none" w:sz="0" w:space="0" w:color="auto"/>
        <w:right w:val="none" w:sz="0" w:space="0" w:color="auto"/>
      </w:divBdr>
    </w:div>
    <w:div w:id="553153115">
      <w:bodyDiv w:val="1"/>
      <w:marLeft w:val="0"/>
      <w:marRight w:val="0"/>
      <w:marTop w:val="0"/>
      <w:marBottom w:val="0"/>
      <w:divBdr>
        <w:top w:val="none" w:sz="0" w:space="0" w:color="auto"/>
        <w:left w:val="none" w:sz="0" w:space="0" w:color="auto"/>
        <w:bottom w:val="none" w:sz="0" w:space="0" w:color="auto"/>
        <w:right w:val="none" w:sz="0" w:space="0" w:color="auto"/>
      </w:divBdr>
    </w:div>
    <w:div w:id="561141754">
      <w:bodyDiv w:val="1"/>
      <w:marLeft w:val="0"/>
      <w:marRight w:val="0"/>
      <w:marTop w:val="0"/>
      <w:marBottom w:val="0"/>
      <w:divBdr>
        <w:top w:val="none" w:sz="0" w:space="0" w:color="auto"/>
        <w:left w:val="none" w:sz="0" w:space="0" w:color="auto"/>
        <w:bottom w:val="none" w:sz="0" w:space="0" w:color="auto"/>
        <w:right w:val="none" w:sz="0" w:space="0" w:color="auto"/>
      </w:divBdr>
      <w:divsChild>
        <w:div w:id="135149576">
          <w:marLeft w:val="446"/>
          <w:marRight w:val="0"/>
          <w:marTop w:val="0"/>
          <w:marBottom w:val="0"/>
          <w:divBdr>
            <w:top w:val="none" w:sz="0" w:space="0" w:color="auto"/>
            <w:left w:val="none" w:sz="0" w:space="0" w:color="auto"/>
            <w:bottom w:val="none" w:sz="0" w:space="0" w:color="auto"/>
            <w:right w:val="none" w:sz="0" w:space="0" w:color="auto"/>
          </w:divBdr>
        </w:div>
        <w:div w:id="1229925621">
          <w:marLeft w:val="446"/>
          <w:marRight w:val="0"/>
          <w:marTop w:val="0"/>
          <w:marBottom w:val="0"/>
          <w:divBdr>
            <w:top w:val="none" w:sz="0" w:space="0" w:color="auto"/>
            <w:left w:val="none" w:sz="0" w:space="0" w:color="auto"/>
            <w:bottom w:val="none" w:sz="0" w:space="0" w:color="auto"/>
            <w:right w:val="none" w:sz="0" w:space="0" w:color="auto"/>
          </w:divBdr>
        </w:div>
      </w:divsChild>
    </w:div>
    <w:div w:id="566574129">
      <w:bodyDiv w:val="1"/>
      <w:marLeft w:val="0"/>
      <w:marRight w:val="0"/>
      <w:marTop w:val="0"/>
      <w:marBottom w:val="0"/>
      <w:divBdr>
        <w:top w:val="none" w:sz="0" w:space="0" w:color="auto"/>
        <w:left w:val="none" w:sz="0" w:space="0" w:color="auto"/>
        <w:bottom w:val="none" w:sz="0" w:space="0" w:color="auto"/>
        <w:right w:val="none" w:sz="0" w:space="0" w:color="auto"/>
      </w:divBdr>
    </w:div>
    <w:div w:id="570386108">
      <w:bodyDiv w:val="1"/>
      <w:marLeft w:val="0"/>
      <w:marRight w:val="0"/>
      <w:marTop w:val="0"/>
      <w:marBottom w:val="0"/>
      <w:divBdr>
        <w:top w:val="none" w:sz="0" w:space="0" w:color="auto"/>
        <w:left w:val="none" w:sz="0" w:space="0" w:color="auto"/>
        <w:bottom w:val="none" w:sz="0" w:space="0" w:color="auto"/>
        <w:right w:val="none" w:sz="0" w:space="0" w:color="auto"/>
      </w:divBdr>
    </w:div>
    <w:div w:id="578448026">
      <w:bodyDiv w:val="1"/>
      <w:marLeft w:val="0"/>
      <w:marRight w:val="0"/>
      <w:marTop w:val="0"/>
      <w:marBottom w:val="0"/>
      <w:divBdr>
        <w:top w:val="none" w:sz="0" w:space="0" w:color="auto"/>
        <w:left w:val="none" w:sz="0" w:space="0" w:color="auto"/>
        <w:bottom w:val="none" w:sz="0" w:space="0" w:color="auto"/>
        <w:right w:val="none" w:sz="0" w:space="0" w:color="auto"/>
      </w:divBdr>
    </w:div>
    <w:div w:id="615211560">
      <w:bodyDiv w:val="1"/>
      <w:marLeft w:val="0"/>
      <w:marRight w:val="0"/>
      <w:marTop w:val="0"/>
      <w:marBottom w:val="0"/>
      <w:divBdr>
        <w:top w:val="none" w:sz="0" w:space="0" w:color="auto"/>
        <w:left w:val="none" w:sz="0" w:space="0" w:color="auto"/>
        <w:bottom w:val="none" w:sz="0" w:space="0" w:color="auto"/>
        <w:right w:val="none" w:sz="0" w:space="0" w:color="auto"/>
      </w:divBdr>
    </w:div>
    <w:div w:id="642395856">
      <w:bodyDiv w:val="1"/>
      <w:marLeft w:val="0"/>
      <w:marRight w:val="0"/>
      <w:marTop w:val="0"/>
      <w:marBottom w:val="0"/>
      <w:divBdr>
        <w:top w:val="none" w:sz="0" w:space="0" w:color="auto"/>
        <w:left w:val="none" w:sz="0" w:space="0" w:color="auto"/>
        <w:bottom w:val="none" w:sz="0" w:space="0" w:color="auto"/>
        <w:right w:val="none" w:sz="0" w:space="0" w:color="auto"/>
      </w:divBdr>
    </w:div>
    <w:div w:id="654378460">
      <w:bodyDiv w:val="1"/>
      <w:marLeft w:val="0"/>
      <w:marRight w:val="0"/>
      <w:marTop w:val="0"/>
      <w:marBottom w:val="0"/>
      <w:divBdr>
        <w:top w:val="none" w:sz="0" w:space="0" w:color="auto"/>
        <w:left w:val="none" w:sz="0" w:space="0" w:color="auto"/>
        <w:bottom w:val="none" w:sz="0" w:space="0" w:color="auto"/>
        <w:right w:val="none" w:sz="0" w:space="0" w:color="auto"/>
      </w:divBdr>
    </w:div>
    <w:div w:id="655256580">
      <w:bodyDiv w:val="1"/>
      <w:marLeft w:val="0"/>
      <w:marRight w:val="0"/>
      <w:marTop w:val="0"/>
      <w:marBottom w:val="0"/>
      <w:divBdr>
        <w:top w:val="none" w:sz="0" w:space="0" w:color="auto"/>
        <w:left w:val="none" w:sz="0" w:space="0" w:color="auto"/>
        <w:bottom w:val="none" w:sz="0" w:space="0" w:color="auto"/>
        <w:right w:val="none" w:sz="0" w:space="0" w:color="auto"/>
      </w:divBdr>
    </w:div>
    <w:div w:id="686447660">
      <w:bodyDiv w:val="1"/>
      <w:marLeft w:val="0"/>
      <w:marRight w:val="0"/>
      <w:marTop w:val="0"/>
      <w:marBottom w:val="0"/>
      <w:divBdr>
        <w:top w:val="none" w:sz="0" w:space="0" w:color="auto"/>
        <w:left w:val="none" w:sz="0" w:space="0" w:color="auto"/>
        <w:bottom w:val="none" w:sz="0" w:space="0" w:color="auto"/>
        <w:right w:val="none" w:sz="0" w:space="0" w:color="auto"/>
      </w:divBdr>
    </w:div>
    <w:div w:id="692611854">
      <w:bodyDiv w:val="1"/>
      <w:marLeft w:val="0"/>
      <w:marRight w:val="0"/>
      <w:marTop w:val="0"/>
      <w:marBottom w:val="0"/>
      <w:divBdr>
        <w:top w:val="none" w:sz="0" w:space="0" w:color="auto"/>
        <w:left w:val="none" w:sz="0" w:space="0" w:color="auto"/>
        <w:bottom w:val="none" w:sz="0" w:space="0" w:color="auto"/>
        <w:right w:val="none" w:sz="0" w:space="0" w:color="auto"/>
      </w:divBdr>
    </w:div>
    <w:div w:id="724791737">
      <w:bodyDiv w:val="1"/>
      <w:marLeft w:val="0"/>
      <w:marRight w:val="0"/>
      <w:marTop w:val="0"/>
      <w:marBottom w:val="0"/>
      <w:divBdr>
        <w:top w:val="none" w:sz="0" w:space="0" w:color="auto"/>
        <w:left w:val="none" w:sz="0" w:space="0" w:color="auto"/>
        <w:bottom w:val="none" w:sz="0" w:space="0" w:color="auto"/>
        <w:right w:val="none" w:sz="0" w:space="0" w:color="auto"/>
      </w:divBdr>
    </w:div>
    <w:div w:id="734012695">
      <w:bodyDiv w:val="1"/>
      <w:marLeft w:val="0"/>
      <w:marRight w:val="0"/>
      <w:marTop w:val="0"/>
      <w:marBottom w:val="0"/>
      <w:divBdr>
        <w:top w:val="none" w:sz="0" w:space="0" w:color="auto"/>
        <w:left w:val="none" w:sz="0" w:space="0" w:color="auto"/>
        <w:bottom w:val="none" w:sz="0" w:space="0" w:color="auto"/>
        <w:right w:val="none" w:sz="0" w:space="0" w:color="auto"/>
      </w:divBdr>
    </w:div>
    <w:div w:id="744840335">
      <w:bodyDiv w:val="1"/>
      <w:marLeft w:val="0"/>
      <w:marRight w:val="0"/>
      <w:marTop w:val="0"/>
      <w:marBottom w:val="0"/>
      <w:divBdr>
        <w:top w:val="none" w:sz="0" w:space="0" w:color="auto"/>
        <w:left w:val="none" w:sz="0" w:space="0" w:color="auto"/>
        <w:bottom w:val="none" w:sz="0" w:space="0" w:color="auto"/>
        <w:right w:val="none" w:sz="0" w:space="0" w:color="auto"/>
      </w:divBdr>
    </w:div>
    <w:div w:id="749815755">
      <w:bodyDiv w:val="1"/>
      <w:marLeft w:val="0"/>
      <w:marRight w:val="0"/>
      <w:marTop w:val="0"/>
      <w:marBottom w:val="0"/>
      <w:divBdr>
        <w:top w:val="none" w:sz="0" w:space="0" w:color="auto"/>
        <w:left w:val="none" w:sz="0" w:space="0" w:color="auto"/>
        <w:bottom w:val="none" w:sz="0" w:space="0" w:color="auto"/>
        <w:right w:val="none" w:sz="0" w:space="0" w:color="auto"/>
      </w:divBdr>
    </w:div>
    <w:div w:id="827480105">
      <w:bodyDiv w:val="1"/>
      <w:marLeft w:val="0"/>
      <w:marRight w:val="0"/>
      <w:marTop w:val="0"/>
      <w:marBottom w:val="0"/>
      <w:divBdr>
        <w:top w:val="none" w:sz="0" w:space="0" w:color="auto"/>
        <w:left w:val="none" w:sz="0" w:space="0" w:color="auto"/>
        <w:bottom w:val="none" w:sz="0" w:space="0" w:color="auto"/>
        <w:right w:val="none" w:sz="0" w:space="0" w:color="auto"/>
      </w:divBdr>
    </w:div>
    <w:div w:id="863328215">
      <w:bodyDiv w:val="1"/>
      <w:marLeft w:val="0"/>
      <w:marRight w:val="0"/>
      <w:marTop w:val="0"/>
      <w:marBottom w:val="0"/>
      <w:divBdr>
        <w:top w:val="none" w:sz="0" w:space="0" w:color="auto"/>
        <w:left w:val="none" w:sz="0" w:space="0" w:color="auto"/>
        <w:bottom w:val="none" w:sz="0" w:space="0" w:color="auto"/>
        <w:right w:val="none" w:sz="0" w:space="0" w:color="auto"/>
      </w:divBdr>
    </w:div>
    <w:div w:id="870385147">
      <w:bodyDiv w:val="1"/>
      <w:marLeft w:val="0"/>
      <w:marRight w:val="0"/>
      <w:marTop w:val="0"/>
      <w:marBottom w:val="0"/>
      <w:divBdr>
        <w:top w:val="none" w:sz="0" w:space="0" w:color="auto"/>
        <w:left w:val="none" w:sz="0" w:space="0" w:color="auto"/>
        <w:bottom w:val="none" w:sz="0" w:space="0" w:color="auto"/>
        <w:right w:val="none" w:sz="0" w:space="0" w:color="auto"/>
      </w:divBdr>
    </w:div>
    <w:div w:id="888959059">
      <w:bodyDiv w:val="1"/>
      <w:marLeft w:val="0"/>
      <w:marRight w:val="0"/>
      <w:marTop w:val="0"/>
      <w:marBottom w:val="0"/>
      <w:divBdr>
        <w:top w:val="none" w:sz="0" w:space="0" w:color="auto"/>
        <w:left w:val="none" w:sz="0" w:space="0" w:color="auto"/>
        <w:bottom w:val="none" w:sz="0" w:space="0" w:color="auto"/>
        <w:right w:val="none" w:sz="0" w:space="0" w:color="auto"/>
      </w:divBdr>
    </w:div>
    <w:div w:id="890769464">
      <w:bodyDiv w:val="1"/>
      <w:marLeft w:val="0"/>
      <w:marRight w:val="0"/>
      <w:marTop w:val="0"/>
      <w:marBottom w:val="0"/>
      <w:divBdr>
        <w:top w:val="none" w:sz="0" w:space="0" w:color="auto"/>
        <w:left w:val="none" w:sz="0" w:space="0" w:color="auto"/>
        <w:bottom w:val="none" w:sz="0" w:space="0" w:color="auto"/>
        <w:right w:val="none" w:sz="0" w:space="0" w:color="auto"/>
      </w:divBdr>
    </w:div>
    <w:div w:id="898444985">
      <w:bodyDiv w:val="1"/>
      <w:marLeft w:val="0"/>
      <w:marRight w:val="0"/>
      <w:marTop w:val="0"/>
      <w:marBottom w:val="0"/>
      <w:divBdr>
        <w:top w:val="none" w:sz="0" w:space="0" w:color="auto"/>
        <w:left w:val="none" w:sz="0" w:space="0" w:color="auto"/>
        <w:bottom w:val="none" w:sz="0" w:space="0" w:color="auto"/>
        <w:right w:val="none" w:sz="0" w:space="0" w:color="auto"/>
      </w:divBdr>
    </w:div>
    <w:div w:id="911278679">
      <w:bodyDiv w:val="1"/>
      <w:marLeft w:val="0"/>
      <w:marRight w:val="0"/>
      <w:marTop w:val="0"/>
      <w:marBottom w:val="0"/>
      <w:divBdr>
        <w:top w:val="none" w:sz="0" w:space="0" w:color="auto"/>
        <w:left w:val="none" w:sz="0" w:space="0" w:color="auto"/>
        <w:bottom w:val="none" w:sz="0" w:space="0" w:color="auto"/>
        <w:right w:val="none" w:sz="0" w:space="0" w:color="auto"/>
      </w:divBdr>
    </w:div>
    <w:div w:id="936600000">
      <w:bodyDiv w:val="1"/>
      <w:marLeft w:val="0"/>
      <w:marRight w:val="0"/>
      <w:marTop w:val="0"/>
      <w:marBottom w:val="0"/>
      <w:divBdr>
        <w:top w:val="none" w:sz="0" w:space="0" w:color="auto"/>
        <w:left w:val="none" w:sz="0" w:space="0" w:color="auto"/>
        <w:bottom w:val="none" w:sz="0" w:space="0" w:color="auto"/>
        <w:right w:val="none" w:sz="0" w:space="0" w:color="auto"/>
      </w:divBdr>
    </w:div>
    <w:div w:id="942495051">
      <w:bodyDiv w:val="1"/>
      <w:marLeft w:val="0"/>
      <w:marRight w:val="0"/>
      <w:marTop w:val="0"/>
      <w:marBottom w:val="0"/>
      <w:divBdr>
        <w:top w:val="none" w:sz="0" w:space="0" w:color="auto"/>
        <w:left w:val="none" w:sz="0" w:space="0" w:color="auto"/>
        <w:bottom w:val="none" w:sz="0" w:space="0" w:color="auto"/>
        <w:right w:val="none" w:sz="0" w:space="0" w:color="auto"/>
      </w:divBdr>
    </w:div>
    <w:div w:id="951015112">
      <w:bodyDiv w:val="1"/>
      <w:marLeft w:val="0"/>
      <w:marRight w:val="0"/>
      <w:marTop w:val="0"/>
      <w:marBottom w:val="0"/>
      <w:divBdr>
        <w:top w:val="none" w:sz="0" w:space="0" w:color="auto"/>
        <w:left w:val="none" w:sz="0" w:space="0" w:color="auto"/>
        <w:bottom w:val="none" w:sz="0" w:space="0" w:color="auto"/>
        <w:right w:val="none" w:sz="0" w:space="0" w:color="auto"/>
      </w:divBdr>
    </w:div>
    <w:div w:id="958493548">
      <w:bodyDiv w:val="1"/>
      <w:marLeft w:val="0"/>
      <w:marRight w:val="0"/>
      <w:marTop w:val="0"/>
      <w:marBottom w:val="0"/>
      <w:divBdr>
        <w:top w:val="none" w:sz="0" w:space="0" w:color="auto"/>
        <w:left w:val="none" w:sz="0" w:space="0" w:color="auto"/>
        <w:bottom w:val="none" w:sz="0" w:space="0" w:color="auto"/>
        <w:right w:val="none" w:sz="0" w:space="0" w:color="auto"/>
      </w:divBdr>
    </w:div>
    <w:div w:id="1028145676">
      <w:bodyDiv w:val="1"/>
      <w:marLeft w:val="0"/>
      <w:marRight w:val="0"/>
      <w:marTop w:val="0"/>
      <w:marBottom w:val="0"/>
      <w:divBdr>
        <w:top w:val="none" w:sz="0" w:space="0" w:color="auto"/>
        <w:left w:val="none" w:sz="0" w:space="0" w:color="auto"/>
        <w:bottom w:val="none" w:sz="0" w:space="0" w:color="auto"/>
        <w:right w:val="none" w:sz="0" w:space="0" w:color="auto"/>
      </w:divBdr>
    </w:div>
    <w:div w:id="1063673327">
      <w:bodyDiv w:val="1"/>
      <w:marLeft w:val="0"/>
      <w:marRight w:val="0"/>
      <w:marTop w:val="0"/>
      <w:marBottom w:val="0"/>
      <w:divBdr>
        <w:top w:val="none" w:sz="0" w:space="0" w:color="auto"/>
        <w:left w:val="none" w:sz="0" w:space="0" w:color="auto"/>
        <w:bottom w:val="none" w:sz="0" w:space="0" w:color="auto"/>
        <w:right w:val="none" w:sz="0" w:space="0" w:color="auto"/>
      </w:divBdr>
    </w:div>
    <w:div w:id="1067847515">
      <w:bodyDiv w:val="1"/>
      <w:marLeft w:val="0"/>
      <w:marRight w:val="0"/>
      <w:marTop w:val="0"/>
      <w:marBottom w:val="0"/>
      <w:divBdr>
        <w:top w:val="none" w:sz="0" w:space="0" w:color="auto"/>
        <w:left w:val="none" w:sz="0" w:space="0" w:color="auto"/>
        <w:bottom w:val="none" w:sz="0" w:space="0" w:color="auto"/>
        <w:right w:val="none" w:sz="0" w:space="0" w:color="auto"/>
      </w:divBdr>
    </w:div>
    <w:div w:id="1101147676">
      <w:bodyDiv w:val="1"/>
      <w:marLeft w:val="0"/>
      <w:marRight w:val="0"/>
      <w:marTop w:val="0"/>
      <w:marBottom w:val="0"/>
      <w:divBdr>
        <w:top w:val="none" w:sz="0" w:space="0" w:color="auto"/>
        <w:left w:val="none" w:sz="0" w:space="0" w:color="auto"/>
        <w:bottom w:val="none" w:sz="0" w:space="0" w:color="auto"/>
        <w:right w:val="none" w:sz="0" w:space="0" w:color="auto"/>
      </w:divBdr>
    </w:div>
    <w:div w:id="1202399538">
      <w:bodyDiv w:val="1"/>
      <w:marLeft w:val="0"/>
      <w:marRight w:val="0"/>
      <w:marTop w:val="0"/>
      <w:marBottom w:val="0"/>
      <w:divBdr>
        <w:top w:val="none" w:sz="0" w:space="0" w:color="auto"/>
        <w:left w:val="none" w:sz="0" w:space="0" w:color="auto"/>
        <w:bottom w:val="none" w:sz="0" w:space="0" w:color="auto"/>
        <w:right w:val="none" w:sz="0" w:space="0" w:color="auto"/>
      </w:divBdr>
    </w:div>
    <w:div w:id="1277370636">
      <w:bodyDiv w:val="1"/>
      <w:marLeft w:val="0"/>
      <w:marRight w:val="0"/>
      <w:marTop w:val="0"/>
      <w:marBottom w:val="0"/>
      <w:divBdr>
        <w:top w:val="none" w:sz="0" w:space="0" w:color="auto"/>
        <w:left w:val="none" w:sz="0" w:space="0" w:color="auto"/>
        <w:bottom w:val="none" w:sz="0" w:space="0" w:color="auto"/>
        <w:right w:val="none" w:sz="0" w:space="0" w:color="auto"/>
      </w:divBdr>
    </w:div>
    <w:div w:id="1337271471">
      <w:bodyDiv w:val="1"/>
      <w:marLeft w:val="0"/>
      <w:marRight w:val="0"/>
      <w:marTop w:val="0"/>
      <w:marBottom w:val="0"/>
      <w:divBdr>
        <w:top w:val="none" w:sz="0" w:space="0" w:color="auto"/>
        <w:left w:val="none" w:sz="0" w:space="0" w:color="auto"/>
        <w:bottom w:val="none" w:sz="0" w:space="0" w:color="auto"/>
        <w:right w:val="none" w:sz="0" w:space="0" w:color="auto"/>
      </w:divBdr>
    </w:div>
    <w:div w:id="1340304336">
      <w:bodyDiv w:val="1"/>
      <w:marLeft w:val="0"/>
      <w:marRight w:val="0"/>
      <w:marTop w:val="0"/>
      <w:marBottom w:val="0"/>
      <w:divBdr>
        <w:top w:val="none" w:sz="0" w:space="0" w:color="auto"/>
        <w:left w:val="none" w:sz="0" w:space="0" w:color="auto"/>
        <w:bottom w:val="none" w:sz="0" w:space="0" w:color="auto"/>
        <w:right w:val="none" w:sz="0" w:space="0" w:color="auto"/>
      </w:divBdr>
    </w:div>
    <w:div w:id="1357655316">
      <w:bodyDiv w:val="1"/>
      <w:marLeft w:val="0"/>
      <w:marRight w:val="0"/>
      <w:marTop w:val="0"/>
      <w:marBottom w:val="0"/>
      <w:divBdr>
        <w:top w:val="none" w:sz="0" w:space="0" w:color="auto"/>
        <w:left w:val="none" w:sz="0" w:space="0" w:color="auto"/>
        <w:bottom w:val="none" w:sz="0" w:space="0" w:color="auto"/>
        <w:right w:val="none" w:sz="0" w:space="0" w:color="auto"/>
      </w:divBdr>
    </w:div>
    <w:div w:id="1373262630">
      <w:bodyDiv w:val="1"/>
      <w:marLeft w:val="0"/>
      <w:marRight w:val="0"/>
      <w:marTop w:val="0"/>
      <w:marBottom w:val="0"/>
      <w:divBdr>
        <w:top w:val="none" w:sz="0" w:space="0" w:color="auto"/>
        <w:left w:val="none" w:sz="0" w:space="0" w:color="auto"/>
        <w:bottom w:val="none" w:sz="0" w:space="0" w:color="auto"/>
        <w:right w:val="none" w:sz="0" w:space="0" w:color="auto"/>
      </w:divBdr>
    </w:div>
    <w:div w:id="1378358195">
      <w:bodyDiv w:val="1"/>
      <w:marLeft w:val="0"/>
      <w:marRight w:val="0"/>
      <w:marTop w:val="0"/>
      <w:marBottom w:val="0"/>
      <w:divBdr>
        <w:top w:val="none" w:sz="0" w:space="0" w:color="auto"/>
        <w:left w:val="none" w:sz="0" w:space="0" w:color="auto"/>
        <w:bottom w:val="none" w:sz="0" w:space="0" w:color="auto"/>
        <w:right w:val="none" w:sz="0" w:space="0" w:color="auto"/>
      </w:divBdr>
    </w:div>
    <w:div w:id="1452555090">
      <w:bodyDiv w:val="1"/>
      <w:marLeft w:val="0"/>
      <w:marRight w:val="0"/>
      <w:marTop w:val="0"/>
      <w:marBottom w:val="0"/>
      <w:divBdr>
        <w:top w:val="none" w:sz="0" w:space="0" w:color="auto"/>
        <w:left w:val="none" w:sz="0" w:space="0" w:color="auto"/>
        <w:bottom w:val="none" w:sz="0" w:space="0" w:color="auto"/>
        <w:right w:val="none" w:sz="0" w:space="0" w:color="auto"/>
      </w:divBdr>
    </w:div>
    <w:div w:id="1472751728">
      <w:bodyDiv w:val="1"/>
      <w:marLeft w:val="0"/>
      <w:marRight w:val="0"/>
      <w:marTop w:val="0"/>
      <w:marBottom w:val="0"/>
      <w:divBdr>
        <w:top w:val="none" w:sz="0" w:space="0" w:color="auto"/>
        <w:left w:val="none" w:sz="0" w:space="0" w:color="auto"/>
        <w:bottom w:val="none" w:sz="0" w:space="0" w:color="auto"/>
        <w:right w:val="none" w:sz="0" w:space="0" w:color="auto"/>
      </w:divBdr>
    </w:div>
    <w:div w:id="1550651905">
      <w:bodyDiv w:val="1"/>
      <w:marLeft w:val="0"/>
      <w:marRight w:val="0"/>
      <w:marTop w:val="0"/>
      <w:marBottom w:val="0"/>
      <w:divBdr>
        <w:top w:val="none" w:sz="0" w:space="0" w:color="auto"/>
        <w:left w:val="none" w:sz="0" w:space="0" w:color="auto"/>
        <w:bottom w:val="none" w:sz="0" w:space="0" w:color="auto"/>
        <w:right w:val="none" w:sz="0" w:space="0" w:color="auto"/>
      </w:divBdr>
    </w:div>
    <w:div w:id="1595555366">
      <w:bodyDiv w:val="1"/>
      <w:marLeft w:val="0"/>
      <w:marRight w:val="0"/>
      <w:marTop w:val="0"/>
      <w:marBottom w:val="0"/>
      <w:divBdr>
        <w:top w:val="none" w:sz="0" w:space="0" w:color="auto"/>
        <w:left w:val="none" w:sz="0" w:space="0" w:color="auto"/>
        <w:bottom w:val="none" w:sz="0" w:space="0" w:color="auto"/>
        <w:right w:val="none" w:sz="0" w:space="0" w:color="auto"/>
      </w:divBdr>
    </w:div>
    <w:div w:id="1603144779">
      <w:bodyDiv w:val="1"/>
      <w:marLeft w:val="0"/>
      <w:marRight w:val="0"/>
      <w:marTop w:val="0"/>
      <w:marBottom w:val="0"/>
      <w:divBdr>
        <w:top w:val="none" w:sz="0" w:space="0" w:color="auto"/>
        <w:left w:val="none" w:sz="0" w:space="0" w:color="auto"/>
        <w:bottom w:val="none" w:sz="0" w:space="0" w:color="auto"/>
        <w:right w:val="none" w:sz="0" w:space="0" w:color="auto"/>
      </w:divBdr>
    </w:div>
    <w:div w:id="1624192028">
      <w:bodyDiv w:val="1"/>
      <w:marLeft w:val="0"/>
      <w:marRight w:val="0"/>
      <w:marTop w:val="0"/>
      <w:marBottom w:val="0"/>
      <w:divBdr>
        <w:top w:val="none" w:sz="0" w:space="0" w:color="auto"/>
        <w:left w:val="none" w:sz="0" w:space="0" w:color="auto"/>
        <w:bottom w:val="none" w:sz="0" w:space="0" w:color="auto"/>
        <w:right w:val="none" w:sz="0" w:space="0" w:color="auto"/>
      </w:divBdr>
    </w:div>
    <w:div w:id="1676037405">
      <w:bodyDiv w:val="1"/>
      <w:marLeft w:val="0"/>
      <w:marRight w:val="0"/>
      <w:marTop w:val="0"/>
      <w:marBottom w:val="0"/>
      <w:divBdr>
        <w:top w:val="none" w:sz="0" w:space="0" w:color="auto"/>
        <w:left w:val="none" w:sz="0" w:space="0" w:color="auto"/>
        <w:bottom w:val="none" w:sz="0" w:space="0" w:color="auto"/>
        <w:right w:val="none" w:sz="0" w:space="0" w:color="auto"/>
      </w:divBdr>
    </w:div>
    <w:div w:id="1689065452">
      <w:bodyDiv w:val="1"/>
      <w:marLeft w:val="0"/>
      <w:marRight w:val="0"/>
      <w:marTop w:val="0"/>
      <w:marBottom w:val="0"/>
      <w:divBdr>
        <w:top w:val="none" w:sz="0" w:space="0" w:color="auto"/>
        <w:left w:val="none" w:sz="0" w:space="0" w:color="auto"/>
        <w:bottom w:val="none" w:sz="0" w:space="0" w:color="auto"/>
        <w:right w:val="none" w:sz="0" w:space="0" w:color="auto"/>
      </w:divBdr>
    </w:div>
    <w:div w:id="1711418039">
      <w:bodyDiv w:val="1"/>
      <w:marLeft w:val="0"/>
      <w:marRight w:val="0"/>
      <w:marTop w:val="0"/>
      <w:marBottom w:val="0"/>
      <w:divBdr>
        <w:top w:val="none" w:sz="0" w:space="0" w:color="auto"/>
        <w:left w:val="none" w:sz="0" w:space="0" w:color="auto"/>
        <w:bottom w:val="none" w:sz="0" w:space="0" w:color="auto"/>
        <w:right w:val="none" w:sz="0" w:space="0" w:color="auto"/>
      </w:divBdr>
    </w:div>
    <w:div w:id="1723402706">
      <w:bodyDiv w:val="1"/>
      <w:marLeft w:val="0"/>
      <w:marRight w:val="0"/>
      <w:marTop w:val="0"/>
      <w:marBottom w:val="0"/>
      <w:divBdr>
        <w:top w:val="none" w:sz="0" w:space="0" w:color="auto"/>
        <w:left w:val="none" w:sz="0" w:space="0" w:color="auto"/>
        <w:bottom w:val="none" w:sz="0" w:space="0" w:color="auto"/>
        <w:right w:val="none" w:sz="0" w:space="0" w:color="auto"/>
      </w:divBdr>
    </w:div>
    <w:div w:id="1727340470">
      <w:bodyDiv w:val="1"/>
      <w:marLeft w:val="0"/>
      <w:marRight w:val="0"/>
      <w:marTop w:val="0"/>
      <w:marBottom w:val="0"/>
      <w:divBdr>
        <w:top w:val="none" w:sz="0" w:space="0" w:color="auto"/>
        <w:left w:val="none" w:sz="0" w:space="0" w:color="auto"/>
        <w:bottom w:val="none" w:sz="0" w:space="0" w:color="auto"/>
        <w:right w:val="none" w:sz="0" w:space="0" w:color="auto"/>
      </w:divBdr>
    </w:div>
    <w:div w:id="1751613184">
      <w:bodyDiv w:val="1"/>
      <w:marLeft w:val="0"/>
      <w:marRight w:val="0"/>
      <w:marTop w:val="0"/>
      <w:marBottom w:val="0"/>
      <w:divBdr>
        <w:top w:val="none" w:sz="0" w:space="0" w:color="auto"/>
        <w:left w:val="none" w:sz="0" w:space="0" w:color="auto"/>
        <w:bottom w:val="none" w:sz="0" w:space="0" w:color="auto"/>
        <w:right w:val="none" w:sz="0" w:space="0" w:color="auto"/>
      </w:divBdr>
    </w:div>
    <w:div w:id="1803693391">
      <w:bodyDiv w:val="1"/>
      <w:marLeft w:val="0"/>
      <w:marRight w:val="0"/>
      <w:marTop w:val="0"/>
      <w:marBottom w:val="0"/>
      <w:divBdr>
        <w:top w:val="none" w:sz="0" w:space="0" w:color="auto"/>
        <w:left w:val="none" w:sz="0" w:space="0" w:color="auto"/>
        <w:bottom w:val="none" w:sz="0" w:space="0" w:color="auto"/>
        <w:right w:val="none" w:sz="0" w:space="0" w:color="auto"/>
      </w:divBdr>
    </w:div>
    <w:div w:id="1822236924">
      <w:bodyDiv w:val="1"/>
      <w:marLeft w:val="0"/>
      <w:marRight w:val="0"/>
      <w:marTop w:val="0"/>
      <w:marBottom w:val="0"/>
      <w:divBdr>
        <w:top w:val="none" w:sz="0" w:space="0" w:color="auto"/>
        <w:left w:val="none" w:sz="0" w:space="0" w:color="auto"/>
        <w:bottom w:val="none" w:sz="0" w:space="0" w:color="auto"/>
        <w:right w:val="none" w:sz="0" w:space="0" w:color="auto"/>
      </w:divBdr>
    </w:div>
    <w:div w:id="1849171496">
      <w:bodyDiv w:val="1"/>
      <w:marLeft w:val="0"/>
      <w:marRight w:val="0"/>
      <w:marTop w:val="0"/>
      <w:marBottom w:val="0"/>
      <w:divBdr>
        <w:top w:val="none" w:sz="0" w:space="0" w:color="auto"/>
        <w:left w:val="none" w:sz="0" w:space="0" w:color="auto"/>
        <w:bottom w:val="none" w:sz="0" w:space="0" w:color="auto"/>
        <w:right w:val="none" w:sz="0" w:space="0" w:color="auto"/>
      </w:divBdr>
    </w:div>
    <w:div w:id="1866551913">
      <w:bodyDiv w:val="1"/>
      <w:marLeft w:val="0"/>
      <w:marRight w:val="0"/>
      <w:marTop w:val="0"/>
      <w:marBottom w:val="0"/>
      <w:divBdr>
        <w:top w:val="none" w:sz="0" w:space="0" w:color="auto"/>
        <w:left w:val="none" w:sz="0" w:space="0" w:color="auto"/>
        <w:bottom w:val="none" w:sz="0" w:space="0" w:color="auto"/>
        <w:right w:val="none" w:sz="0" w:space="0" w:color="auto"/>
      </w:divBdr>
    </w:div>
    <w:div w:id="1900087548">
      <w:bodyDiv w:val="1"/>
      <w:marLeft w:val="0"/>
      <w:marRight w:val="0"/>
      <w:marTop w:val="0"/>
      <w:marBottom w:val="0"/>
      <w:divBdr>
        <w:top w:val="none" w:sz="0" w:space="0" w:color="auto"/>
        <w:left w:val="none" w:sz="0" w:space="0" w:color="auto"/>
        <w:bottom w:val="none" w:sz="0" w:space="0" w:color="auto"/>
        <w:right w:val="none" w:sz="0" w:space="0" w:color="auto"/>
      </w:divBdr>
    </w:div>
    <w:div w:id="1911118034">
      <w:bodyDiv w:val="1"/>
      <w:marLeft w:val="0"/>
      <w:marRight w:val="0"/>
      <w:marTop w:val="0"/>
      <w:marBottom w:val="0"/>
      <w:divBdr>
        <w:top w:val="none" w:sz="0" w:space="0" w:color="auto"/>
        <w:left w:val="none" w:sz="0" w:space="0" w:color="auto"/>
        <w:bottom w:val="none" w:sz="0" w:space="0" w:color="auto"/>
        <w:right w:val="none" w:sz="0" w:space="0" w:color="auto"/>
      </w:divBdr>
    </w:div>
    <w:div w:id="1929389300">
      <w:bodyDiv w:val="1"/>
      <w:marLeft w:val="0"/>
      <w:marRight w:val="0"/>
      <w:marTop w:val="0"/>
      <w:marBottom w:val="0"/>
      <w:divBdr>
        <w:top w:val="none" w:sz="0" w:space="0" w:color="auto"/>
        <w:left w:val="none" w:sz="0" w:space="0" w:color="auto"/>
        <w:bottom w:val="none" w:sz="0" w:space="0" w:color="auto"/>
        <w:right w:val="none" w:sz="0" w:space="0" w:color="auto"/>
      </w:divBdr>
    </w:div>
    <w:div w:id="1990206077">
      <w:bodyDiv w:val="1"/>
      <w:marLeft w:val="0"/>
      <w:marRight w:val="0"/>
      <w:marTop w:val="0"/>
      <w:marBottom w:val="0"/>
      <w:divBdr>
        <w:top w:val="none" w:sz="0" w:space="0" w:color="auto"/>
        <w:left w:val="none" w:sz="0" w:space="0" w:color="auto"/>
        <w:bottom w:val="none" w:sz="0" w:space="0" w:color="auto"/>
        <w:right w:val="none" w:sz="0" w:space="0" w:color="auto"/>
      </w:divBdr>
    </w:div>
    <w:div w:id="2029677719">
      <w:bodyDiv w:val="1"/>
      <w:marLeft w:val="0"/>
      <w:marRight w:val="0"/>
      <w:marTop w:val="0"/>
      <w:marBottom w:val="0"/>
      <w:divBdr>
        <w:top w:val="none" w:sz="0" w:space="0" w:color="auto"/>
        <w:left w:val="none" w:sz="0" w:space="0" w:color="auto"/>
        <w:bottom w:val="none" w:sz="0" w:space="0" w:color="auto"/>
        <w:right w:val="none" w:sz="0" w:space="0" w:color="auto"/>
      </w:divBdr>
      <w:divsChild>
        <w:div w:id="1352414835">
          <w:marLeft w:val="0"/>
          <w:marRight w:val="0"/>
          <w:marTop w:val="0"/>
          <w:marBottom w:val="0"/>
          <w:divBdr>
            <w:top w:val="none" w:sz="0" w:space="0" w:color="auto"/>
            <w:left w:val="none" w:sz="0" w:space="0" w:color="auto"/>
            <w:bottom w:val="none" w:sz="0" w:space="0" w:color="auto"/>
            <w:right w:val="none" w:sz="0" w:space="0" w:color="auto"/>
          </w:divBdr>
        </w:div>
      </w:divsChild>
    </w:div>
    <w:div w:id="2029791820">
      <w:bodyDiv w:val="1"/>
      <w:marLeft w:val="0"/>
      <w:marRight w:val="0"/>
      <w:marTop w:val="0"/>
      <w:marBottom w:val="0"/>
      <w:divBdr>
        <w:top w:val="none" w:sz="0" w:space="0" w:color="auto"/>
        <w:left w:val="none" w:sz="0" w:space="0" w:color="auto"/>
        <w:bottom w:val="none" w:sz="0" w:space="0" w:color="auto"/>
        <w:right w:val="none" w:sz="0" w:space="0" w:color="auto"/>
      </w:divBdr>
    </w:div>
    <w:div w:id="2078817254">
      <w:bodyDiv w:val="1"/>
      <w:marLeft w:val="0"/>
      <w:marRight w:val="0"/>
      <w:marTop w:val="0"/>
      <w:marBottom w:val="0"/>
      <w:divBdr>
        <w:top w:val="none" w:sz="0" w:space="0" w:color="auto"/>
        <w:left w:val="none" w:sz="0" w:space="0" w:color="auto"/>
        <w:bottom w:val="none" w:sz="0" w:space="0" w:color="auto"/>
        <w:right w:val="none" w:sz="0" w:space="0" w:color="auto"/>
      </w:divBdr>
    </w:div>
    <w:div w:id="2096780005">
      <w:bodyDiv w:val="1"/>
      <w:marLeft w:val="0"/>
      <w:marRight w:val="0"/>
      <w:marTop w:val="0"/>
      <w:marBottom w:val="0"/>
      <w:divBdr>
        <w:top w:val="none" w:sz="0" w:space="0" w:color="auto"/>
        <w:left w:val="none" w:sz="0" w:space="0" w:color="auto"/>
        <w:bottom w:val="none" w:sz="0" w:space="0" w:color="auto"/>
        <w:right w:val="none" w:sz="0" w:space="0" w:color="auto"/>
      </w:divBdr>
    </w:div>
    <w:div w:id="2112581097">
      <w:bodyDiv w:val="1"/>
      <w:marLeft w:val="0"/>
      <w:marRight w:val="0"/>
      <w:marTop w:val="0"/>
      <w:marBottom w:val="0"/>
      <w:divBdr>
        <w:top w:val="none" w:sz="0" w:space="0" w:color="auto"/>
        <w:left w:val="none" w:sz="0" w:space="0" w:color="auto"/>
        <w:bottom w:val="none" w:sz="0" w:space="0" w:color="auto"/>
        <w:right w:val="none" w:sz="0" w:space="0" w:color="auto"/>
      </w:divBdr>
    </w:div>
    <w:div w:id="212874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bccr.fi.cr/secci&#243;n-indicadores-econ&#243;micos/tasas-de-inter&#233;s" TargetMode="Externa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www.cnfl.go.cr-Sob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ccr.fi.c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nfl.go.cr" TargetMode="External"/><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FD3BF-BF09-4ECD-9044-D10668A31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23396</Words>
  <Characters>128683</Characters>
  <Application>Microsoft Office Word</Application>
  <DocSecurity>0</DocSecurity>
  <Lines>1072</Lines>
  <Paragraphs>303</Paragraphs>
  <ScaleCrop>false</ScaleCrop>
  <HeadingPairs>
    <vt:vector size="2" baseType="variant">
      <vt:variant>
        <vt:lpstr>Título</vt:lpstr>
      </vt:variant>
      <vt:variant>
        <vt:i4>1</vt:i4>
      </vt:variant>
    </vt:vector>
  </HeadingPairs>
  <TitlesOfParts>
    <vt:vector size="1" baseType="lpstr">
      <vt:lpstr>CAPÍTULO III</vt:lpstr>
    </vt:vector>
  </TitlesOfParts>
  <Company>Hewlett-Packard Company</Company>
  <LinksUpToDate>false</LinksUpToDate>
  <CharactersWithSpaces>151776</CharactersWithSpaces>
  <SharedDoc>false</SharedDoc>
  <HLinks>
    <vt:vector size="318" baseType="variant">
      <vt:variant>
        <vt:i4>1048627</vt:i4>
      </vt:variant>
      <vt:variant>
        <vt:i4>239</vt:i4>
      </vt:variant>
      <vt:variant>
        <vt:i4>0</vt:i4>
      </vt:variant>
      <vt:variant>
        <vt:i4>5</vt:i4>
      </vt:variant>
      <vt:variant>
        <vt:lpwstr/>
      </vt:variant>
      <vt:variant>
        <vt:lpwstr>_Toc102455568</vt:lpwstr>
      </vt:variant>
      <vt:variant>
        <vt:i4>1048627</vt:i4>
      </vt:variant>
      <vt:variant>
        <vt:i4>236</vt:i4>
      </vt:variant>
      <vt:variant>
        <vt:i4>0</vt:i4>
      </vt:variant>
      <vt:variant>
        <vt:i4>5</vt:i4>
      </vt:variant>
      <vt:variant>
        <vt:lpwstr/>
      </vt:variant>
      <vt:variant>
        <vt:lpwstr>_Toc102455567</vt:lpwstr>
      </vt:variant>
      <vt:variant>
        <vt:i4>1048627</vt:i4>
      </vt:variant>
      <vt:variant>
        <vt:i4>233</vt:i4>
      </vt:variant>
      <vt:variant>
        <vt:i4>0</vt:i4>
      </vt:variant>
      <vt:variant>
        <vt:i4>5</vt:i4>
      </vt:variant>
      <vt:variant>
        <vt:lpwstr/>
      </vt:variant>
      <vt:variant>
        <vt:lpwstr>_Toc102455565</vt:lpwstr>
      </vt:variant>
      <vt:variant>
        <vt:i4>1048627</vt:i4>
      </vt:variant>
      <vt:variant>
        <vt:i4>227</vt:i4>
      </vt:variant>
      <vt:variant>
        <vt:i4>0</vt:i4>
      </vt:variant>
      <vt:variant>
        <vt:i4>5</vt:i4>
      </vt:variant>
      <vt:variant>
        <vt:lpwstr/>
      </vt:variant>
      <vt:variant>
        <vt:lpwstr>_Toc102455568</vt:lpwstr>
      </vt:variant>
      <vt:variant>
        <vt:i4>1048627</vt:i4>
      </vt:variant>
      <vt:variant>
        <vt:i4>221</vt:i4>
      </vt:variant>
      <vt:variant>
        <vt:i4>0</vt:i4>
      </vt:variant>
      <vt:variant>
        <vt:i4>5</vt:i4>
      </vt:variant>
      <vt:variant>
        <vt:lpwstr/>
      </vt:variant>
      <vt:variant>
        <vt:lpwstr>_Toc102455567</vt:lpwstr>
      </vt:variant>
      <vt:variant>
        <vt:i4>1048627</vt:i4>
      </vt:variant>
      <vt:variant>
        <vt:i4>215</vt:i4>
      </vt:variant>
      <vt:variant>
        <vt:i4>0</vt:i4>
      </vt:variant>
      <vt:variant>
        <vt:i4>5</vt:i4>
      </vt:variant>
      <vt:variant>
        <vt:lpwstr/>
      </vt:variant>
      <vt:variant>
        <vt:lpwstr>_Toc102455566</vt:lpwstr>
      </vt:variant>
      <vt:variant>
        <vt:i4>1048627</vt:i4>
      </vt:variant>
      <vt:variant>
        <vt:i4>209</vt:i4>
      </vt:variant>
      <vt:variant>
        <vt:i4>0</vt:i4>
      </vt:variant>
      <vt:variant>
        <vt:i4>5</vt:i4>
      </vt:variant>
      <vt:variant>
        <vt:lpwstr/>
      </vt:variant>
      <vt:variant>
        <vt:lpwstr>_Toc102455565</vt:lpwstr>
      </vt:variant>
      <vt:variant>
        <vt:i4>1048627</vt:i4>
      </vt:variant>
      <vt:variant>
        <vt:i4>206</vt:i4>
      </vt:variant>
      <vt:variant>
        <vt:i4>0</vt:i4>
      </vt:variant>
      <vt:variant>
        <vt:i4>5</vt:i4>
      </vt:variant>
      <vt:variant>
        <vt:lpwstr/>
      </vt:variant>
      <vt:variant>
        <vt:lpwstr>_Toc102455563</vt:lpwstr>
      </vt:variant>
      <vt:variant>
        <vt:i4>1048627</vt:i4>
      </vt:variant>
      <vt:variant>
        <vt:i4>203</vt:i4>
      </vt:variant>
      <vt:variant>
        <vt:i4>0</vt:i4>
      </vt:variant>
      <vt:variant>
        <vt:i4>5</vt:i4>
      </vt:variant>
      <vt:variant>
        <vt:lpwstr/>
      </vt:variant>
      <vt:variant>
        <vt:lpwstr>_Toc102455562</vt:lpwstr>
      </vt:variant>
      <vt:variant>
        <vt:i4>1048627</vt:i4>
      </vt:variant>
      <vt:variant>
        <vt:i4>197</vt:i4>
      </vt:variant>
      <vt:variant>
        <vt:i4>0</vt:i4>
      </vt:variant>
      <vt:variant>
        <vt:i4>5</vt:i4>
      </vt:variant>
      <vt:variant>
        <vt:lpwstr/>
      </vt:variant>
      <vt:variant>
        <vt:lpwstr>_Toc102455561</vt:lpwstr>
      </vt:variant>
      <vt:variant>
        <vt:i4>1048627</vt:i4>
      </vt:variant>
      <vt:variant>
        <vt:i4>191</vt:i4>
      </vt:variant>
      <vt:variant>
        <vt:i4>0</vt:i4>
      </vt:variant>
      <vt:variant>
        <vt:i4>5</vt:i4>
      </vt:variant>
      <vt:variant>
        <vt:lpwstr/>
      </vt:variant>
      <vt:variant>
        <vt:lpwstr>_Toc102455560</vt:lpwstr>
      </vt:variant>
      <vt:variant>
        <vt:i4>1245235</vt:i4>
      </vt:variant>
      <vt:variant>
        <vt:i4>185</vt:i4>
      </vt:variant>
      <vt:variant>
        <vt:i4>0</vt:i4>
      </vt:variant>
      <vt:variant>
        <vt:i4>5</vt:i4>
      </vt:variant>
      <vt:variant>
        <vt:lpwstr/>
      </vt:variant>
      <vt:variant>
        <vt:lpwstr>_Toc102455559</vt:lpwstr>
      </vt:variant>
      <vt:variant>
        <vt:i4>1245235</vt:i4>
      </vt:variant>
      <vt:variant>
        <vt:i4>179</vt:i4>
      </vt:variant>
      <vt:variant>
        <vt:i4>0</vt:i4>
      </vt:variant>
      <vt:variant>
        <vt:i4>5</vt:i4>
      </vt:variant>
      <vt:variant>
        <vt:lpwstr/>
      </vt:variant>
      <vt:variant>
        <vt:lpwstr>_Toc102455557</vt:lpwstr>
      </vt:variant>
      <vt:variant>
        <vt:i4>1245235</vt:i4>
      </vt:variant>
      <vt:variant>
        <vt:i4>173</vt:i4>
      </vt:variant>
      <vt:variant>
        <vt:i4>0</vt:i4>
      </vt:variant>
      <vt:variant>
        <vt:i4>5</vt:i4>
      </vt:variant>
      <vt:variant>
        <vt:lpwstr/>
      </vt:variant>
      <vt:variant>
        <vt:lpwstr>_Toc102455556</vt:lpwstr>
      </vt:variant>
      <vt:variant>
        <vt:i4>1245235</vt:i4>
      </vt:variant>
      <vt:variant>
        <vt:i4>170</vt:i4>
      </vt:variant>
      <vt:variant>
        <vt:i4>0</vt:i4>
      </vt:variant>
      <vt:variant>
        <vt:i4>5</vt:i4>
      </vt:variant>
      <vt:variant>
        <vt:lpwstr/>
      </vt:variant>
      <vt:variant>
        <vt:lpwstr>_Toc102455555</vt:lpwstr>
      </vt:variant>
      <vt:variant>
        <vt:i4>1245235</vt:i4>
      </vt:variant>
      <vt:variant>
        <vt:i4>167</vt:i4>
      </vt:variant>
      <vt:variant>
        <vt:i4>0</vt:i4>
      </vt:variant>
      <vt:variant>
        <vt:i4>5</vt:i4>
      </vt:variant>
      <vt:variant>
        <vt:lpwstr/>
      </vt:variant>
      <vt:variant>
        <vt:lpwstr>_Toc102455554</vt:lpwstr>
      </vt:variant>
      <vt:variant>
        <vt:i4>1245235</vt:i4>
      </vt:variant>
      <vt:variant>
        <vt:i4>161</vt:i4>
      </vt:variant>
      <vt:variant>
        <vt:i4>0</vt:i4>
      </vt:variant>
      <vt:variant>
        <vt:i4>5</vt:i4>
      </vt:variant>
      <vt:variant>
        <vt:lpwstr/>
      </vt:variant>
      <vt:variant>
        <vt:lpwstr>_Toc102455552</vt:lpwstr>
      </vt:variant>
      <vt:variant>
        <vt:i4>1245235</vt:i4>
      </vt:variant>
      <vt:variant>
        <vt:i4>155</vt:i4>
      </vt:variant>
      <vt:variant>
        <vt:i4>0</vt:i4>
      </vt:variant>
      <vt:variant>
        <vt:i4>5</vt:i4>
      </vt:variant>
      <vt:variant>
        <vt:lpwstr/>
      </vt:variant>
      <vt:variant>
        <vt:lpwstr>_Toc102455551</vt:lpwstr>
      </vt:variant>
      <vt:variant>
        <vt:i4>1179699</vt:i4>
      </vt:variant>
      <vt:variant>
        <vt:i4>152</vt:i4>
      </vt:variant>
      <vt:variant>
        <vt:i4>0</vt:i4>
      </vt:variant>
      <vt:variant>
        <vt:i4>5</vt:i4>
      </vt:variant>
      <vt:variant>
        <vt:lpwstr/>
      </vt:variant>
      <vt:variant>
        <vt:lpwstr>_Toc102455549</vt:lpwstr>
      </vt:variant>
      <vt:variant>
        <vt:i4>1179699</vt:i4>
      </vt:variant>
      <vt:variant>
        <vt:i4>146</vt:i4>
      </vt:variant>
      <vt:variant>
        <vt:i4>0</vt:i4>
      </vt:variant>
      <vt:variant>
        <vt:i4>5</vt:i4>
      </vt:variant>
      <vt:variant>
        <vt:lpwstr/>
      </vt:variant>
      <vt:variant>
        <vt:lpwstr>_Toc102455548</vt:lpwstr>
      </vt:variant>
      <vt:variant>
        <vt:i4>1179699</vt:i4>
      </vt:variant>
      <vt:variant>
        <vt:i4>140</vt:i4>
      </vt:variant>
      <vt:variant>
        <vt:i4>0</vt:i4>
      </vt:variant>
      <vt:variant>
        <vt:i4>5</vt:i4>
      </vt:variant>
      <vt:variant>
        <vt:lpwstr/>
      </vt:variant>
      <vt:variant>
        <vt:lpwstr>_Toc102455547</vt:lpwstr>
      </vt:variant>
      <vt:variant>
        <vt:i4>1179699</vt:i4>
      </vt:variant>
      <vt:variant>
        <vt:i4>134</vt:i4>
      </vt:variant>
      <vt:variant>
        <vt:i4>0</vt:i4>
      </vt:variant>
      <vt:variant>
        <vt:i4>5</vt:i4>
      </vt:variant>
      <vt:variant>
        <vt:lpwstr/>
      </vt:variant>
      <vt:variant>
        <vt:lpwstr>_Toc102455546</vt:lpwstr>
      </vt:variant>
      <vt:variant>
        <vt:i4>1179699</vt:i4>
      </vt:variant>
      <vt:variant>
        <vt:i4>131</vt:i4>
      </vt:variant>
      <vt:variant>
        <vt:i4>0</vt:i4>
      </vt:variant>
      <vt:variant>
        <vt:i4>5</vt:i4>
      </vt:variant>
      <vt:variant>
        <vt:lpwstr/>
      </vt:variant>
      <vt:variant>
        <vt:lpwstr>_Toc102455545</vt:lpwstr>
      </vt:variant>
      <vt:variant>
        <vt:i4>1179699</vt:i4>
      </vt:variant>
      <vt:variant>
        <vt:i4>125</vt:i4>
      </vt:variant>
      <vt:variant>
        <vt:i4>0</vt:i4>
      </vt:variant>
      <vt:variant>
        <vt:i4>5</vt:i4>
      </vt:variant>
      <vt:variant>
        <vt:lpwstr/>
      </vt:variant>
      <vt:variant>
        <vt:lpwstr>_Toc102455544</vt:lpwstr>
      </vt:variant>
      <vt:variant>
        <vt:i4>1179699</vt:i4>
      </vt:variant>
      <vt:variant>
        <vt:i4>119</vt:i4>
      </vt:variant>
      <vt:variant>
        <vt:i4>0</vt:i4>
      </vt:variant>
      <vt:variant>
        <vt:i4>5</vt:i4>
      </vt:variant>
      <vt:variant>
        <vt:lpwstr/>
      </vt:variant>
      <vt:variant>
        <vt:lpwstr>_Toc102455543</vt:lpwstr>
      </vt:variant>
      <vt:variant>
        <vt:i4>1179699</vt:i4>
      </vt:variant>
      <vt:variant>
        <vt:i4>113</vt:i4>
      </vt:variant>
      <vt:variant>
        <vt:i4>0</vt:i4>
      </vt:variant>
      <vt:variant>
        <vt:i4>5</vt:i4>
      </vt:variant>
      <vt:variant>
        <vt:lpwstr/>
      </vt:variant>
      <vt:variant>
        <vt:lpwstr>_Toc102455542</vt:lpwstr>
      </vt:variant>
      <vt:variant>
        <vt:i4>1179699</vt:i4>
      </vt:variant>
      <vt:variant>
        <vt:i4>107</vt:i4>
      </vt:variant>
      <vt:variant>
        <vt:i4>0</vt:i4>
      </vt:variant>
      <vt:variant>
        <vt:i4>5</vt:i4>
      </vt:variant>
      <vt:variant>
        <vt:lpwstr/>
      </vt:variant>
      <vt:variant>
        <vt:lpwstr>_Toc102455541</vt:lpwstr>
      </vt:variant>
      <vt:variant>
        <vt:i4>1179699</vt:i4>
      </vt:variant>
      <vt:variant>
        <vt:i4>101</vt:i4>
      </vt:variant>
      <vt:variant>
        <vt:i4>0</vt:i4>
      </vt:variant>
      <vt:variant>
        <vt:i4>5</vt:i4>
      </vt:variant>
      <vt:variant>
        <vt:lpwstr/>
      </vt:variant>
      <vt:variant>
        <vt:lpwstr>_Toc102455540</vt:lpwstr>
      </vt:variant>
      <vt:variant>
        <vt:i4>1376307</vt:i4>
      </vt:variant>
      <vt:variant>
        <vt:i4>95</vt:i4>
      </vt:variant>
      <vt:variant>
        <vt:i4>0</vt:i4>
      </vt:variant>
      <vt:variant>
        <vt:i4>5</vt:i4>
      </vt:variant>
      <vt:variant>
        <vt:lpwstr/>
      </vt:variant>
      <vt:variant>
        <vt:lpwstr>_Toc102455539</vt:lpwstr>
      </vt:variant>
      <vt:variant>
        <vt:i4>1376307</vt:i4>
      </vt:variant>
      <vt:variant>
        <vt:i4>92</vt:i4>
      </vt:variant>
      <vt:variant>
        <vt:i4>0</vt:i4>
      </vt:variant>
      <vt:variant>
        <vt:i4>5</vt:i4>
      </vt:variant>
      <vt:variant>
        <vt:lpwstr/>
      </vt:variant>
      <vt:variant>
        <vt:lpwstr>_Toc102455535</vt:lpwstr>
      </vt:variant>
      <vt:variant>
        <vt:i4>1376307</vt:i4>
      </vt:variant>
      <vt:variant>
        <vt:i4>89</vt:i4>
      </vt:variant>
      <vt:variant>
        <vt:i4>0</vt:i4>
      </vt:variant>
      <vt:variant>
        <vt:i4>5</vt:i4>
      </vt:variant>
      <vt:variant>
        <vt:lpwstr/>
      </vt:variant>
      <vt:variant>
        <vt:lpwstr>_Toc102455534</vt:lpwstr>
      </vt:variant>
      <vt:variant>
        <vt:i4>1376307</vt:i4>
      </vt:variant>
      <vt:variant>
        <vt:i4>86</vt:i4>
      </vt:variant>
      <vt:variant>
        <vt:i4>0</vt:i4>
      </vt:variant>
      <vt:variant>
        <vt:i4>5</vt:i4>
      </vt:variant>
      <vt:variant>
        <vt:lpwstr/>
      </vt:variant>
      <vt:variant>
        <vt:lpwstr>_Toc102455533</vt:lpwstr>
      </vt:variant>
      <vt:variant>
        <vt:i4>1376307</vt:i4>
      </vt:variant>
      <vt:variant>
        <vt:i4>83</vt:i4>
      </vt:variant>
      <vt:variant>
        <vt:i4>0</vt:i4>
      </vt:variant>
      <vt:variant>
        <vt:i4>5</vt:i4>
      </vt:variant>
      <vt:variant>
        <vt:lpwstr/>
      </vt:variant>
      <vt:variant>
        <vt:lpwstr>_Toc102455532</vt:lpwstr>
      </vt:variant>
      <vt:variant>
        <vt:i4>1376307</vt:i4>
      </vt:variant>
      <vt:variant>
        <vt:i4>77</vt:i4>
      </vt:variant>
      <vt:variant>
        <vt:i4>0</vt:i4>
      </vt:variant>
      <vt:variant>
        <vt:i4>5</vt:i4>
      </vt:variant>
      <vt:variant>
        <vt:lpwstr/>
      </vt:variant>
      <vt:variant>
        <vt:lpwstr>_Toc102455531</vt:lpwstr>
      </vt:variant>
      <vt:variant>
        <vt:i4>1376307</vt:i4>
      </vt:variant>
      <vt:variant>
        <vt:i4>71</vt:i4>
      </vt:variant>
      <vt:variant>
        <vt:i4>0</vt:i4>
      </vt:variant>
      <vt:variant>
        <vt:i4>5</vt:i4>
      </vt:variant>
      <vt:variant>
        <vt:lpwstr/>
      </vt:variant>
      <vt:variant>
        <vt:lpwstr>_Toc102455530</vt:lpwstr>
      </vt:variant>
      <vt:variant>
        <vt:i4>1310771</vt:i4>
      </vt:variant>
      <vt:variant>
        <vt:i4>68</vt:i4>
      </vt:variant>
      <vt:variant>
        <vt:i4>0</vt:i4>
      </vt:variant>
      <vt:variant>
        <vt:i4>5</vt:i4>
      </vt:variant>
      <vt:variant>
        <vt:lpwstr/>
      </vt:variant>
      <vt:variant>
        <vt:lpwstr>_Toc102455529</vt:lpwstr>
      </vt:variant>
      <vt:variant>
        <vt:i4>1310771</vt:i4>
      </vt:variant>
      <vt:variant>
        <vt:i4>62</vt:i4>
      </vt:variant>
      <vt:variant>
        <vt:i4>0</vt:i4>
      </vt:variant>
      <vt:variant>
        <vt:i4>5</vt:i4>
      </vt:variant>
      <vt:variant>
        <vt:lpwstr/>
      </vt:variant>
      <vt:variant>
        <vt:lpwstr>_Toc102455524</vt:lpwstr>
      </vt:variant>
      <vt:variant>
        <vt:i4>1310771</vt:i4>
      </vt:variant>
      <vt:variant>
        <vt:i4>59</vt:i4>
      </vt:variant>
      <vt:variant>
        <vt:i4>0</vt:i4>
      </vt:variant>
      <vt:variant>
        <vt:i4>5</vt:i4>
      </vt:variant>
      <vt:variant>
        <vt:lpwstr/>
      </vt:variant>
      <vt:variant>
        <vt:lpwstr>_Toc102455522</vt:lpwstr>
      </vt:variant>
      <vt:variant>
        <vt:i4>1310771</vt:i4>
      </vt:variant>
      <vt:variant>
        <vt:i4>56</vt:i4>
      </vt:variant>
      <vt:variant>
        <vt:i4>0</vt:i4>
      </vt:variant>
      <vt:variant>
        <vt:i4>5</vt:i4>
      </vt:variant>
      <vt:variant>
        <vt:lpwstr/>
      </vt:variant>
      <vt:variant>
        <vt:lpwstr>_Toc102455522</vt:lpwstr>
      </vt:variant>
      <vt:variant>
        <vt:i4>1310771</vt:i4>
      </vt:variant>
      <vt:variant>
        <vt:i4>53</vt:i4>
      </vt:variant>
      <vt:variant>
        <vt:i4>0</vt:i4>
      </vt:variant>
      <vt:variant>
        <vt:i4>5</vt:i4>
      </vt:variant>
      <vt:variant>
        <vt:lpwstr/>
      </vt:variant>
      <vt:variant>
        <vt:lpwstr>_Toc102455522</vt:lpwstr>
      </vt:variant>
      <vt:variant>
        <vt:i4>1310771</vt:i4>
      </vt:variant>
      <vt:variant>
        <vt:i4>50</vt:i4>
      </vt:variant>
      <vt:variant>
        <vt:i4>0</vt:i4>
      </vt:variant>
      <vt:variant>
        <vt:i4>5</vt:i4>
      </vt:variant>
      <vt:variant>
        <vt:lpwstr/>
      </vt:variant>
      <vt:variant>
        <vt:lpwstr>_Toc102455522</vt:lpwstr>
      </vt:variant>
      <vt:variant>
        <vt:i4>1310771</vt:i4>
      </vt:variant>
      <vt:variant>
        <vt:i4>47</vt:i4>
      </vt:variant>
      <vt:variant>
        <vt:i4>0</vt:i4>
      </vt:variant>
      <vt:variant>
        <vt:i4>5</vt:i4>
      </vt:variant>
      <vt:variant>
        <vt:lpwstr/>
      </vt:variant>
      <vt:variant>
        <vt:lpwstr>_Toc102455521</vt:lpwstr>
      </vt:variant>
      <vt:variant>
        <vt:i4>1310771</vt:i4>
      </vt:variant>
      <vt:variant>
        <vt:i4>44</vt:i4>
      </vt:variant>
      <vt:variant>
        <vt:i4>0</vt:i4>
      </vt:variant>
      <vt:variant>
        <vt:i4>5</vt:i4>
      </vt:variant>
      <vt:variant>
        <vt:lpwstr/>
      </vt:variant>
      <vt:variant>
        <vt:lpwstr>_Toc102455521</vt:lpwstr>
      </vt:variant>
      <vt:variant>
        <vt:i4>1310771</vt:i4>
      </vt:variant>
      <vt:variant>
        <vt:i4>41</vt:i4>
      </vt:variant>
      <vt:variant>
        <vt:i4>0</vt:i4>
      </vt:variant>
      <vt:variant>
        <vt:i4>5</vt:i4>
      </vt:variant>
      <vt:variant>
        <vt:lpwstr/>
      </vt:variant>
      <vt:variant>
        <vt:lpwstr>_Toc102455520</vt:lpwstr>
      </vt:variant>
      <vt:variant>
        <vt:i4>1507379</vt:i4>
      </vt:variant>
      <vt:variant>
        <vt:i4>38</vt:i4>
      </vt:variant>
      <vt:variant>
        <vt:i4>0</vt:i4>
      </vt:variant>
      <vt:variant>
        <vt:i4>5</vt:i4>
      </vt:variant>
      <vt:variant>
        <vt:lpwstr/>
      </vt:variant>
      <vt:variant>
        <vt:lpwstr>_Toc102455519</vt:lpwstr>
      </vt:variant>
      <vt:variant>
        <vt:i4>1507379</vt:i4>
      </vt:variant>
      <vt:variant>
        <vt:i4>35</vt:i4>
      </vt:variant>
      <vt:variant>
        <vt:i4>0</vt:i4>
      </vt:variant>
      <vt:variant>
        <vt:i4>5</vt:i4>
      </vt:variant>
      <vt:variant>
        <vt:lpwstr/>
      </vt:variant>
      <vt:variant>
        <vt:lpwstr>_Toc102455518</vt:lpwstr>
      </vt:variant>
      <vt:variant>
        <vt:i4>1507379</vt:i4>
      </vt:variant>
      <vt:variant>
        <vt:i4>32</vt:i4>
      </vt:variant>
      <vt:variant>
        <vt:i4>0</vt:i4>
      </vt:variant>
      <vt:variant>
        <vt:i4>5</vt:i4>
      </vt:variant>
      <vt:variant>
        <vt:lpwstr/>
      </vt:variant>
      <vt:variant>
        <vt:lpwstr>_Toc102455517</vt:lpwstr>
      </vt:variant>
      <vt:variant>
        <vt:i4>1507379</vt:i4>
      </vt:variant>
      <vt:variant>
        <vt:i4>29</vt:i4>
      </vt:variant>
      <vt:variant>
        <vt:i4>0</vt:i4>
      </vt:variant>
      <vt:variant>
        <vt:i4>5</vt:i4>
      </vt:variant>
      <vt:variant>
        <vt:lpwstr/>
      </vt:variant>
      <vt:variant>
        <vt:lpwstr>_Toc102455515</vt:lpwstr>
      </vt:variant>
      <vt:variant>
        <vt:i4>1507379</vt:i4>
      </vt:variant>
      <vt:variant>
        <vt:i4>26</vt:i4>
      </vt:variant>
      <vt:variant>
        <vt:i4>0</vt:i4>
      </vt:variant>
      <vt:variant>
        <vt:i4>5</vt:i4>
      </vt:variant>
      <vt:variant>
        <vt:lpwstr/>
      </vt:variant>
      <vt:variant>
        <vt:lpwstr>_Toc102455511</vt:lpwstr>
      </vt:variant>
      <vt:variant>
        <vt:i4>1441843</vt:i4>
      </vt:variant>
      <vt:variant>
        <vt:i4>23</vt:i4>
      </vt:variant>
      <vt:variant>
        <vt:i4>0</vt:i4>
      </vt:variant>
      <vt:variant>
        <vt:i4>5</vt:i4>
      </vt:variant>
      <vt:variant>
        <vt:lpwstr/>
      </vt:variant>
      <vt:variant>
        <vt:lpwstr>_Toc102455509</vt:lpwstr>
      </vt:variant>
      <vt:variant>
        <vt:i4>1441843</vt:i4>
      </vt:variant>
      <vt:variant>
        <vt:i4>17</vt:i4>
      </vt:variant>
      <vt:variant>
        <vt:i4>0</vt:i4>
      </vt:variant>
      <vt:variant>
        <vt:i4>5</vt:i4>
      </vt:variant>
      <vt:variant>
        <vt:lpwstr/>
      </vt:variant>
      <vt:variant>
        <vt:lpwstr>_Toc102455508</vt:lpwstr>
      </vt:variant>
      <vt:variant>
        <vt:i4>1441843</vt:i4>
      </vt:variant>
      <vt:variant>
        <vt:i4>11</vt:i4>
      </vt:variant>
      <vt:variant>
        <vt:i4>0</vt:i4>
      </vt:variant>
      <vt:variant>
        <vt:i4>5</vt:i4>
      </vt:variant>
      <vt:variant>
        <vt:lpwstr/>
      </vt:variant>
      <vt:variant>
        <vt:lpwstr>_Toc102455507</vt:lpwstr>
      </vt:variant>
      <vt:variant>
        <vt:i4>3080209</vt:i4>
      </vt:variant>
      <vt:variant>
        <vt:i4>2191</vt:i4>
      </vt:variant>
      <vt:variant>
        <vt:i4>1026</vt:i4>
      </vt:variant>
      <vt:variant>
        <vt:i4>1</vt:i4>
      </vt:variant>
      <vt:variant>
        <vt:lpwstr>cid:image001.jpg@01CC08A6.565F9600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CAPÍTULO III</dc:title>
  <dc:subject/>
  <dc:creator>mquintanac</dc:creator>
  <cp:keywords/>
  <dc:description/>
  <cp:lastModifiedBy>Brenes Herrera Yamileth</cp:lastModifiedBy>
  <cp:revision>2</cp:revision>
  <cp:lastPrinted>2019-06-19T16:22:00Z</cp:lastPrinted>
  <dcterms:created xsi:type="dcterms:W3CDTF">2024-01-11T14:33:00Z</dcterms:created>
  <dcterms:modified xsi:type="dcterms:W3CDTF">2024-01-11T14:33:00Z</dcterms:modified>
</cp:coreProperties>
</file>