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BE2F" w14:textId="77777777" w:rsidR="00D75736" w:rsidRPr="00D14D2C" w:rsidRDefault="00D75736" w:rsidP="00C66FBC">
      <w:pPr>
        <w:rPr>
          <w:rFonts w:ascii="Verdana" w:hAnsi="Verdana"/>
          <w:b/>
          <w:sz w:val="24"/>
        </w:rPr>
      </w:pPr>
    </w:p>
    <w:p w14:paraId="75F2DB07" w14:textId="77777777" w:rsidR="00FF440E" w:rsidRPr="00D14D2C" w:rsidRDefault="00FF440E" w:rsidP="00D75736">
      <w:pPr>
        <w:pStyle w:val="Portada"/>
        <w:rPr>
          <w:rFonts w:ascii="Verdana" w:hAnsi="Verdana"/>
          <w:sz w:val="32"/>
        </w:rPr>
      </w:pPr>
      <w:r w:rsidRPr="00D14D2C">
        <w:rPr>
          <w:rFonts w:ascii="Verdana" w:hAnsi="Verdana"/>
          <w:sz w:val="32"/>
        </w:rPr>
        <w:t>Compañía Nacional de Fuerza y Luz, S.A.</w:t>
      </w:r>
    </w:p>
    <w:p w14:paraId="00C9801A" w14:textId="77777777" w:rsidR="00D75736" w:rsidRPr="00D14D2C" w:rsidRDefault="00E72C5C" w:rsidP="00D75736">
      <w:pPr>
        <w:pStyle w:val="Portada"/>
        <w:rPr>
          <w:rFonts w:ascii="Verdana" w:hAnsi="Verdana"/>
          <w:b w:val="0"/>
          <w:sz w:val="32"/>
        </w:rPr>
      </w:pPr>
      <w:r>
        <w:rPr>
          <w:rFonts w:ascii="Verdana" w:hAnsi="Verdana"/>
          <w:b w:val="0"/>
          <w:sz w:val="32"/>
          <w:shd w:val="clear" w:color="auto" w:fill="D9D9D9" w:themeFill="background1" w:themeFillShade="D9"/>
        </w:rPr>
        <w:t>Dirección Administración y Finanzas</w:t>
      </w:r>
    </w:p>
    <w:p w14:paraId="4D440FEE" w14:textId="77777777" w:rsidR="00D75736" w:rsidRPr="00D14D2C" w:rsidRDefault="00E72C5C" w:rsidP="00D75736">
      <w:pPr>
        <w:pStyle w:val="Portada"/>
        <w:rPr>
          <w:rFonts w:ascii="Verdana" w:hAnsi="Verdana"/>
          <w:b w:val="0"/>
          <w:sz w:val="32"/>
        </w:rPr>
      </w:pPr>
      <w:r>
        <w:rPr>
          <w:rFonts w:ascii="Verdana" w:hAnsi="Verdana"/>
          <w:b w:val="0"/>
          <w:sz w:val="32"/>
          <w:shd w:val="clear" w:color="auto" w:fill="D9D9D9" w:themeFill="background1" w:themeFillShade="D9"/>
        </w:rPr>
        <w:t>Área Proveeduría Empresarial</w:t>
      </w:r>
    </w:p>
    <w:p w14:paraId="4723F6ED" w14:textId="77777777" w:rsidR="00D75736" w:rsidRPr="00D14D2C" w:rsidRDefault="00D75736" w:rsidP="00D75736">
      <w:pPr>
        <w:pStyle w:val="Portada"/>
        <w:rPr>
          <w:rFonts w:ascii="Verdana" w:hAnsi="Verdana"/>
        </w:rPr>
      </w:pPr>
    </w:p>
    <w:p w14:paraId="49C4C2C1" w14:textId="77777777" w:rsidR="00D75736" w:rsidRPr="00D14D2C" w:rsidRDefault="00D75736" w:rsidP="00D75736">
      <w:pPr>
        <w:pStyle w:val="Portada"/>
        <w:rPr>
          <w:rFonts w:ascii="Verdana" w:hAnsi="Verdana"/>
        </w:rPr>
      </w:pPr>
    </w:p>
    <w:p w14:paraId="1C704C18" w14:textId="77777777" w:rsidR="00D75736" w:rsidRPr="00D14D2C" w:rsidRDefault="00D75736" w:rsidP="00D75736">
      <w:pPr>
        <w:pStyle w:val="Portada"/>
        <w:rPr>
          <w:rFonts w:ascii="Verdana" w:hAnsi="Verdana"/>
        </w:rPr>
      </w:pPr>
    </w:p>
    <w:p w14:paraId="1B23F05D" w14:textId="77777777" w:rsidR="00D75736" w:rsidRPr="00D14D2C" w:rsidRDefault="00D75736" w:rsidP="00D75736">
      <w:pPr>
        <w:pStyle w:val="Portada"/>
        <w:rPr>
          <w:rFonts w:ascii="Verdana" w:hAnsi="Verdana"/>
        </w:rPr>
      </w:pPr>
    </w:p>
    <w:p w14:paraId="4CC8E9BD" w14:textId="77777777" w:rsidR="00D75736" w:rsidRPr="00D14D2C" w:rsidRDefault="00D75736" w:rsidP="00D75736">
      <w:pPr>
        <w:pStyle w:val="Portada"/>
        <w:rPr>
          <w:rFonts w:ascii="Verdana" w:hAnsi="Verdana"/>
        </w:rPr>
      </w:pPr>
    </w:p>
    <w:p w14:paraId="52BBDC37" w14:textId="77777777" w:rsidR="00D75736" w:rsidRPr="00D14D2C" w:rsidRDefault="00D75736" w:rsidP="00D75736">
      <w:pPr>
        <w:pStyle w:val="Portada"/>
        <w:rPr>
          <w:rFonts w:ascii="Verdana" w:hAnsi="Verdana"/>
        </w:rPr>
      </w:pPr>
    </w:p>
    <w:p w14:paraId="0BFBFAAF" w14:textId="77777777" w:rsidR="00D75736" w:rsidRPr="00D14D2C" w:rsidRDefault="00D75736" w:rsidP="00D75736">
      <w:pPr>
        <w:pStyle w:val="Portada"/>
        <w:rPr>
          <w:rFonts w:ascii="Verdana" w:hAnsi="Verdana"/>
        </w:rPr>
      </w:pPr>
    </w:p>
    <w:p w14:paraId="5CCCB0BD" w14:textId="77777777" w:rsidR="00D75736" w:rsidRPr="00D14D2C" w:rsidRDefault="00D75736" w:rsidP="00D75736">
      <w:pPr>
        <w:pStyle w:val="Portada"/>
        <w:rPr>
          <w:rFonts w:ascii="Verdana" w:hAnsi="Verdana"/>
        </w:rPr>
      </w:pPr>
    </w:p>
    <w:p w14:paraId="33A52019" w14:textId="77777777" w:rsidR="00D75736" w:rsidRPr="00D14D2C" w:rsidRDefault="00D75736" w:rsidP="00D75736">
      <w:pPr>
        <w:pStyle w:val="Portada"/>
        <w:rPr>
          <w:rFonts w:ascii="Verdana" w:hAnsi="Verdana"/>
          <w:sz w:val="40"/>
        </w:rPr>
      </w:pPr>
    </w:p>
    <w:p w14:paraId="60CD25F6" w14:textId="082484A4" w:rsidR="00D75736" w:rsidRPr="00B92DE6" w:rsidRDefault="00E72C5C" w:rsidP="00D75736">
      <w:pPr>
        <w:pStyle w:val="Portada"/>
        <w:rPr>
          <w:rFonts w:ascii="Verdana" w:hAnsi="Verdana"/>
        </w:rPr>
      </w:pPr>
      <w:r w:rsidRPr="00B92DE6">
        <w:rPr>
          <w:rFonts w:ascii="Verdana" w:hAnsi="Verdana"/>
          <w:shd w:val="clear" w:color="auto" w:fill="D9D9D9" w:themeFill="background1" w:themeFillShade="D9"/>
        </w:rPr>
        <w:t>Ejecución del Plan Anual de Adquisiciones 2020</w:t>
      </w:r>
    </w:p>
    <w:p w14:paraId="39364820" w14:textId="77777777" w:rsidR="00D75736" w:rsidRPr="00D14D2C" w:rsidRDefault="00D75736" w:rsidP="00D75736">
      <w:pPr>
        <w:jc w:val="left"/>
        <w:rPr>
          <w:rFonts w:ascii="Verdana" w:hAnsi="Verdana"/>
          <w:b/>
          <w:sz w:val="22"/>
        </w:rPr>
      </w:pPr>
    </w:p>
    <w:p w14:paraId="7279D3D5" w14:textId="77777777" w:rsidR="00D75736" w:rsidRPr="00D14D2C" w:rsidRDefault="00D75736" w:rsidP="00D75736">
      <w:pPr>
        <w:jc w:val="left"/>
        <w:rPr>
          <w:rFonts w:ascii="Verdana" w:hAnsi="Verdana"/>
          <w:b/>
        </w:rPr>
      </w:pPr>
    </w:p>
    <w:p w14:paraId="46C074E9" w14:textId="77777777" w:rsidR="00D75736" w:rsidRPr="00D14D2C" w:rsidRDefault="00D75736" w:rsidP="00D75736">
      <w:pPr>
        <w:jc w:val="left"/>
        <w:rPr>
          <w:rFonts w:ascii="Verdana" w:hAnsi="Verdana"/>
          <w:b/>
        </w:rPr>
      </w:pPr>
    </w:p>
    <w:p w14:paraId="6051E316" w14:textId="77777777" w:rsidR="00D75736" w:rsidRPr="00D14D2C" w:rsidRDefault="00D75736" w:rsidP="00D75736">
      <w:pPr>
        <w:jc w:val="left"/>
        <w:rPr>
          <w:rFonts w:ascii="Verdana" w:hAnsi="Verdana"/>
          <w:b/>
        </w:rPr>
      </w:pPr>
    </w:p>
    <w:p w14:paraId="4081B808" w14:textId="77777777" w:rsidR="00FF440E" w:rsidRPr="00D14D2C" w:rsidRDefault="00FF440E" w:rsidP="00D75736">
      <w:pPr>
        <w:jc w:val="left"/>
        <w:rPr>
          <w:rFonts w:ascii="Verdana" w:hAnsi="Verdana"/>
          <w:b/>
        </w:rPr>
      </w:pPr>
    </w:p>
    <w:p w14:paraId="4B7DDA1B" w14:textId="77777777" w:rsidR="00FF440E" w:rsidRPr="00D14D2C" w:rsidRDefault="00FF440E" w:rsidP="00D75736">
      <w:pPr>
        <w:jc w:val="left"/>
        <w:rPr>
          <w:rFonts w:ascii="Verdana" w:hAnsi="Verdana"/>
          <w:b/>
        </w:rPr>
      </w:pPr>
    </w:p>
    <w:p w14:paraId="3625176C" w14:textId="77777777" w:rsidR="00FF440E" w:rsidRPr="00D14D2C" w:rsidRDefault="00FF440E" w:rsidP="00D75736">
      <w:pPr>
        <w:jc w:val="left"/>
        <w:rPr>
          <w:rFonts w:ascii="Verdana" w:hAnsi="Verdana"/>
          <w:b/>
        </w:rPr>
      </w:pPr>
    </w:p>
    <w:p w14:paraId="48006D5D" w14:textId="77777777" w:rsidR="00FF440E" w:rsidRPr="00D14D2C" w:rsidRDefault="00FF440E" w:rsidP="00D75736">
      <w:pPr>
        <w:jc w:val="left"/>
        <w:rPr>
          <w:rFonts w:ascii="Verdana" w:hAnsi="Verdana"/>
          <w:b/>
        </w:rPr>
      </w:pPr>
    </w:p>
    <w:p w14:paraId="53706E89" w14:textId="77777777" w:rsidR="00FF440E" w:rsidRPr="00D14D2C" w:rsidRDefault="00FF440E" w:rsidP="00D75736">
      <w:pPr>
        <w:jc w:val="left"/>
        <w:rPr>
          <w:rFonts w:ascii="Verdana" w:hAnsi="Verdana"/>
          <w:b/>
        </w:rPr>
      </w:pPr>
    </w:p>
    <w:p w14:paraId="1B4D713D" w14:textId="77777777" w:rsidR="00FF440E" w:rsidRPr="00D14D2C" w:rsidRDefault="00FF440E" w:rsidP="00D75736">
      <w:pPr>
        <w:jc w:val="left"/>
        <w:rPr>
          <w:rFonts w:ascii="Verdana" w:hAnsi="Verdana"/>
          <w:b/>
        </w:rPr>
      </w:pPr>
    </w:p>
    <w:p w14:paraId="04FDE11E" w14:textId="77777777" w:rsidR="000C4DBF" w:rsidRPr="00D14D2C" w:rsidRDefault="000C4DBF" w:rsidP="00D75736">
      <w:pPr>
        <w:jc w:val="left"/>
        <w:rPr>
          <w:rFonts w:ascii="Verdana" w:hAnsi="Verdana"/>
          <w:b/>
        </w:rPr>
      </w:pPr>
    </w:p>
    <w:p w14:paraId="1AB1F8F8" w14:textId="77777777" w:rsidR="000C4DBF" w:rsidRPr="00D14D2C" w:rsidRDefault="000C4DBF" w:rsidP="00D75736">
      <w:pPr>
        <w:jc w:val="left"/>
        <w:rPr>
          <w:rFonts w:ascii="Verdana" w:hAnsi="Verdana"/>
          <w:b/>
        </w:rPr>
      </w:pPr>
    </w:p>
    <w:p w14:paraId="38A8F6FE" w14:textId="77777777" w:rsidR="000C4DBF" w:rsidRPr="00D14D2C" w:rsidRDefault="000C4DBF" w:rsidP="00D75736">
      <w:pPr>
        <w:jc w:val="left"/>
        <w:rPr>
          <w:rFonts w:ascii="Verdana" w:hAnsi="Verdana"/>
          <w:b/>
        </w:rPr>
      </w:pPr>
    </w:p>
    <w:p w14:paraId="45185141" w14:textId="77777777" w:rsidR="000C4DBF" w:rsidRPr="00D14D2C" w:rsidRDefault="000C4DBF" w:rsidP="00D75736">
      <w:pPr>
        <w:jc w:val="left"/>
        <w:rPr>
          <w:rFonts w:ascii="Verdana" w:hAnsi="Verdana"/>
          <w:b/>
        </w:rPr>
      </w:pPr>
    </w:p>
    <w:tbl>
      <w:tblPr>
        <w:tblStyle w:val="Tablaconcuadrcula"/>
        <w:tblpPr w:leftFromText="141" w:rightFromText="141" w:vertAnchor="text" w:horzAnchor="margin"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FF440E" w:rsidRPr="00D14D2C" w14:paraId="064284E8" w14:textId="77777777" w:rsidTr="00FF440E">
        <w:tc>
          <w:tcPr>
            <w:tcW w:w="4555" w:type="dxa"/>
          </w:tcPr>
          <w:p w14:paraId="50F2026E" w14:textId="77777777" w:rsidR="00FF440E" w:rsidRPr="00D14D2C" w:rsidRDefault="00FF440E" w:rsidP="00FF440E">
            <w:pPr>
              <w:jc w:val="left"/>
              <w:rPr>
                <w:rFonts w:ascii="Verdana" w:hAnsi="Verdana"/>
                <w:b/>
              </w:rPr>
            </w:pPr>
          </w:p>
        </w:tc>
        <w:tc>
          <w:tcPr>
            <w:tcW w:w="4556" w:type="dxa"/>
            <w:vMerge w:val="restart"/>
            <w:vAlign w:val="center"/>
          </w:tcPr>
          <w:p w14:paraId="6F540B4D" w14:textId="77777777" w:rsidR="00FF440E" w:rsidRPr="00D14D2C" w:rsidRDefault="00FF440E" w:rsidP="00FF440E">
            <w:pPr>
              <w:jc w:val="right"/>
              <w:rPr>
                <w:rFonts w:ascii="Verdana" w:hAnsi="Verdana"/>
                <w:b/>
              </w:rPr>
            </w:pPr>
            <w:r w:rsidRPr="00D14D2C">
              <w:rPr>
                <w:rFonts w:ascii="Verdana" w:hAnsi="Verdana"/>
                <w:noProof/>
                <w:lang w:eastAsia="es-CR"/>
              </w:rPr>
              <w:drawing>
                <wp:anchor distT="0" distB="0" distL="114300" distR="114300" simplePos="0" relativeHeight="251659264" behindDoc="1" locked="0" layoutInCell="1" allowOverlap="1" wp14:anchorId="2B2C5F59" wp14:editId="60529233">
                  <wp:simplePos x="4761865" y="7279005"/>
                  <wp:positionH relativeFrom="margin">
                    <wp:align>right</wp:align>
                  </wp:positionH>
                  <wp:positionV relativeFrom="margin">
                    <wp:align>bottom</wp:align>
                  </wp:positionV>
                  <wp:extent cx="2099310" cy="118046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nf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310" cy="1180465"/>
                          </a:xfrm>
                          <a:prstGeom prst="rect">
                            <a:avLst/>
                          </a:prstGeom>
                        </pic:spPr>
                      </pic:pic>
                    </a:graphicData>
                  </a:graphic>
                </wp:anchor>
              </w:drawing>
            </w:r>
          </w:p>
        </w:tc>
      </w:tr>
      <w:tr w:rsidR="00FF440E" w:rsidRPr="00D14D2C" w14:paraId="02C013D0" w14:textId="77777777" w:rsidTr="00FF440E">
        <w:trPr>
          <w:trHeight w:val="1537"/>
        </w:trPr>
        <w:tc>
          <w:tcPr>
            <w:tcW w:w="4555" w:type="dxa"/>
            <w:vAlign w:val="center"/>
          </w:tcPr>
          <w:p w14:paraId="1038E54A" w14:textId="77777777" w:rsidR="00DA14BD" w:rsidRDefault="00FF440E" w:rsidP="00FF440E">
            <w:pPr>
              <w:rPr>
                <w:rFonts w:ascii="Verdana" w:hAnsi="Verdana"/>
                <w:sz w:val="22"/>
              </w:rPr>
            </w:pPr>
            <w:r w:rsidRPr="00D14D2C">
              <w:rPr>
                <w:rFonts w:ascii="Verdana" w:hAnsi="Verdana"/>
                <w:sz w:val="22"/>
              </w:rPr>
              <w:t xml:space="preserve">Elaborado por:  </w:t>
            </w:r>
          </w:p>
          <w:p w14:paraId="40F17C8B" w14:textId="71C1095E" w:rsidR="00FF440E" w:rsidRPr="00D14D2C" w:rsidRDefault="00B92DE6" w:rsidP="00FF440E">
            <w:pPr>
              <w:rPr>
                <w:rFonts w:ascii="Verdana" w:hAnsi="Verdana"/>
                <w:sz w:val="22"/>
              </w:rPr>
            </w:pPr>
            <w:r>
              <w:rPr>
                <w:rFonts w:ascii="Verdana" w:hAnsi="Verdana"/>
                <w:sz w:val="22"/>
                <w:shd w:val="clear" w:color="auto" w:fill="D9D9D9" w:themeFill="background1" w:themeFillShade="D9"/>
              </w:rPr>
              <w:t>Dunia Valverde Esquivel</w:t>
            </w:r>
          </w:p>
          <w:p w14:paraId="159151EA" w14:textId="77777777" w:rsidR="00DA14BD" w:rsidRDefault="008E4B1A" w:rsidP="00DA14BD">
            <w:pPr>
              <w:jc w:val="left"/>
              <w:rPr>
                <w:rFonts w:ascii="Verdana" w:hAnsi="Verdana"/>
                <w:sz w:val="22"/>
              </w:rPr>
            </w:pPr>
            <w:r w:rsidRPr="00D14D2C">
              <w:rPr>
                <w:rFonts w:ascii="Verdana" w:hAnsi="Verdana"/>
                <w:sz w:val="22"/>
              </w:rPr>
              <w:t>202</w:t>
            </w:r>
            <w:r w:rsidR="00DA14BD">
              <w:rPr>
                <w:rFonts w:ascii="Verdana" w:hAnsi="Verdana"/>
                <w:sz w:val="22"/>
              </w:rPr>
              <w:t>1</w:t>
            </w:r>
            <w:r w:rsidRPr="00D14D2C">
              <w:rPr>
                <w:rFonts w:ascii="Verdana" w:hAnsi="Verdana"/>
                <w:sz w:val="22"/>
              </w:rPr>
              <w:t>-</w:t>
            </w:r>
            <w:r w:rsidR="00DA14BD">
              <w:rPr>
                <w:rFonts w:ascii="Verdana" w:hAnsi="Verdana"/>
                <w:sz w:val="22"/>
              </w:rPr>
              <w:t>02</w:t>
            </w:r>
            <w:r w:rsidRPr="00D14D2C">
              <w:rPr>
                <w:rFonts w:ascii="Verdana" w:hAnsi="Verdana"/>
                <w:sz w:val="22"/>
              </w:rPr>
              <w:t>-</w:t>
            </w:r>
            <w:r w:rsidR="00DA14BD">
              <w:rPr>
                <w:rFonts w:ascii="Verdana" w:hAnsi="Verdana"/>
                <w:sz w:val="22"/>
              </w:rPr>
              <w:t>23</w:t>
            </w:r>
          </w:p>
          <w:p w14:paraId="55FB8D13" w14:textId="41300A64" w:rsidR="00D866A0" w:rsidRDefault="00D866A0" w:rsidP="00DA14BD">
            <w:pPr>
              <w:jc w:val="left"/>
              <w:rPr>
                <w:rFonts w:ascii="Verdana" w:hAnsi="Verdana"/>
                <w:sz w:val="22"/>
              </w:rPr>
            </w:pPr>
            <w:r w:rsidRPr="00D866A0">
              <w:rPr>
                <w:rFonts w:ascii="Verdana" w:hAnsi="Verdana"/>
                <w:sz w:val="22"/>
              </w:rPr>
              <w:t>3250-83-2021</w:t>
            </w:r>
          </w:p>
          <w:p w14:paraId="19F8D1D5" w14:textId="03002DBE" w:rsidR="00DA14BD" w:rsidRPr="00DA14BD" w:rsidRDefault="009B38C5" w:rsidP="00DA14BD">
            <w:pPr>
              <w:jc w:val="left"/>
              <w:rPr>
                <w:rFonts w:ascii="Verdana" w:hAnsi="Verdana"/>
                <w:sz w:val="22"/>
              </w:rPr>
            </w:pPr>
            <w:r w:rsidRPr="00D14D2C">
              <w:rPr>
                <w:rFonts w:ascii="Verdana" w:hAnsi="Verdana"/>
                <w:sz w:val="22"/>
              </w:rPr>
              <w:t xml:space="preserve">         </w:t>
            </w:r>
          </w:p>
          <w:p w14:paraId="0B43A62F" w14:textId="56B8F26B" w:rsidR="00FF440E" w:rsidRPr="00D14D2C" w:rsidRDefault="00FF440E" w:rsidP="00DA14BD">
            <w:pPr>
              <w:jc w:val="left"/>
              <w:rPr>
                <w:rFonts w:ascii="Verdana" w:hAnsi="Verdana"/>
                <w:b/>
                <w:sz w:val="22"/>
              </w:rPr>
            </w:pPr>
          </w:p>
        </w:tc>
        <w:tc>
          <w:tcPr>
            <w:tcW w:w="4556" w:type="dxa"/>
            <w:vMerge/>
          </w:tcPr>
          <w:p w14:paraId="3D4B09B4" w14:textId="77777777" w:rsidR="00FF440E" w:rsidRPr="00D14D2C" w:rsidRDefault="00FF440E" w:rsidP="00FF440E">
            <w:pPr>
              <w:jc w:val="left"/>
              <w:rPr>
                <w:rFonts w:ascii="Verdana" w:hAnsi="Verdana"/>
                <w:b/>
              </w:rPr>
            </w:pPr>
          </w:p>
        </w:tc>
      </w:tr>
      <w:tr w:rsidR="00FF440E" w:rsidRPr="00D14D2C" w14:paraId="70E667CA" w14:textId="77777777" w:rsidTr="00FF440E">
        <w:tc>
          <w:tcPr>
            <w:tcW w:w="4555" w:type="dxa"/>
          </w:tcPr>
          <w:p w14:paraId="1DC4C8BD" w14:textId="77777777" w:rsidR="00FF440E" w:rsidRPr="00D14D2C" w:rsidRDefault="00FF440E" w:rsidP="00FF440E">
            <w:pPr>
              <w:jc w:val="left"/>
              <w:rPr>
                <w:rFonts w:ascii="Verdana" w:hAnsi="Verdana"/>
                <w:b/>
              </w:rPr>
            </w:pPr>
          </w:p>
        </w:tc>
        <w:tc>
          <w:tcPr>
            <w:tcW w:w="4556" w:type="dxa"/>
            <w:vMerge/>
          </w:tcPr>
          <w:p w14:paraId="2155BAA7" w14:textId="77777777" w:rsidR="00FF440E" w:rsidRPr="00D14D2C" w:rsidRDefault="00FF440E" w:rsidP="00FF440E">
            <w:pPr>
              <w:jc w:val="left"/>
              <w:rPr>
                <w:rFonts w:ascii="Verdana" w:hAnsi="Verdana"/>
                <w:b/>
              </w:rPr>
            </w:pPr>
          </w:p>
        </w:tc>
      </w:tr>
    </w:tbl>
    <w:p w14:paraId="5228A964" w14:textId="77777777" w:rsidR="00FF440E" w:rsidRPr="00D14D2C" w:rsidRDefault="00FF440E" w:rsidP="00D75736">
      <w:pPr>
        <w:jc w:val="left"/>
        <w:rPr>
          <w:rFonts w:ascii="Verdana" w:hAnsi="Verdana"/>
          <w:b/>
        </w:rPr>
      </w:pPr>
    </w:p>
    <w:p w14:paraId="7CF748A7" w14:textId="77777777" w:rsidR="00FF440E" w:rsidRDefault="00FF440E" w:rsidP="00D75736">
      <w:pPr>
        <w:jc w:val="left"/>
        <w:rPr>
          <w:rFonts w:ascii="Verdana" w:hAnsi="Verdana"/>
          <w:b/>
        </w:rPr>
      </w:pPr>
    </w:p>
    <w:p w14:paraId="35AB1B04" w14:textId="77777777" w:rsidR="000D791B" w:rsidRDefault="000D791B" w:rsidP="00D75736">
      <w:pPr>
        <w:jc w:val="left"/>
        <w:rPr>
          <w:rFonts w:ascii="Verdana" w:hAnsi="Verdana"/>
          <w:b/>
        </w:rPr>
      </w:pPr>
    </w:p>
    <w:p w14:paraId="0038351C" w14:textId="77777777" w:rsidR="000D791B" w:rsidRDefault="000D791B" w:rsidP="00D75736">
      <w:pPr>
        <w:jc w:val="left"/>
        <w:rPr>
          <w:rFonts w:ascii="Verdana" w:hAnsi="Verdana"/>
          <w:b/>
        </w:rPr>
      </w:pPr>
    </w:p>
    <w:p w14:paraId="075A1FAF" w14:textId="77777777" w:rsidR="000D791B" w:rsidRDefault="000D791B" w:rsidP="00D75736">
      <w:pPr>
        <w:jc w:val="left"/>
        <w:rPr>
          <w:rFonts w:ascii="Verdana" w:hAnsi="Verdana"/>
          <w:b/>
        </w:rPr>
      </w:pPr>
    </w:p>
    <w:p w14:paraId="277E2C02" w14:textId="77777777" w:rsidR="000D791B" w:rsidRDefault="000D791B" w:rsidP="00D75736">
      <w:pPr>
        <w:jc w:val="left"/>
        <w:rPr>
          <w:rFonts w:ascii="Verdana" w:hAnsi="Verdana"/>
          <w:b/>
        </w:rPr>
      </w:pPr>
    </w:p>
    <w:p w14:paraId="2E6B09C2" w14:textId="77777777" w:rsidR="000D791B" w:rsidRDefault="000D791B" w:rsidP="00D75736">
      <w:pPr>
        <w:jc w:val="left"/>
        <w:rPr>
          <w:rFonts w:ascii="Verdana" w:hAnsi="Verdana"/>
          <w:b/>
        </w:rPr>
      </w:pPr>
    </w:p>
    <w:p w14:paraId="5B62152E" w14:textId="77777777" w:rsidR="000D791B" w:rsidRDefault="000D791B" w:rsidP="00D75736">
      <w:pPr>
        <w:jc w:val="left"/>
        <w:rPr>
          <w:rFonts w:ascii="Verdana" w:hAnsi="Verdana"/>
          <w:b/>
        </w:rPr>
      </w:pPr>
    </w:p>
    <w:p w14:paraId="5CD362A8" w14:textId="77777777" w:rsidR="000D791B" w:rsidRDefault="000D791B" w:rsidP="00D75736">
      <w:pPr>
        <w:jc w:val="left"/>
        <w:rPr>
          <w:rFonts w:ascii="Verdana" w:hAnsi="Verdana"/>
          <w:b/>
        </w:rPr>
      </w:pPr>
    </w:p>
    <w:p w14:paraId="347CC091" w14:textId="77777777" w:rsidR="000D791B" w:rsidRDefault="000D791B" w:rsidP="00D75736">
      <w:pPr>
        <w:jc w:val="left"/>
        <w:rPr>
          <w:rFonts w:ascii="Verdana" w:hAnsi="Verdana"/>
          <w:b/>
        </w:rPr>
      </w:pPr>
    </w:p>
    <w:p w14:paraId="30F445FB" w14:textId="77777777" w:rsidR="000D791B" w:rsidRDefault="000D791B" w:rsidP="00D75736">
      <w:pPr>
        <w:jc w:val="left"/>
        <w:rPr>
          <w:rFonts w:ascii="Verdana" w:hAnsi="Verdana"/>
          <w:b/>
        </w:rPr>
      </w:pPr>
    </w:p>
    <w:p w14:paraId="262D76B7" w14:textId="77777777" w:rsidR="000D791B" w:rsidRPr="00F937E5" w:rsidRDefault="000D791B" w:rsidP="00D75736">
      <w:pPr>
        <w:jc w:val="left"/>
        <w:rPr>
          <w:rFonts w:ascii="Verdana" w:hAnsi="Verdana"/>
          <w:b/>
        </w:rPr>
      </w:pPr>
    </w:p>
    <w:sdt>
      <w:sdtPr>
        <w:rPr>
          <w:rFonts w:ascii="Verdana" w:eastAsiaTheme="minorHAnsi" w:hAnsi="Verdana" w:cstheme="minorBidi"/>
          <w:b w:val="0"/>
          <w:color w:val="auto"/>
          <w:sz w:val="20"/>
          <w:szCs w:val="20"/>
          <w:lang w:val="es-ES" w:eastAsia="en-US"/>
        </w:rPr>
        <w:id w:val="-1448621947"/>
        <w:docPartObj>
          <w:docPartGallery w:val="Table of Contents"/>
          <w:docPartUnique/>
        </w:docPartObj>
      </w:sdtPr>
      <w:sdtEndPr>
        <w:rPr>
          <w:bCs/>
        </w:rPr>
      </w:sdtEndPr>
      <w:sdtContent>
        <w:p w14:paraId="39301DBA" w14:textId="77777777" w:rsidR="00E22A93" w:rsidRPr="00E24307" w:rsidRDefault="00E51C5A" w:rsidP="00CF6341">
          <w:pPr>
            <w:pStyle w:val="TtuloTDC"/>
            <w:rPr>
              <w:rFonts w:ascii="Verdana" w:hAnsi="Verdana"/>
              <w:sz w:val="20"/>
              <w:szCs w:val="20"/>
              <w:lang w:val="es-ES"/>
            </w:rPr>
          </w:pPr>
          <w:r w:rsidRPr="00E24307">
            <w:rPr>
              <w:rFonts w:ascii="Verdana" w:hAnsi="Verdana"/>
              <w:sz w:val="20"/>
              <w:szCs w:val="20"/>
              <w:lang w:val="es-ES"/>
            </w:rPr>
            <w:t xml:space="preserve">Índice o Tabla de </w:t>
          </w:r>
          <w:r w:rsidR="001B4D50" w:rsidRPr="00E24307">
            <w:rPr>
              <w:rFonts w:ascii="Verdana" w:hAnsi="Verdana"/>
              <w:sz w:val="20"/>
              <w:szCs w:val="20"/>
              <w:lang w:val="es-ES"/>
            </w:rPr>
            <w:t>c</w:t>
          </w:r>
          <w:r w:rsidRPr="00E24307">
            <w:rPr>
              <w:rFonts w:ascii="Verdana" w:hAnsi="Verdana"/>
              <w:sz w:val="20"/>
              <w:szCs w:val="20"/>
              <w:lang w:val="es-ES"/>
            </w:rPr>
            <w:t>ontenido</w:t>
          </w:r>
        </w:p>
        <w:p w14:paraId="05F13AD8" w14:textId="77777777" w:rsidR="00E51C5A" w:rsidRPr="00E24307" w:rsidRDefault="00E51C5A" w:rsidP="00E51C5A">
          <w:pPr>
            <w:rPr>
              <w:rFonts w:ascii="Verdana" w:hAnsi="Verdana"/>
              <w:lang w:val="es-ES" w:eastAsia="es-CR"/>
            </w:rPr>
          </w:pPr>
        </w:p>
        <w:p w14:paraId="35D86F5C" w14:textId="77777777" w:rsidR="00E51C5A" w:rsidRPr="00E24307" w:rsidRDefault="00E51C5A" w:rsidP="00E51C5A">
          <w:pPr>
            <w:rPr>
              <w:rFonts w:ascii="Verdana" w:hAnsi="Verdana"/>
              <w:lang w:val="es-ES" w:eastAsia="es-CR"/>
            </w:rPr>
          </w:pPr>
        </w:p>
        <w:p w14:paraId="4B34EB2C" w14:textId="77777777" w:rsidR="00E51C5A" w:rsidRPr="00E24307" w:rsidRDefault="00E51C5A" w:rsidP="00E51C5A">
          <w:pPr>
            <w:rPr>
              <w:rFonts w:ascii="Verdana" w:hAnsi="Verdana"/>
              <w:lang w:val="es-ES" w:eastAsia="es-CR"/>
            </w:rPr>
          </w:pPr>
        </w:p>
        <w:p w14:paraId="482ECD27" w14:textId="77777777" w:rsidR="00E51C5A" w:rsidRPr="00E24307" w:rsidRDefault="00E51C5A" w:rsidP="00E51C5A">
          <w:pPr>
            <w:rPr>
              <w:rFonts w:ascii="Verdana" w:hAnsi="Verdana"/>
              <w:lang w:val="es-ES" w:eastAsia="es-CR"/>
            </w:rPr>
          </w:pPr>
        </w:p>
        <w:p w14:paraId="32DE3502" w14:textId="06E6FD34" w:rsidR="006B6F34" w:rsidRDefault="00E22A93">
          <w:pPr>
            <w:pStyle w:val="TDC1"/>
            <w:tabs>
              <w:tab w:val="left" w:pos="660"/>
              <w:tab w:val="right" w:leader="dot" w:pos="9111"/>
            </w:tabs>
            <w:rPr>
              <w:rFonts w:eastAsiaTheme="minorEastAsia"/>
              <w:noProof/>
              <w:sz w:val="22"/>
              <w:szCs w:val="22"/>
              <w:lang w:eastAsia="es-CR"/>
            </w:rPr>
          </w:pPr>
          <w:r w:rsidRPr="00E24307">
            <w:rPr>
              <w:rFonts w:ascii="Verdana" w:hAnsi="Verdana"/>
              <w:b/>
              <w:bCs/>
              <w:lang w:val="es-ES"/>
            </w:rPr>
            <w:fldChar w:fldCharType="begin"/>
          </w:r>
          <w:r w:rsidRPr="00E24307">
            <w:rPr>
              <w:rFonts w:ascii="Verdana" w:hAnsi="Verdana"/>
              <w:b/>
              <w:bCs/>
              <w:lang w:val="es-ES"/>
            </w:rPr>
            <w:instrText xml:space="preserve"> TOC \o "1-3" \h \z \u </w:instrText>
          </w:r>
          <w:r w:rsidRPr="00E24307">
            <w:rPr>
              <w:rFonts w:ascii="Verdana" w:hAnsi="Verdana"/>
              <w:b/>
              <w:bCs/>
              <w:lang w:val="es-ES"/>
            </w:rPr>
            <w:fldChar w:fldCharType="separate"/>
          </w:r>
          <w:hyperlink w:anchor="_Toc79157943" w:history="1">
            <w:r w:rsidR="006B6F34" w:rsidRPr="00AD3924">
              <w:rPr>
                <w:rStyle w:val="Hipervnculo"/>
                <w:rFonts w:ascii="Verdana" w:hAnsi="Verdana"/>
                <w:noProof/>
              </w:rPr>
              <w:t>1.</w:t>
            </w:r>
            <w:r w:rsidR="006B6F34">
              <w:rPr>
                <w:rFonts w:eastAsiaTheme="minorEastAsia"/>
                <w:noProof/>
                <w:sz w:val="22"/>
                <w:szCs w:val="22"/>
                <w:lang w:eastAsia="es-CR"/>
              </w:rPr>
              <w:tab/>
            </w:r>
            <w:r w:rsidR="006B6F34" w:rsidRPr="00AD3924">
              <w:rPr>
                <w:rStyle w:val="Hipervnculo"/>
                <w:rFonts w:ascii="Verdana" w:hAnsi="Verdana"/>
                <w:noProof/>
              </w:rPr>
              <w:t>Programa de adquisiciones 2020</w:t>
            </w:r>
            <w:r w:rsidR="006B6F34">
              <w:rPr>
                <w:noProof/>
                <w:webHidden/>
              </w:rPr>
              <w:tab/>
            </w:r>
            <w:r w:rsidR="006B6F34">
              <w:rPr>
                <w:noProof/>
                <w:webHidden/>
              </w:rPr>
              <w:fldChar w:fldCharType="begin"/>
            </w:r>
            <w:r w:rsidR="006B6F34">
              <w:rPr>
                <w:noProof/>
                <w:webHidden/>
              </w:rPr>
              <w:instrText xml:space="preserve"> PAGEREF _Toc79157943 \h </w:instrText>
            </w:r>
            <w:r w:rsidR="006B6F34">
              <w:rPr>
                <w:noProof/>
                <w:webHidden/>
              </w:rPr>
            </w:r>
            <w:r w:rsidR="006B6F34">
              <w:rPr>
                <w:noProof/>
                <w:webHidden/>
              </w:rPr>
              <w:fldChar w:fldCharType="separate"/>
            </w:r>
            <w:r w:rsidR="006B6F34">
              <w:rPr>
                <w:noProof/>
                <w:webHidden/>
              </w:rPr>
              <w:t>3</w:t>
            </w:r>
            <w:r w:rsidR="006B6F34">
              <w:rPr>
                <w:noProof/>
                <w:webHidden/>
              </w:rPr>
              <w:fldChar w:fldCharType="end"/>
            </w:r>
          </w:hyperlink>
        </w:p>
        <w:p w14:paraId="11A46A44" w14:textId="451EB609" w:rsidR="006B6F34" w:rsidRDefault="00781F33">
          <w:pPr>
            <w:pStyle w:val="TDC2"/>
            <w:tabs>
              <w:tab w:val="left" w:pos="880"/>
              <w:tab w:val="right" w:leader="dot" w:pos="9111"/>
            </w:tabs>
            <w:rPr>
              <w:rFonts w:eastAsiaTheme="minorEastAsia"/>
              <w:noProof/>
              <w:sz w:val="22"/>
              <w:szCs w:val="22"/>
              <w:lang w:eastAsia="es-CR"/>
            </w:rPr>
          </w:pPr>
          <w:hyperlink w:anchor="_Toc79157944" w:history="1">
            <w:r w:rsidR="006B6F34" w:rsidRPr="00AD3924">
              <w:rPr>
                <w:rStyle w:val="Hipervnculo"/>
                <w:rFonts w:ascii="Verdana" w:hAnsi="Verdana"/>
                <w:noProof/>
              </w:rPr>
              <w:t>1.1.</w:t>
            </w:r>
            <w:r w:rsidR="006B6F34">
              <w:rPr>
                <w:rFonts w:eastAsiaTheme="minorEastAsia"/>
                <w:noProof/>
                <w:sz w:val="22"/>
                <w:szCs w:val="22"/>
                <w:lang w:eastAsia="es-CR"/>
              </w:rPr>
              <w:tab/>
            </w:r>
            <w:r w:rsidR="006B6F34" w:rsidRPr="00AD3924">
              <w:rPr>
                <w:rStyle w:val="Hipervnculo"/>
                <w:rFonts w:ascii="Verdana" w:hAnsi="Verdana"/>
                <w:noProof/>
              </w:rPr>
              <w:t>Programa original</w:t>
            </w:r>
            <w:r w:rsidR="006B6F34">
              <w:rPr>
                <w:noProof/>
                <w:webHidden/>
              </w:rPr>
              <w:tab/>
            </w:r>
            <w:r w:rsidR="006B6F34">
              <w:rPr>
                <w:noProof/>
                <w:webHidden/>
              </w:rPr>
              <w:fldChar w:fldCharType="begin"/>
            </w:r>
            <w:r w:rsidR="006B6F34">
              <w:rPr>
                <w:noProof/>
                <w:webHidden/>
              </w:rPr>
              <w:instrText xml:space="preserve"> PAGEREF _Toc79157944 \h </w:instrText>
            </w:r>
            <w:r w:rsidR="006B6F34">
              <w:rPr>
                <w:noProof/>
                <w:webHidden/>
              </w:rPr>
            </w:r>
            <w:r w:rsidR="006B6F34">
              <w:rPr>
                <w:noProof/>
                <w:webHidden/>
              </w:rPr>
              <w:fldChar w:fldCharType="separate"/>
            </w:r>
            <w:r w:rsidR="006B6F34">
              <w:rPr>
                <w:noProof/>
                <w:webHidden/>
              </w:rPr>
              <w:t>3</w:t>
            </w:r>
            <w:r w:rsidR="006B6F34">
              <w:rPr>
                <w:noProof/>
                <w:webHidden/>
              </w:rPr>
              <w:fldChar w:fldCharType="end"/>
            </w:r>
          </w:hyperlink>
        </w:p>
        <w:p w14:paraId="6B8D72B1" w14:textId="5977BED6" w:rsidR="006B6F34" w:rsidRDefault="00781F33">
          <w:pPr>
            <w:pStyle w:val="TDC2"/>
            <w:tabs>
              <w:tab w:val="left" w:pos="880"/>
              <w:tab w:val="right" w:leader="dot" w:pos="9111"/>
            </w:tabs>
            <w:rPr>
              <w:rFonts w:eastAsiaTheme="minorEastAsia"/>
              <w:noProof/>
              <w:sz w:val="22"/>
              <w:szCs w:val="22"/>
              <w:lang w:eastAsia="es-CR"/>
            </w:rPr>
          </w:pPr>
          <w:hyperlink w:anchor="_Toc79157945" w:history="1">
            <w:r w:rsidR="006B6F34" w:rsidRPr="00AD3924">
              <w:rPr>
                <w:rStyle w:val="Hipervnculo"/>
                <w:rFonts w:ascii="Verdana" w:hAnsi="Verdana"/>
                <w:noProof/>
              </w:rPr>
              <w:t>1.2.</w:t>
            </w:r>
            <w:r w:rsidR="006B6F34">
              <w:rPr>
                <w:rFonts w:eastAsiaTheme="minorEastAsia"/>
                <w:noProof/>
                <w:sz w:val="22"/>
                <w:szCs w:val="22"/>
                <w:lang w:eastAsia="es-CR"/>
              </w:rPr>
              <w:tab/>
            </w:r>
            <w:r w:rsidR="006B6F34" w:rsidRPr="00AD3924">
              <w:rPr>
                <w:rStyle w:val="Hipervnculo"/>
                <w:rFonts w:ascii="Verdana" w:hAnsi="Verdana"/>
                <w:noProof/>
              </w:rPr>
              <w:t>Inclusiones al programa de adquisiciones</w:t>
            </w:r>
            <w:r w:rsidR="006B6F34">
              <w:rPr>
                <w:noProof/>
                <w:webHidden/>
              </w:rPr>
              <w:tab/>
            </w:r>
            <w:r w:rsidR="006B6F34">
              <w:rPr>
                <w:noProof/>
                <w:webHidden/>
              </w:rPr>
              <w:fldChar w:fldCharType="begin"/>
            </w:r>
            <w:r w:rsidR="006B6F34">
              <w:rPr>
                <w:noProof/>
                <w:webHidden/>
              </w:rPr>
              <w:instrText xml:space="preserve"> PAGEREF _Toc79157945 \h </w:instrText>
            </w:r>
            <w:r w:rsidR="006B6F34">
              <w:rPr>
                <w:noProof/>
                <w:webHidden/>
              </w:rPr>
            </w:r>
            <w:r w:rsidR="006B6F34">
              <w:rPr>
                <w:noProof/>
                <w:webHidden/>
              </w:rPr>
              <w:fldChar w:fldCharType="separate"/>
            </w:r>
            <w:r w:rsidR="006B6F34">
              <w:rPr>
                <w:noProof/>
                <w:webHidden/>
              </w:rPr>
              <w:t>4</w:t>
            </w:r>
            <w:r w:rsidR="006B6F34">
              <w:rPr>
                <w:noProof/>
                <w:webHidden/>
              </w:rPr>
              <w:fldChar w:fldCharType="end"/>
            </w:r>
          </w:hyperlink>
        </w:p>
        <w:p w14:paraId="2C75CEC9" w14:textId="7B9D3FC3" w:rsidR="006B6F34" w:rsidRDefault="00781F33">
          <w:pPr>
            <w:pStyle w:val="TDC2"/>
            <w:tabs>
              <w:tab w:val="left" w:pos="880"/>
              <w:tab w:val="right" w:leader="dot" w:pos="9111"/>
            </w:tabs>
            <w:rPr>
              <w:rFonts w:eastAsiaTheme="minorEastAsia"/>
              <w:noProof/>
              <w:sz w:val="22"/>
              <w:szCs w:val="22"/>
              <w:lang w:eastAsia="es-CR"/>
            </w:rPr>
          </w:pPr>
          <w:hyperlink w:anchor="_Toc79157946" w:history="1">
            <w:r w:rsidR="006B6F34" w:rsidRPr="00AD3924">
              <w:rPr>
                <w:rStyle w:val="Hipervnculo"/>
                <w:rFonts w:ascii="Verdana" w:hAnsi="Verdana"/>
                <w:noProof/>
              </w:rPr>
              <w:t>1.3.</w:t>
            </w:r>
            <w:r w:rsidR="006B6F34">
              <w:rPr>
                <w:rFonts w:eastAsiaTheme="minorEastAsia"/>
                <w:noProof/>
                <w:sz w:val="22"/>
                <w:szCs w:val="22"/>
                <w:lang w:eastAsia="es-CR"/>
              </w:rPr>
              <w:tab/>
            </w:r>
            <w:r w:rsidR="006B6F34" w:rsidRPr="00AD3924">
              <w:rPr>
                <w:rStyle w:val="Hipervnculo"/>
                <w:rFonts w:ascii="Verdana" w:hAnsi="Verdana"/>
                <w:noProof/>
              </w:rPr>
              <w:t>Exclusiones al programa de adquisiciones</w:t>
            </w:r>
            <w:r w:rsidR="006B6F34">
              <w:rPr>
                <w:noProof/>
                <w:webHidden/>
              </w:rPr>
              <w:tab/>
            </w:r>
            <w:r w:rsidR="006B6F34">
              <w:rPr>
                <w:noProof/>
                <w:webHidden/>
              </w:rPr>
              <w:fldChar w:fldCharType="begin"/>
            </w:r>
            <w:r w:rsidR="006B6F34">
              <w:rPr>
                <w:noProof/>
                <w:webHidden/>
              </w:rPr>
              <w:instrText xml:space="preserve"> PAGEREF _Toc79157946 \h </w:instrText>
            </w:r>
            <w:r w:rsidR="006B6F34">
              <w:rPr>
                <w:noProof/>
                <w:webHidden/>
              </w:rPr>
            </w:r>
            <w:r w:rsidR="006B6F34">
              <w:rPr>
                <w:noProof/>
                <w:webHidden/>
              </w:rPr>
              <w:fldChar w:fldCharType="separate"/>
            </w:r>
            <w:r w:rsidR="006B6F34">
              <w:rPr>
                <w:noProof/>
                <w:webHidden/>
              </w:rPr>
              <w:t>4</w:t>
            </w:r>
            <w:r w:rsidR="006B6F34">
              <w:rPr>
                <w:noProof/>
                <w:webHidden/>
              </w:rPr>
              <w:fldChar w:fldCharType="end"/>
            </w:r>
          </w:hyperlink>
        </w:p>
        <w:p w14:paraId="3E8AD0CF" w14:textId="3F91107A" w:rsidR="006B6F34" w:rsidRDefault="00781F33">
          <w:pPr>
            <w:pStyle w:val="TDC2"/>
            <w:tabs>
              <w:tab w:val="left" w:pos="880"/>
              <w:tab w:val="right" w:leader="dot" w:pos="9111"/>
            </w:tabs>
            <w:rPr>
              <w:rFonts w:eastAsiaTheme="minorEastAsia"/>
              <w:noProof/>
              <w:sz w:val="22"/>
              <w:szCs w:val="22"/>
              <w:lang w:eastAsia="es-CR"/>
            </w:rPr>
          </w:pPr>
          <w:hyperlink w:anchor="_Toc79157947" w:history="1">
            <w:r w:rsidR="006B6F34" w:rsidRPr="00AD3924">
              <w:rPr>
                <w:rStyle w:val="Hipervnculo"/>
                <w:rFonts w:ascii="Verdana" w:hAnsi="Verdana"/>
                <w:noProof/>
              </w:rPr>
              <w:t>1.4.</w:t>
            </w:r>
            <w:r w:rsidR="006B6F34">
              <w:rPr>
                <w:rFonts w:eastAsiaTheme="minorEastAsia"/>
                <w:noProof/>
                <w:sz w:val="22"/>
                <w:szCs w:val="22"/>
                <w:lang w:eastAsia="es-CR"/>
              </w:rPr>
              <w:tab/>
            </w:r>
            <w:r w:rsidR="006B6F34" w:rsidRPr="00AD3924">
              <w:rPr>
                <w:rStyle w:val="Hipervnculo"/>
                <w:rFonts w:ascii="Verdana" w:hAnsi="Verdana"/>
                <w:noProof/>
              </w:rPr>
              <w:t>Plan final diciembre 2020</w:t>
            </w:r>
            <w:r w:rsidR="006B6F34">
              <w:rPr>
                <w:noProof/>
                <w:webHidden/>
              </w:rPr>
              <w:tab/>
            </w:r>
            <w:r w:rsidR="006B6F34">
              <w:rPr>
                <w:noProof/>
                <w:webHidden/>
              </w:rPr>
              <w:fldChar w:fldCharType="begin"/>
            </w:r>
            <w:r w:rsidR="006B6F34">
              <w:rPr>
                <w:noProof/>
                <w:webHidden/>
              </w:rPr>
              <w:instrText xml:space="preserve"> PAGEREF _Toc79157947 \h </w:instrText>
            </w:r>
            <w:r w:rsidR="006B6F34">
              <w:rPr>
                <w:noProof/>
                <w:webHidden/>
              </w:rPr>
            </w:r>
            <w:r w:rsidR="006B6F34">
              <w:rPr>
                <w:noProof/>
                <w:webHidden/>
              </w:rPr>
              <w:fldChar w:fldCharType="separate"/>
            </w:r>
            <w:r w:rsidR="006B6F34">
              <w:rPr>
                <w:noProof/>
                <w:webHidden/>
              </w:rPr>
              <w:t>4</w:t>
            </w:r>
            <w:r w:rsidR="006B6F34">
              <w:rPr>
                <w:noProof/>
                <w:webHidden/>
              </w:rPr>
              <w:fldChar w:fldCharType="end"/>
            </w:r>
          </w:hyperlink>
        </w:p>
        <w:p w14:paraId="6E795C3B" w14:textId="37D59730" w:rsidR="006B6F34" w:rsidRDefault="00781F33">
          <w:pPr>
            <w:pStyle w:val="TDC1"/>
            <w:tabs>
              <w:tab w:val="left" w:pos="660"/>
              <w:tab w:val="right" w:leader="dot" w:pos="9111"/>
            </w:tabs>
            <w:rPr>
              <w:rFonts w:eastAsiaTheme="minorEastAsia"/>
              <w:noProof/>
              <w:sz w:val="22"/>
              <w:szCs w:val="22"/>
              <w:lang w:eastAsia="es-CR"/>
            </w:rPr>
          </w:pPr>
          <w:hyperlink w:anchor="_Toc79157948" w:history="1">
            <w:r w:rsidR="006B6F34" w:rsidRPr="00AD3924">
              <w:rPr>
                <w:rStyle w:val="Hipervnculo"/>
                <w:rFonts w:ascii="Verdana" w:hAnsi="Verdana"/>
                <w:noProof/>
              </w:rPr>
              <w:t>2.</w:t>
            </w:r>
            <w:r w:rsidR="006B6F34">
              <w:rPr>
                <w:rFonts w:eastAsiaTheme="minorEastAsia"/>
                <w:noProof/>
                <w:sz w:val="22"/>
                <w:szCs w:val="22"/>
                <w:lang w:eastAsia="es-CR"/>
              </w:rPr>
              <w:tab/>
            </w:r>
            <w:r w:rsidR="006B6F34" w:rsidRPr="00AD3924">
              <w:rPr>
                <w:rStyle w:val="Hipervnculo"/>
                <w:rFonts w:ascii="Verdana" w:hAnsi="Verdana"/>
                <w:noProof/>
              </w:rPr>
              <w:t>Ejecución del Programa</w:t>
            </w:r>
            <w:r w:rsidR="006B6F34">
              <w:rPr>
                <w:noProof/>
                <w:webHidden/>
              </w:rPr>
              <w:tab/>
            </w:r>
            <w:r w:rsidR="006B6F34">
              <w:rPr>
                <w:noProof/>
                <w:webHidden/>
              </w:rPr>
              <w:fldChar w:fldCharType="begin"/>
            </w:r>
            <w:r w:rsidR="006B6F34">
              <w:rPr>
                <w:noProof/>
                <w:webHidden/>
              </w:rPr>
              <w:instrText xml:space="preserve"> PAGEREF _Toc79157948 \h </w:instrText>
            </w:r>
            <w:r w:rsidR="006B6F34">
              <w:rPr>
                <w:noProof/>
                <w:webHidden/>
              </w:rPr>
            </w:r>
            <w:r w:rsidR="006B6F34">
              <w:rPr>
                <w:noProof/>
                <w:webHidden/>
              </w:rPr>
              <w:fldChar w:fldCharType="separate"/>
            </w:r>
            <w:r w:rsidR="006B6F34">
              <w:rPr>
                <w:noProof/>
                <w:webHidden/>
              </w:rPr>
              <w:t>6</w:t>
            </w:r>
            <w:r w:rsidR="006B6F34">
              <w:rPr>
                <w:noProof/>
                <w:webHidden/>
              </w:rPr>
              <w:fldChar w:fldCharType="end"/>
            </w:r>
          </w:hyperlink>
        </w:p>
        <w:p w14:paraId="40D424C4" w14:textId="6B11DF2B" w:rsidR="006B6F34" w:rsidRDefault="00781F33">
          <w:pPr>
            <w:pStyle w:val="TDC2"/>
            <w:tabs>
              <w:tab w:val="left" w:pos="880"/>
              <w:tab w:val="right" w:leader="dot" w:pos="9111"/>
            </w:tabs>
            <w:rPr>
              <w:rFonts w:eastAsiaTheme="minorEastAsia"/>
              <w:noProof/>
              <w:sz w:val="22"/>
              <w:szCs w:val="22"/>
              <w:lang w:eastAsia="es-CR"/>
            </w:rPr>
          </w:pPr>
          <w:hyperlink w:anchor="_Toc79157949" w:history="1">
            <w:r w:rsidR="006B6F34" w:rsidRPr="00AD3924">
              <w:rPr>
                <w:rStyle w:val="Hipervnculo"/>
                <w:rFonts w:ascii="Verdana" w:hAnsi="Verdana"/>
                <w:noProof/>
              </w:rPr>
              <w:t>2.1</w:t>
            </w:r>
            <w:r w:rsidR="006B6F34">
              <w:rPr>
                <w:rFonts w:eastAsiaTheme="minorEastAsia"/>
                <w:noProof/>
                <w:sz w:val="22"/>
                <w:szCs w:val="22"/>
                <w:lang w:eastAsia="es-CR"/>
              </w:rPr>
              <w:tab/>
            </w:r>
            <w:r w:rsidR="006B6F34" w:rsidRPr="00AD3924">
              <w:rPr>
                <w:rStyle w:val="Hipervnculo"/>
                <w:rFonts w:ascii="Verdana" w:hAnsi="Verdana"/>
                <w:noProof/>
              </w:rPr>
              <w:t>Concursos de Adquisición publicados en el Plan</w:t>
            </w:r>
            <w:r w:rsidR="006B6F34">
              <w:rPr>
                <w:noProof/>
                <w:webHidden/>
              </w:rPr>
              <w:tab/>
            </w:r>
            <w:r w:rsidR="006B6F34">
              <w:rPr>
                <w:noProof/>
                <w:webHidden/>
              </w:rPr>
              <w:fldChar w:fldCharType="begin"/>
            </w:r>
            <w:r w:rsidR="006B6F34">
              <w:rPr>
                <w:noProof/>
                <w:webHidden/>
              </w:rPr>
              <w:instrText xml:space="preserve"> PAGEREF _Toc79157949 \h </w:instrText>
            </w:r>
            <w:r w:rsidR="006B6F34">
              <w:rPr>
                <w:noProof/>
                <w:webHidden/>
              </w:rPr>
            </w:r>
            <w:r w:rsidR="006B6F34">
              <w:rPr>
                <w:noProof/>
                <w:webHidden/>
              </w:rPr>
              <w:fldChar w:fldCharType="separate"/>
            </w:r>
            <w:r w:rsidR="006B6F34">
              <w:rPr>
                <w:noProof/>
                <w:webHidden/>
              </w:rPr>
              <w:t>6</w:t>
            </w:r>
            <w:r w:rsidR="006B6F34">
              <w:rPr>
                <w:noProof/>
                <w:webHidden/>
              </w:rPr>
              <w:fldChar w:fldCharType="end"/>
            </w:r>
          </w:hyperlink>
        </w:p>
        <w:p w14:paraId="25934B3F" w14:textId="3E957104" w:rsidR="006B6F34" w:rsidRDefault="00781F33">
          <w:pPr>
            <w:pStyle w:val="TDC2"/>
            <w:tabs>
              <w:tab w:val="left" w:pos="880"/>
              <w:tab w:val="right" w:leader="dot" w:pos="9111"/>
            </w:tabs>
            <w:rPr>
              <w:rFonts w:eastAsiaTheme="minorEastAsia"/>
              <w:noProof/>
              <w:sz w:val="22"/>
              <w:szCs w:val="22"/>
              <w:lang w:eastAsia="es-CR"/>
            </w:rPr>
          </w:pPr>
          <w:hyperlink w:anchor="_Toc79157950" w:history="1">
            <w:r w:rsidR="006B6F34" w:rsidRPr="00AD3924">
              <w:rPr>
                <w:rStyle w:val="Hipervnculo"/>
                <w:rFonts w:ascii="Verdana" w:hAnsi="Verdana"/>
                <w:noProof/>
              </w:rPr>
              <w:t>2.2</w:t>
            </w:r>
            <w:r w:rsidR="006B6F34">
              <w:rPr>
                <w:rFonts w:eastAsiaTheme="minorEastAsia"/>
                <w:noProof/>
                <w:sz w:val="22"/>
                <w:szCs w:val="22"/>
                <w:lang w:eastAsia="es-CR"/>
              </w:rPr>
              <w:tab/>
            </w:r>
            <w:r w:rsidR="006B6F34" w:rsidRPr="00AD3924">
              <w:rPr>
                <w:rStyle w:val="Hipervnculo"/>
                <w:rFonts w:ascii="Verdana" w:hAnsi="Verdana"/>
                <w:noProof/>
              </w:rPr>
              <w:t>Concursos iniciados</w:t>
            </w:r>
            <w:r w:rsidR="006B6F34">
              <w:rPr>
                <w:noProof/>
                <w:webHidden/>
              </w:rPr>
              <w:tab/>
            </w:r>
            <w:r w:rsidR="006B6F34">
              <w:rPr>
                <w:noProof/>
                <w:webHidden/>
              </w:rPr>
              <w:fldChar w:fldCharType="begin"/>
            </w:r>
            <w:r w:rsidR="006B6F34">
              <w:rPr>
                <w:noProof/>
                <w:webHidden/>
              </w:rPr>
              <w:instrText xml:space="preserve"> PAGEREF _Toc79157950 \h </w:instrText>
            </w:r>
            <w:r w:rsidR="006B6F34">
              <w:rPr>
                <w:noProof/>
                <w:webHidden/>
              </w:rPr>
            </w:r>
            <w:r w:rsidR="006B6F34">
              <w:rPr>
                <w:noProof/>
                <w:webHidden/>
              </w:rPr>
              <w:fldChar w:fldCharType="separate"/>
            </w:r>
            <w:r w:rsidR="006B6F34">
              <w:rPr>
                <w:noProof/>
                <w:webHidden/>
              </w:rPr>
              <w:t>7</w:t>
            </w:r>
            <w:r w:rsidR="006B6F34">
              <w:rPr>
                <w:noProof/>
                <w:webHidden/>
              </w:rPr>
              <w:fldChar w:fldCharType="end"/>
            </w:r>
          </w:hyperlink>
        </w:p>
        <w:p w14:paraId="1EBA73C6" w14:textId="0A5FFF1C" w:rsidR="006B6F34" w:rsidRDefault="00781F33">
          <w:pPr>
            <w:pStyle w:val="TDC2"/>
            <w:tabs>
              <w:tab w:val="left" w:pos="880"/>
              <w:tab w:val="right" w:leader="dot" w:pos="9111"/>
            </w:tabs>
            <w:rPr>
              <w:rFonts w:eastAsiaTheme="minorEastAsia"/>
              <w:noProof/>
              <w:sz w:val="22"/>
              <w:szCs w:val="22"/>
              <w:lang w:eastAsia="es-CR"/>
            </w:rPr>
          </w:pPr>
          <w:hyperlink w:anchor="_Toc79157951" w:history="1">
            <w:r w:rsidR="006B6F34" w:rsidRPr="00AD3924">
              <w:rPr>
                <w:rStyle w:val="Hipervnculo"/>
                <w:rFonts w:ascii="Verdana" w:hAnsi="Verdana" w:cs="Arial"/>
                <w:bCs/>
                <w:noProof/>
              </w:rPr>
              <w:t>2.3</w:t>
            </w:r>
            <w:r w:rsidR="006B6F34">
              <w:rPr>
                <w:rFonts w:eastAsiaTheme="minorEastAsia"/>
                <w:noProof/>
                <w:sz w:val="22"/>
                <w:szCs w:val="22"/>
                <w:lang w:eastAsia="es-CR"/>
              </w:rPr>
              <w:tab/>
            </w:r>
            <w:r w:rsidR="006B6F34" w:rsidRPr="00AD3924">
              <w:rPr>
                <w:rStyle w:val="Hipervnculo"/>
                <w:rFonts w:ascii="Verdana" w:hAnsi="Verdana"/>
                <w:noProof/>
              </w:rPr>
              <w:t>Estado de los concursos de adquisición al cierre de año</w:t>
            </w:r>
            <w:r w:rsidR="006B6F34">
              <w:rPr>
                <w:noProof/>
                <w:webHidden/>
              </w:rPr>
              <w:tab/>
            </w:r>
            <w:r w:rsidR="006B6F34">
              <w:rPr>
                <w:noProof/>
                <w:webHidden/>
              </w:rPr>
              <w:fldChar w:fldCharType="begin"/>
            </w:r>
            <w:r w:rsidR="006B6F34">
              <w:rPr>
                <w:noProof/>
                <w:webHidden/>
              </w:rPr>
              <w:instrText xml:space="preserve"> PAGEREF _Toc79157951 \h </w:instrText>
            </w:r>
            <w:r w:rsidR="006B6F34">
              <w:rPr>
                <w:noProof/>
                <w:webHidden/>
              </w:rPr>
            </w:r>
            <w:r w:rsidR="006B6F34">
              <w:rPr>
                <w:noProof/>
                <w:webHidden/>
              </w:rPr>
              <w:fldChar w:fldCharType="separate"/>
            </w:r>
            <w:r w:rsidR="006B6F34">
              <w:rPr>
                <w:noProof/>
                <w:webHidden/>
              </w:rPr>
              <w:t>7</w:t>
            </w:r>
            <w:r w:rsidR="006B6F34">
              <w:rPr>
                <w:noProof/>
                <w:webHidden/>
              </w:rPr>
              <w:fldChar w:fldCharType="end"/>
            </w:r>
          </w:hyperlink>
        </w:p>
        <w:p w14:paraId="71F83C22" w14:textId="46D36826" w:rsidR="006B6F34" w:rsidRDefault="00781F33">
          <w:pPr>
            <w:pStyle w:val="TDC2"/>
            <w:tabs>
              <w:tab w:val="left" w:pos="880"/>
              <w:tab w:val="right" w:leader="dot" w:pos="9111"/>
            </w:tabs>
            <w:rPr>
              <w:rFonts w:eastAsiaTheme="minorEastAsia"/>
              <w:noProof/>
              <w:sz w:val="22"/>
              <w:szCs w:val="22"/>
              <w:lang w:eastAsia="es-CR"/>
            </w:rPr>
          </w:pPr>
          <w:hyperlink w:anchor="_Toc79157952" w:history="1">
            <w:r w:rsidR="006B6F34" w:rsidRPr="00AD3924">
              <w:rPr>
                <w:rStyle w:val="Hipervnculo"/>
                <w:rFonts w:ascii="Verdana" w:hAnsi="Verdana"/>
                <w:noProof/>
              </w:rPr>
              <w:t>2.4</w:t>
            </w:r>
            <w:r w:rsidR="006B6F34">
              <w:rPr>
                <w:rFonts w:eastAsiaTheme="minorEastAsia"/>
                <w:noProof/>
                <w:sz w:val="22"/>
                <w:szCs w:val="22"/>
                <w:lang w:eastAsia="es-CR"/>
              </w:rPr>
              <w:tab/>
            </w:r>
            <w:r w:rsidR="006B6F34" w:rsidRPr="00AD3924">
              <w:rPr>
                <w:rStyle w:val="Hipervnculo"/>
                <w:rFonts w:ascii="Verdana" w:hAnsi="Verdana"/>
                <w:noProof/>
              </w:rPr>
              <w:t>Concursos infructuosos, desiertos o anulados</w:t>
            </w:r>
            <w:r w:rsidR="006B6F34">
              <w:rPr>
                <w:noProof/>
                <w:webHidden/>
              </w:rPr>
              <w:tab/>
            </w:r>
            <w:r w:rsidR="006B6F34">
              <w:rPr>
                <w:noProof/>
                <w:webHidden/>
              </w:rPr>
              <w:fldChar w:fldCharType="begin"/>
            </w:r>
            <w:r w:rsidR="006B6F34">
              <w:rPr>
                <w:noProof/>
                <w:webHidden/>
              </w:rPr>
              <w:instrText xml:space="preserve"> PAGEREF _Toc79157952 \h </w:instrText>
            </w:r>
            <w:r w:rsidR="006B6F34">
              <w:rPr>
                <w:noProof/>
                <w:webHidden/>
              </w:rPr>
            </w:r>
            <w:r w:rsidR="006B6F34">
              <w:rPr>
                <w:noProof/>
                <w:webHidden/>
              </w:rPr>
              <w:fldChar w:fldCharType="separate"/>
            </w:r>
            <w:r w:rsidR="006B6F34">
              <w:rPr>
                <w:noProof/>
                <w:webHidden/>
              </w:rPr>
              <w:t>8</w:t>
            </w:r>
            <w:r w:rsidR="006B6F34">
              <w:rPr>
                <w:noProof/>
                <w:webHidden/>
              </w:rPr>
              <w:fldChar w:fldCharType="end"/>
            </w:r>
          </w:hyperlink>
        </w:p>
        <w:p w14:paraId="5B27CFF2" w14:textId="08B5FC2E" w:rsidR="006B6F34" w:rsidRDefault="00781F33">
          <w:pPr>
            <w:pStyle w:val="TDC2"/>
            <w:tabs>
              <w:tab w:val="left" w:pos="880"/>
              <w:tab w:val="right" w:leader="dot" w:pos="9111"/>
            </w:tabs>
            <w:rPr>
              <w:rFonts w:eastAsiaTheme="minorEastAsia"/>
              <w:noProof/>
              <w:sz w:val="22"/>
              <w:szCs w:val="22"/>
              <w:lang w:eastAsia="es-CR"/>
            </w:rPr>
          </w:pPr>
          <w:hyperlink w:anchor="_Toc79157953" w:history="1">
            <w:r w:rsidR="006B6F34" w:rsidRPr="00AD3924">
              <w:rPr>
                <w:rStyle w:val="Hipervnculo"/>
                <w:rFonts w:ascii="Verdana" w:hAnsi="Verdana"/>
                <w:noProof/>
              </w:rPr>
              <w:t>2.5</w:t>
            </w:r>
            <w:r w:rsidR="006B6F34">
              <w:rPr>
                <w:rFonts w:eastAsiaTheme="minorEastAsia"/>
                <w:noProof/>
                <w:sz w:val="22"/>
                <w:szCs w:val="22"/>
                <w:lang w:eastAsia="es-CR"/>
              </w:rPr>
              <w:tab/>
            </w:r>
            <w:r w:rsidR="006B6F34" w:rsidRPr="00AD3924">
              <w:rPr>
                <w:rStyle w:val="Hipervnculo"/>
                <w:rFonts w:ascii="Verdana" w:hAnsi="Verdana"/>
                <w:noProof/>
              </w:rPr>
              <w:t>Duración de los procedimientos de contratación mediante concursos de adquisición.</w:t>
            </w:r>
            <w:r w:rsidR="006B6F34">
              <w:rPr>
                <w:noProof/>
                <w:webHidden/>
              </w:rPr>
              <w:tab/>
            </w:r>
            <w:r w:rsidR="006B6F34">
              <w:rPr>
                <w:noProof/>
                <w:webHidden/>
              </w:rPr>
              <w:fldChar w:fldCharType="begin"/>
            </w:r>
            <w:r w:rsidR="006B6F34">
              <w:rPr>
                <w:noProof/>
                <w:webHidden/>
              </w:rPr>
              <w:instrText xml:space="preserve"> PAGEREF _Toc79157953 \h </w:instrText>
            </w:r>
            <w:r w:rsidR="006B6F34">
              <w:rPr>
                <w:noProof/>
                <w:webHidden/>
              </w:rPr>
            </w:r>
            <w:r w:rsidR="006B6F34">
              <w:rPr>
                <w:noProof/>
                <w:webHidden/>
              </w:rPr>
              <w:fldChar w:fldCharType="separate"/>
            </w:r>
            <w:r w:rsidR="006B6F34">
              <w:rPr>
                <w:noProof/>
                <w:webHidden/>
              </w:rPr>
              <w:t>8</w:t>
            </w:r>
            <w:r w:rsidR="006B6F34">
              <w:rPr>
                <w:noProof/>
                <w:webHidden/>
              </w:rPr>
              <w:fldChar w:fldCharType="end"/>
            </w:r>
          </w:hyperlink>
        </w:p>
        <w:p w14:paraId="216170D3" w14:textId="574BC3F0" w:rsidR="006B6F34" w:rsidRDefault="00781F33">
          <w:pPr>
            <w:pStyle w:val="TDC1"/>
            <w:tabs>
              <w:tab w:val="left" w:pos="660"/>
              <w:tab w:val="right" w:leader="dot" w:pos="9111"/>
            </w:tabs>
            <w:rPr>
              <w:rFonts w:eastAsiaTheme="minorEastAsia"/>
              <w:noProof/>
              <w:sz w:val="22"/>
              <w:szCs w:val="22"/>
              <w:lang w:eastAsia="es-CR"/>
            </w:rPr>
          </w:pPr>
          <w:hyperlink w:anchor="_Toc79157954" w:history="1">
            <w:r w:rsidR="006B6F34" w:rsidRPr="00AD3924">
              <w:rPr>
                <w:rStyle w:val="Hipervnculo"/>
                <w:rFonts w:ascii="Verdana" w:hAnsi="Verdana" w:cs="Arial"/>
                <w:bCs/>
                <w:noProof/>
              </w:rPr>
              <w:t>3.</w:t>
            </w:r>
            <w:r w:rsidR="006B6F34">
              <w:rPr>
                <w:rFonts w:eastAsiaTheme="minorEastAsia"/>
                <w:noProof/>
                <w:sz w:val="22"/>
                <w:szCs w:val="22"/>
                <w:lang w:eastAsia="es-CR"/>
              </w:rPr>
              <w:tab/>
            </w:r>
            <w:r w:rsidR="006B6F34" w:rsidRPr="00AD3924">
              <w:rPr>
                <w:rStyle w:val="Hipervnculo"/>
                <w:rFonts w:ascii="Verdana" w:hAnsi="Verdana"/>
                <w:noProof/>
              </w:rPr>
              <w:t>Contrataciones por procedimiento de escasa cuantía.</w:t>
            </w:r>
            <w:r w:rsidR="006B6F34">
              <w:rPr>
                <w:noProof/>
                <w:webHidden/>
              </w:rPr>
              <w:tab/>
            </w:r>
            <w:r w:rsidR="006B6F34">
              <w:rPr>
                <w:noProof/>
                <w:webHidden/>
              </w:rPr>
              <w:fldChar w:fldCharType="begin"/>
            </w:r>
            <w:r w:rsidR="006B6F34">
              <w:rPr>
                <w:noProof/>
                <w:webHidden/>
              </w:rPr>
              <w:instrText xml:space="preserve"> PAGEREF _Toc79157954 \h </w:instrText>
            </w:r>
            <w:r w:rsidR="006B6F34">
              <w:rPr>
                <w:noProof/>
                <w:webHidden/>
              </w:rPr>
            </w:r>
            <w:r w:rsidR="006B6F34">
              <w:rPr>
                <w:noProof/>
                <w:webHidden/>
              </w:rPr>
              <w:fldChar w:fldCharType="separate"/>
            </w:r>
            <w:r w:rsidR="006B6F34">
              <w:rPr>
                <w:noProof/>
                <w:webHidden/>
              </w:rPr>
              <w:t>10</w:t>
            </w:r>
            <w:r w:rsidR="006B6F34">
              <w:rPr>
                <w:noProof/>
                <w:webHidden/>
              </w:rPr>
              <w:fldChar w:fldCharType="end"/>
            </w:r>
          </w:hyperlink>
        </w:p>
        <w:p w14:paraId="54B7155B" w14:textId="3232166F" w:rsidR="00E22A93" w:rsidRPr="00F937E5" w:rsidRDefault="00E22A93">
          <w:pPr>
            <w:rPr>
              <w:rFonts w:ascii="Verdana" w:hAnsi="Verdana"/>
            </w:rPr>
          </w:pPr>
          <w:r w:rsidRPr="00E24307">
            <w:rPr>
              <w:rFonts w:ascii="Verdana" w:hAnsi="Verdana"/>
              <w:b/>
              <w:bCs/>
              <w:lang w:val="es-ES"/>
            </w:rPr>
            <w:fldChar w:fldCharType="end"/>
          </w:r>
        </w:p>
      </w:sdtContent>
    </w:sdt>
    <w:p w14:paraId="0EBB325B" w14:textId="77777777" w:rsidR="00940E5D" w:rsidRPr="00F937E5" w:rsidRDefault="00940E5D" w:rsidP="00FC230E">
      <w:pPr>
        <w:rPr>
          <w:rFonts w:ascii="Verdana" w:hAnsi="Verdana"/>
        </w:rPr>
      </w:pPr>
    </w:p>
    <w:p w14:paraId="3E878EEC" w14:textId="77777777" w:rsidR="005E05AD" w:rsidRPr="00F937E5" w:rsidRDefault="005E05AD" w:rsidP="00FC230E">
      <w:pPr>
        <w:rPr>
          <w:rFonts w:ascii="Verdana" w:hAnsi="Verdana"/>
        </w:rPr>
      </w:pPr>
    </w:p>
    <w:p w14:paraId="7182C09C" w14:textId="77777777" w:rsidR="005E05AD" w:rsidRPr="00F937E5" w:rsidRDefault="005E05AD" w:rsidP="00FC230E">
      <w:pPr>
        <w:rPr>
          <w:rFonts w:ascii="Verdana" w:hAnsi="Verdana"/>
        </w:rPr>
      </w:pPr>
    </w:p>
    <w:p w14:paraId="40240873" w14:textId="77777777" w:rsidR="00E22A93" w:rsidRPr="00F937E5" w:rsidRDefault="00E22A93" w:rsidP="00895CD8">
      <w:pPr>
        <w:jc w:val="center"/>
        <w:rPr>
          <w:rFonts w:ascii="Verdana" w:hAnsi="Verdana"/>
        </w:rPr>
      </w:pPr>
    </w:p>
    <w:p w14:paraId="4164ED48" w14:textId="77777777" w:rsidR="00E22A93" w:rsidRPr="00F937E5" w:rsidRDefault="00E22A93" w:rsidP="00FC230E">
      <w:pPr>
        <w:rPr>
          <w:rFonts w:ascii="Verdana" w:hAnsi="Verdana"/>
        </w:rPr>
      </w:pPr>
    </w:p>
    <w:p w14:paraId="57EFC443" w14:textId="77777777" w:rsidR="00E22A93" w:rsidRPr="00F937E5" w:rsidRDefault="00E22A93" w:rsidP="00FC230E">
      <w:pPr>
        <w:rPr>
          <w:rFonts w:ascii="Verdana" w:hAnsi="Verdana"/>
        </w:rPr>
      </w:pPr>
    </w:p>
    <w:p w14:paraId="244927C4" w14:textId="77777777" w:rsidR="00E22A93" w:rsidRPr="00F937E5" w:rsidRDefault="00E22A93" w:rsidP="00FC230E">
      <w:pPr>
        <w:rPr>
          <w:rFonts w:ascii="Verdana" w:hAnsi="Verdana"/>
        </w:rPr>
      </w:pPr>
    </w:p>
    <w:p w14:paraId="2587537C" w14:textId="77777777" w:rsidR="00E22A93" w:rsidRPr="00F937E5" w:rsidRDefault="00E22A93" w:rsidP="00FC230E">
      <w:pPr>
        <w:rPr>
          <w:rFonts w:ascii="Verdana" w:hAnsi="Verdana"/>
        </w:rPr>
      </w:pPr>
    </w:p>
    <w:p w14:paraId="539A8840" w14:textId="77777777" w:rsidR="00E22A93" w:rsidRPr="00F937E5" w:rsidRDefault="00E22A93" w:rsidP="00FC230E">
      <w:pPr>
        <w:rPr>
          <w:rFonts w:ascii="Verdana" w:hAnsi="Verdana"/>
        </w:rPr>
      </w:pPr>
    </w:p>
    <w:p w14:paraId="6A69CEAC" w14:textId="77777777" w:rsidR="00E22A93" w:rsidRPr="00F937E5" w:rsidRDefault="00E22A93" w:rsidP="00FC230E">
      <w:pPr>
        <w:rPr>
          <w:rFonts w:ascii="Verdana" w:hAnsi="Verdana"/>
        </w:rPr>
      </w:pPr>
    </w:p>
    <w:p w14:paraId="782A8B00" w14:textId="77777777" w:rsidR="00E22A93" w:rsidRPr="00F937E5" w:rsidRDefault="00E22A93" w:rsidP="00FC230E">
      <w:pPr>
        <w:rPr>
          <w:rFonts w:ascii="Verdana" w:hAnsi="Verdana"/>
        </w:rPr>
      </w:pPr>
    </w:p>
    <w:p w14:paraId="13237C22" w14:textId="77777777" w:rsidR="00E51C5A" w:rsidRPr="00F937E5" w:rsidRDefault="00E51C5A">
      <w:pPr>
        <w:spacing w:after="200" w:line="276" w:lineRule="auto"/>
        <w:jc w:val="left"/>
        <w:rPr>
          <w:rFonts w:ascii="Verdana" w:hAnsi="Verdana"/>
        </w:rPr>
      </w:pPr>
      <w:r w:rsidRPr="00F937E5">
        <w:rPr>
          <w:rFonts w:ascii="Verdana" w:hAnsi="Verdana"/>
        </w:rPr>
        <w:br w:type="page"/>
      </w:r>
    </w:p>
    <w:p w14:paraId="535DE504" w14:textId="77777777" w:rsidR="00E72C5C" w:rsidRDefault="00E72C5C" w:rsidP="00E72C5C">
      <w:pPr>
        <w:rPr>
          <w:rFonts w:ascii="Verdana" w:hAnsi="Verdana" w:cs="Arial"/>
          <w:bCs/>
        </w:rPr>
      </w:pPr>
    </w:p>
    <w:p w14:paraId="1F043044" w14:textId="0E36C7C0" w:rsidR="00E72C5C" w:rsidRPr="00DA14BD" w:rsidRDefault="00DA14BD" w:rsidP="00DA14BD">
      <w:pPr>
        <w:jc w:val="center"/>
        <w:rPr>
          <w:rFonts w:ascii="Verdana" w:hAnsi="Verdana" w:cs="Arial"/>
          <w:bCs/>
          <w:sz w:val="28"/>
          <w:szCs w:val="28"/>
        </w:rPr>
      </w:pPr>
      <w:r w:rsidRPr="00DA14BD">
        <w:rPr>
          <w:rFonts w:ascii="Verdana" w:hAnsi="Verdana" w:cs="Arial"/>
          <w:bCs/>
          <w:sz w:val="28"/>
          <w:szCs w:val="28"/>
        </w:rPr>
        <w:t>Ejecución del Plan de Adquisiciones 2020</w:t>
      </w:r>
    </w:p>
    <w:p w14:paraId="7EBC5D2B" w14:textId="77777777" w:rsidR="00E72C5C" w:rsidRDefault="00E72C5C" w:rsidP="00E72C5C">
      <w:pPr>
        <w:rPr>
          <w:rFonts w:ascii="Verdana" w:hAnsi="Verdana" w:cs="Arial"/>
          <w:bCs/>
        </w:rPr>
      </w:pPr>
    </w:p>
    <w:p w14:paraId="45AFF208" w14:textId="77777777" w:rsidR="00E72C5C" w:rsidRDefault="00E72C5C" w:rsidP="00E72C5C">
      <w:pPr>
        <w:rPr>
          <w:rFonts w:ascii="Verdana" w:hAnsi="Verdana" w:cs="Arial"/>
          <w:bCs/>
        </w:rPr>
      </w:pPr>
    </w:p>
    <w:p w14:paraId="313F3F06" w14:textId="77777777" w:rsidR="00E72C5C" w:rsidRPr="005E13A6" w:rsidRDefault="00E72C5C" w:rsidP="00E72C5C">
      <w:pPr>
        <w:rPr>
          <w:rFonts w:ascii="Verdana" w:hAnsi="Verdana" w:cs="Arial"/>
          <w:bCs/>
        </w:rPr>
      </w:pPr>
      <w:r w:rsidRPr="005E13A6">
        <w:rPr>
          <w:rFonts w:ascii="Verdana" w:hAnsi="Verdana" w:cs="Arial"/>
          <w:bCs/>
        </w:rPr>
        <w:t>De acuerdo al Reglamento para los procesos de contratación de las empresas del Instituto Costarricense de Electricidad en su artículo 10º inciso 1), es responsabilidad de esta Proveeduría: Integrar y mantener actualizado el Programa de Adquisiciones que deberá divulgarse en la página en donde se publican las adquisiciones de las empresas del Grupo ICE. Adicionalmente, al final de cada período presupuestario realizará una evaluación de la gestión de adquisición de bienes, obras y servicios.</w:t>
      </w:r>
    </w:p>
    <w:p w14:paraId="62619647" w14:textId="77777777" w:rsidR="00E72C5C" w:rsidRPr="005E13A6" w:rsidRDefault="00E72C5C" w:rsidP="00E72C5C">
      <w:pPr>
        <w:rPr>
          <w:rFonts w:ascii="Verdana" w:hAnsi="Verdana" w:cs="Arial"/>
          <w:bCs/>
        </w:rPr>
      </w:pPr>
    </w:p>
    <w:p w14:paraId="54CF1E79" w14:textId="77777777" w:rsidR="00E72C5C" w:rsidRPr="005E13A6" w:rsidRDefault="00E72C5C" w:rsidP="00E72C5C">
      <w:pPr>
        <w:rPr>
          <w:rFonts w:ascii="Verdana" w:hAnsi="Verdana" w:cs="Arial"/>
          <w:bCs/>
        </w:rPr>
      </w:pPr>
      <w:r w:rsidRPr="005E13A6">
        <w:rPr>
          <w:rFonts w:ascii="Verdana" w:hAnsi="Verdana" w:cs="Arial"/>
          <w:bCs/>
        </w:rPr>
        <w:t>En el presente informe se presenta el detalle del comportamiento y la ejecución del Programa de Adquisiciones en forma global, así como por dependencia.</w:t>
      </w:r>
    </w:p>
    <w:p w14:paraId="28D0EB63" w14:textId="77777777" w:rsidR="00E72C5C" w:rsidRPr="005E13A6" w:rsidRDefault="00E72C5C" w:rsidP="00E72C5C">
      <w:pPr>
        <w:rPr>
          <w:rFonts w:ascii="Verdana" w:hAnsi="Verdana" w:cs="Arial"/>
          <w:bCs/>
        </w:rPr>
      </w:pPr>
    </w:p>
    <w:p w14:paraId="71E3103A" w14:textId="77777777" w:rsidR="00E72C5C" w:rsidRPr="00E24307" w:rsidRDefault="00E72C5C" w:rsidP="00E72C5C">
      <w:pPr>
        <w:rPr>
          <w:rFonts w:ascii="Verdana" w:eastAsia="Times New Roman" w:hAnsi="Verdana" w:cs="Arial"/>
          <w:lang w:val="es-ES" w:eastAsia="es-ES"/>
        </w:rPr>
      </w:pPr>
    </w:p>
    <w:p w14:paraId="2EF2640D" w14:textId="0D64D805" w:rsidR="00E72C5C" w:rsidRPr="00E24307" w:rsidRDefault="00E72C5C" w:rsidP="00DA14BD">
      <w:pPr>
        <w:pStyle w:val="Ttulo1"/>
        <w:numPr>
          <w:ilvl w:val="0"/>
          <w:numId w:val="11"/>
        </w:numPr>
        <w:rPr>
          <w:rFonts w:ascii="Verdana" w:eastAsiaTheme="minorHAnsi" w:hAnsi="Verdana"/>
        </w:rPr>
      </w:pPr>
      <w:bookmarkStart w:id="0" w:name="_Toc79157943"/>
      <w:r w:rsidRPr="00E24307">
        <w:rPr>
          <w:rFonts w:ascii="Verdana" w:eastAsiaTheme="minorHAnsi" w:hAnsi="Verdana"/>
        </w:rPr>
        <w:t>P</w:t>
      </w:r>
      <w:r w:rsidR="00DB0662" w:rsidRPr="00E24307">
        <w:rPr>
          <w:rFonts w:ascii="Verdana" w:eastAsiaTheme="minorHAnsi" w:hAnsi="Verdana"/>
        </w:rPr>
        <w:t>rograma de adquisiciones</w:t>
      </w:r>
      <w:r w:rsidRPr="00E24307">
        <w:rPr>
          <w:rFonts w:ascii="Verdana" w:eastAsiaTheme="minorHAnsi" w:hAnsi="Verdana"/>
        </w:rPr>
        <w:t xml:space="preserve"> 2020</w:t>
      </w:r>
      <w:bookmarkEnd w:id="0"/>
    </w:p>
    <w:p w14:paraId="23F51E9E" w14:textId="77777777" w:rsidR="00E72C5C" w:rsidRPr="00E24307" w:rsidRDefault="00E72C5C" w:rsidP="00E72C5C">
      <w:pPr>
        <w:pStyle w:val="Prrafodelista"/>
        <w:ind w:left="284"/>
        <w:rPr>
          <w:rFonts w:ascii="Verdana" w:hAnsi="Verdana" w:cs="Arial"/>
          <w:b/>
          <w:bCs/>
          <w:sz w:val="22"/>
          <w:szCs w:val="22"/>
        </w:rPr>
      </w:pPr>
    </w:p>
    <w:p w14:paraId="0DA4495A" w14:textId="77777777" w:rsidR="00E72C5C" w:rsidRPr="00E24307" w:rsidRDefault="00E72C5C" w:rsidP="00E72C5C">
      <w:pPr>
        <w:rPr>
          <w:rFonts w:ascii="Verdana" w:hAnsi="Verdana"/>
        </w:rPr>
      </w:pPr>
      <w:r w:rsidRPr="00E24307">
        <w:rPr>
          <w:rFonts w:ascii="Verdana" w:hAnsi="Verdana" w:cs="Arial"/>
          <w:bCs/>
        </w:rPr>
        <w:t xml:space="preserve">El programa de adquisiciones 2020 se encuentra divulgado en la página </w:t>
      </w:r>
      <w:hyperlink r:id="rId9" w:anchor="plan-anual-adquisiciones" w:history="1">
        <w:r w:rsidRPr="00E24307">
          <w:rPr>
            <w:rStyle w:val="Hipervnculo"/>
            <w:rFonts w:ascii="Verdana" w:hAnsi="Verdana"/>
          </w:rPr>
          <w:t>https://www.cnfl.go.cr/transparencia-empresarial/compras-y-contrataciones#plan-anual-adquisiciones</w:t>
        </w:r>
      </w:hyperlink>
      <w:r w:rsidRPr="00E24307">
        <w:rPr>
          <w:rFonts w:ascii="Verdana" w:hAnsi="Verdana" w:cs="Arial"/>
          <w:bCs/>
        </w:rPr>
        <w:t xml:space="preserve">. </w:t>
      </w:r>
    </w:p>
    <w:p w14:paraId="729EACC7" w14:textId="77777777" w:rsidR="00E72C5C" w:rsidRPr="00E24307" w:rsidRDefault="00E72C5C" w:rsidP="00E72C5C">
      <w:pPr>
        <w:rPr>
          <w:rFonts w:ascii="Verdana" w:hAnsi="Verdana"/>
          <w:b/>
        </w:rPr>
      </w:pPr>
    </w:p>
    <w:p w14:paraId="4C573924" w14:textId="77777777" w:rsidR="00E72C5C" w:rsidRPr="00E24307" w:rsidRDefault="00E72C5C" w:rsidP="00E72C5C">
      <w:pPr>
        <w:rPr>
          <w:rFonts w:ascii="Verdana" w:hAnsi="Verdana"/>
          <w:b/>
        </w:rPr>
      </w:pPr>
    </w:p>
    <w:p w14:paraId="4937F4D1" w14:textId="5556A965" w:rsidR="00E72C5C" w:rsidRPr="00E24307" w:rsidRDefault="00E72C5C" w:rsidP="00DB0662">
      <w:pPr>
        <w:pStyle w:val="Ttulo2"/>
        <w:numPr>
          <w:ilvl w:val="1"/>
          <w:numId w:val="13"/>
        </w:numPr>
        <w:rPr>
          <w:rFonts w:ascii="Verdana" w:hAnsi="Verdana"/>
        </w:rPr>
      </w:pPr>
      <w:bookmarkStart w:id="1" w:name="_Toc79157944"/>
      <w:r w:rsidRPr="00E24307">
        <w:rPr>
          <w:rFonts w:ascii="Verdana" w:hAnsi="Verdana"/>
        </w:rPr>
        <w:t>P</w:t>
      </w:r>
      <w:r w:rsidR="00DB0662" w:rsidRPr="00E24307">
        <w:rPr>
          <w:rFonts w:ascii="Verdana" w:hAnsi="Verdana"/>
        </w:rPr>
        <w:t>rograma original</w:t>
      </w:r>
      <w:bookmarkEnd w:id="1"/>
    </w:p>
    <w:p w14:paraId="02B7CE7F" w14:textId="77777777" w:rsidR="00E72C5C" w:rsidRPr="00E24307" w:rsidRDefault="00E72C5C" w:rsidP="00E72C5C">
      <w:pPr>
        <w:rPr>
          <w:rFonts w:ascii="Verdana" w:hAnsi="Verdana" w:cs="Arial"/>
          <w:bCs/>
        </w:rPr>
      </w:pPr>
    </w:p>
    <w:p w14:paraId="60798612" w14:textId="77777777" w:rsidR="00E72C5C" w:rsidRPr="00E24307" w:rsidRDefault="00E72C5C" w:rsidP="00E24307">
      <w:pPr>
        <w:jc w:val="center"/>
        <w:rPr>
          <w:rFonts w:ascii="Verdana" w:hAnsi="Verdana"/>
          <w:b/>
        </w:rPr>
      </w:pPr>
      <w:r w:rsidRPr="00E24307">
        <w:rPr>
          <w:rFonts w:ascii="Verdana" w:hAnsi="Verdana"/>
          <w:noProof/>
          <w:lang w:eastAsia="es-CR"/>
        </w:rPr>
        <w:drawing>
          <wp:inline distT="0" distB="0" distL="0" distR="0" wp14:anchorId="45D79184" wp14:editId="7B0E5FC2">
            <wp:extent cx="5591175" cy="3808401"/>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4668" cy="3810780"/>
                    </a:xfrm>
                    <a:prstGeom prst="rect">
                      <a:avLst/>
                    </a:prstGeom>
                    <a:noFill/>
                    <a:ln>
                      <a:noFill/>
                    </a:ln>
                  </pic:spPr>
                </pic:pic>
              </a:graphicData>
            </a:graphic>
          </wp:inline>
        </w:drawing>
      </w:r>
    </w:p>
    <w:p w14:paraId="311959A0" w14:textId="77777777" w:rsidR="00E72C5C" w:rsidRPr="00E24307" w:rsidRDefault="00E72C5C" w:rsidP="00E72C5C">
      <w:pPr>
        <w:rPr>
          <w:rFonts w:ascii="Verdana" w:hAnsi="Verdana"/>
          <w:b/>
        </w:rPr>
      </w:pPr>
    </w:p>
    <w:p w14:paraId="67CC641D" w14:textId="77777777" w:rsidR="0072512C" w:rsidRPr="00E24307" w:rsidRDefault="0072512C" w:rsidP="00E72C5C">
      <w:pPr>
        <w:rPr>
          <w:rFonts w:ascii="Verdana" w:hAnsi="Verdana"/>
          <w:b/>
        </w:rPr>
      </w:pPr>
    </w:p>
    <w:p w14:paraId="1A40F4BD" w14:textId="6A052635" w:rsidR="00E72C5C" w:rsidRPr="00E24307" w:rsidRDefault="00E72C5C" w:rsidP="00DB0662">
      <w:pPr>
        <w:pStyle w:val="Ttulo2"/>
        <w:numPr>
          <w:ilvl w:val="1"/>
          <w:numId w:val="13"/>
        </w:numPr>
        <w:rPr>
          <w:rFonts w:ascii="Verdana" w:hAnsi="Verdana"/>
        </w:rPr>
      </w:pPr>
      <w:bookmarkStart w:id="2" w:name="_Toc79157945"/>
      <w:r w:rsidRPr="00E24307">
        <w:rPr>
          <w:rFonts w:ascii="Verdana" w:hAnsi="Verdana"/>
        </w:rPr>
        <w:t>I</w:t>
      </w:r>
      <w:r w:rsidR="00DB0662" w:rsidRPr="00E24307">
        <w:rPr>
          <w:rFonts w:ascii="Verdana" w:hAnsi="Verdana"/>
        </w:rPr>
        <w:t>nclusiones al programa de adquisiciones</w:t>
      </w:r>
      <w:bookmarkEnd w:id="2"/>
    </w:p>
    <w:p w14:paraId="48BD337B" w14:textId="77777777" w:rsidR="0072512C" w:rsidRPr="00E24307" w:rsidRDefault="0072512C" w:rsidP="0072512C">
      <w:pPr>
        <w:rPr>
          <w:rFonts w:ascii="Verdana" w:hAnsi="Verdana"/>
        </w:rPr>
      </w:pPr>
    </w:p>
    <w:p w14:paraId="1D6CCC14" w14:textId="77777777" w:rsidR="0072512C" w:rsidRPr="00E24307" w:rsidRDefault="0072512C" w:rsidP="0072512C">
      <w:pPr>
        <w:rPr>
          <w:rFonts w:ascii="Verdana" w:hAnsi="Verdana"/>
        </w:rPr>
      </w:pPr>
    </w:p>
    <w:p w14:paraId="48F9C87B" w14:textId="77777777" w:rsidR="00E72C5C" w:rsidRPr="00E24307" w:rsidRDefault="00E72C5C" w:rsidP="00E72C5C">
      <w:pPr>
        <w:rPr>
          <w:rFonts w:ascii="Verdana" w:hAnsi="Verdana" w:cs="Arial"/>
          <w:b/>
          <w:bCs/>
        </w:rPr>
      </w:pPr>
      <w:r w:rsidRPr="00E24307">
        <w:rPr>
          <w:rFonts w:ascii="Verdana" w:hAnsi="Verdana"/>
          <w:noProof/>
          <w:lang w:eastAsia="es-CR"/>
        </w:rPr>
        <w:drawing>
          <wp:inline distT="0" distB="0" distL="0" distR="0" wp14:anchorId="78B5595D" wp14:editId="6032424A">
            <wp:extent cx="6480810" cy="71013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710138"/>
                    </a:xfrm>
                    <a:prstGeom prst="rect">
                      <a:avLst/>
                    </a:prstGeom>
                    <a:noFill/>
                    <a:ln>
                      <a:noFill/>
                    </a:ln>
                  </pic:spPr>
                </pic:pic>
              </a:graphicData>
            </a:graphic>
          </wp:inline>
        </w:drawing>
      </w:r>
    </w:p>
    <w:p w14:paraId="318CFE03" w14:textId="77777777" w:rsidR="00E72C5C" w:rsidRPr="00E24307" w:rsidRDefault="00E72C5C" w:rsidP="00E72C5C">
      <w:pPr>
        <w:rPr>
          <w:rFonts w:ascii="Verdana" w:hAnsi="Verdana"/>
          <w:b/>
        </w:rPr>
      </w:pPr>
    </w:p>
    <w:p w14:paraId="6B666AFF" w14:textId="77777777" w:rsidR="004D7C39" w:rsidRPr="00E24307" w:rsidRDefault="004D7C39" w:rsidP="00E72C5C">
      <w:pPr>
        <w:rPr>
          <w:rFonts w:ascii="Verdana" w:hAnsi="Verdana"/>
          <w:b/>
        </w:rPr>
      </w:pPr>
    </w:p>
    <w:p w14:paraId="08F97F14" w14:textId="7459FE54" w:rsidR="00E72C5C" w:rsidRPr="00E24307" w:rsidRDefault="00E72C5C" w:rsidP="00DB0662">
      <w:pPr>
        <w:pStyle w:val="Ttulo2"/>
        <w:numPr>
          <w:ilvl w:val="1"/>
          <w:numId w:val="13"/>
        </w:numPr>
        <w:rPr>
          <w:rFonts w:ascii="Verdana" w:hAnsi="Verdana"/>
        </w:rPr>
      </w:pPr>
      <w:bookmarkStart w:id="3" w:name="_Toc79157946"/>
      <w:r w:rsidRPr="00E24307">
        <w:rPr>
          <w:rFonts w:ascii="Verdana" w:hAnsi="Verdana"/>
        </w:rPr>
        <w:t>E</w:t>
      </w:r>
      <w:r w:rsidR="00DB0662" w:rsidRPr="00E24307">
        <w:rPr>
          <w:rFonts w:ascii="Verdana" w:hAnsi="Verdana"/>
        </w:rPr>
        <w:t>xclusiones al programa de adquisiciones</w:t>
      </w:r>
      <w:bookmarkEnd w:id="3"/>
    </w:p>
    <w:p w14:paraId="3A3A6914" w14:textId="77777777" w:rsidR="0072512C" w:rsidRPr="00E24307" w:rsidRDefault="0072512C" w:rsidP="0072512C">
      <w:pPr>
        <w:rPr>
          <w:rFonts w:ascii="Verdana" w:hAnsi="Verdana"/>
        </w:rPr>
      </w:pPr>
    </w:p>
    <w:p w14:paraId="668CC867" w14:textId="77777777" w:rsidR="00E72C5C" w:rsidRPr="00E24307" w:rsidRDefault="00E72C5C" w:rsidP="00E72C5C">
      <w:pPr>
        <w:rPr>
          <w:rFonts w:ascii="Verdana" w:hAnsi="Verdana" w:cs="Arial"/>
          <w:bCs/>
        </w:rPr>
      </w:pPr>
      <w:r w:rsidRPr="00E24307">
        <w:rPr>
          <w:rFonts w:ascii="Verdana" w:hAnsi="Verdana"/>
          <w:noProof/>
          <w:lang w:eastAsia="es-CR"/>
        </w:rPr>
        <w:drawing>
          <wp:inline distT="0" distB="0" distL="0" distR="0" wp14:anchorId="0325F451" wp14:editId="621A7C53">
            <wp:extent cx="6480810" cy="2540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2540000"/>
                    </a:xfrm>
                    <a:prstGeom prst="rect">
                      <a:avLst/>
                    </a:prstGeom>
                  </pic:spPr>
                </pic:pic>
              </a:graphicData>
            </a:graphic>
          </wp:inline>
        </w:drawing>
      </w:r>
    </w:p>
    <w:p w14:paraId="41F102B7" w14:textId="77777777" w:rsidR="00E72C5C" w:rsidRDefault="00E72C5C" w:rsidP="00E72C5C">
      <w:pPr>
        <w:rPr>
          <w:rFonts w:ascii="Verdana" w:hAnsi="Verdana" w:cs="Arial"/>
          <w:bCs/>
        </w:rPr>
      </w:pPr>
    </w:p>
    <w:p w14:paraId="55E45D09" w14:textId="77777777" w:rsidR="004D7C39" w:rsidRPr="00E24307" w:rsidRDefault="004D7C39" w:rsidP="00E72C5C">
      <w:pPr>
        <w:rPr>
          <w:rFonts w:ascii="Verdana" w:hAnsi="Verdana" w:cs="Arial"/>
          <w:bCs/>
        </w:rPr>
      </w:pPr>
    </w:p>
    <w:p w14:paraId="26741438" w14:textId="1450C066" w:rsidR="00E72C5C" w:rsidRPr="00E24307" w:rsidRDefault="00E72C5C" w:rsidP="00DB0662">
      <w:pPr>
        <w:pStyle w:val="Ttulo2"/>
        <w:numPr>
          <w:ilvl w:val="1"/>
          <w:numId w:val="13"/>
        </w:numPr>
        <w:rPr>
          <w:rFonts w:ascii="Verdana" w:hAnsi="Verdana"/>
        </w:rPr>
      </w:pPr>
      <w:bookmarkStart w:id="4" w:name="_Toc79157947"/>
      <w:r w:rsidRPr="00E24307">
        <w:rPr>
          <w:rFonts w:ascii="Verdana" w:hAnsi="Verdana"/>
        </w:rPr>
        <w:t>P</w:t>
      </w:r>
      <w:r w:rsidR="00DB0662" w:rsidRPr="00E24307">
        <w:rPr>
          <w:rFonts w:ascii="Verdana" w:hAnsi="Verdana"/>
        </w:rPr>
        <w:t>lan final diciembre</w:t>
      </w:r>
      <w:r w:rsidRPr="00E24307">
        <w:rPr>
          <w:rFonts w:ascii="Verdana" w:hAnsi="Verdana"/>
        </w:rPr>
        <w:t xml:space="preserve"> 2020</w:t>
      </w:r>
      <w:bookmarkEnd w:id="4"/>
    </w:p>
    <w:p w14:paraId="68BED88E" w14:textId="77777777" w:rsidR="00E72C5C" w:rsidRPr="00E24307" w:rsidRDefault="00E72C5C" w:rsidP="00E72C5C">
      <w:pPr>
        <w:rPr>
          <w:rFonts w:ascii="Verdana" w:hAnsi="Verdana" w:cs="Arial"/>
          <w:bCs/>
        </w:rPr>
      </w:pPr>
      <w:r w:rsidRPr="00E24307">
        <w:rPr>
          <w:rFonts w:ascii="Verdana" w:hAnsi="Verdana"/>
          <w:noProof/>
          <w:lang w:eastAsia="es-CR"/>
        </w:rPr>
        <w:drawing>
          <wp:inline distT="0" distB="0" distL="0" distR="0" wp14:anchorId="2D205F23" wp14:editId="4DEE8A2C">
            <wp:extent cx="6480810" cy="2469489"/>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2469489"/>
                    </a:xfrm>
                    <a:prstGeom prst="rect">
                      <a:avLst/>
                    </a:prstGeom>
                    <a:noFill/>
                    <a:ln>
                      <a:noFill/>
                    </a:ln>
                  </pic:spPr>
                </pic:pic>
              </a:graphicData>
            </a:graphic>
          </wp:inline>
        </w:drawing>
      </w:r>
    </w:p>
    <w:p w14:paraId="7C86AC4E" w14:textId="77777777" w:rsidR="00E72C5C" w:rsidRPr="00E24307" w:rsidRDefault="00E72C5C" w:rsidP="00E72C5C">
      <w:pPr>
        <w:rPr>
          <w:rFonts w:ascii="Verdana" w:hAnsi="Verdana" w:cs="Arial"/>
          <w:bCs/>
        </w:rPr>
      </w:pPr>
    </w:p>
    <w:p w14:paraId="216BB90E" w14:textId="77777777" w:rsidR="00E72C5C" w:rsidRPr="00E24307" w:rsidRDefault="00E72C5C" w:rsidP="00E72C5C">
      <w:pPr>
        <w:rPr>
          <w:rFonts w:ascii="Verdana" w:hAnsi="Verdana" w:cs="Arial"/>
          <w:bCs/>
        </w:rPr>
      </w:pPr>
    </w:p>
    <w:p w14:paraId="3CA71591" w14:textId="77777777" w:rsidR="00E72C5C" w:rsidRPr="00E24307" w:rsidRDefault="00E72C5C" w:rsidP="00E72C5C">
      <w:pPr>
        <w:rPr>
          <w:rFonts w:ascii="Verdana" w:hAnsi="Verdana" w:cs="Arial"/>
          <w:bCs/>
        </w:rPr>
      </w:pPr>
      <w:r w:rsidRPr="00E24307">
        <w:rPr>
          <w:rFonts w:ascii="Verdana" w:hAnsi="Verdana" w:cs="Arial"/>
          <w:bCs/>
        </w:rPr>
        <w:t>Inicialmente se publicaron 9 concursos en el mes de enero 2020; durante el transcurso del año se adicionó un concurso y se excluyeron 7, resultando en un plan con 3 procedimientos de compra mediante concurso de adquisición; durante el período 2020.</w:t>
      </w:r>
    </w:p>
    <w:p w14:paraId="70F34074" w14:textId="77777777" w:rsidR="00E72C5C" w:rsidRPr="00E24307" w:rsidRDefault="00E72C5C" w:rsidP="00E72C5C">
      <w:pPr>
        <w:rPr>
          <w:rFonts w:ascii="Verdana" w:hAnsi="Verdana" w:cs="Arial"/>
          <w:bCs/>
        </w:rPr>
      </w:pPr>
    </w:p>
    <w:p w14:paraId="3EFC87BE" w14:textId="77777777" w:rsidR="00E72C5C" w:rsidRPr="00E24307" w:rsidRDefault="00E72C5C" w:rsidP="00E72C5C">
      <w:pPr>
        <w:rPr>
          <w:rFonts w:ascii="Verdana" w:hAnsi="Verdana" w:cs="Arial"/>
          <w:bCs/>
        </w:rPr>
      </w:pPr>
      <w:r w:rsidRPr="00E24307">
        <w:rPr>
          <w:rFonts w:ascii="Verdana" w:hAnsi="Verdana" w:cs="Arial"/>
          <w:bCs/>
        </w:rPr>
        <w:t xml:space="preserve">Como resultado de lo anterior el plan modificado representa un 33% del total de concursos del plan original. </w:t>
      </w:r>
    </w:p>
    <w:p w14:paraId="66F08C69" w14:textId="77777777" w:rsidR="00E72C5C" w:rsidRPr="00E24307" w:rsidRDefault="00E72C5C" w:rsidP="00E72C5C">
      <w:pPr>
        <w:rPr>
          <w:rFonts w:ascii="Verdana" w:hAnsi="Verdana" w:cs="Arial"/>
          <w:bCs/>
        </w:rPr>
      </w:pPr>
    </w:p>
    <w:p w14:paraId="354789A9" w14:textId="77777777" w:rsidR="00E72C5C" w:rsidRPr="00E24307" w:rsidRDefault="00E72C5C" w:rsidP="00E72C5C">
      <w:pPr>
        <w:spacing w:line="360" w:lineRule="auto"/>
        <w:jc w:val="center"/>
        <w:rPr>
          <w:rFonts w:ascii="Verdana" w:eastAsia="Times New Roman" w:hAnsi="Verdana" w:cs="Arial"/>
          <w:b/>
          <w:i/>
          <w:lang w:val="es-ES_tradnl" w:eastAsia="es-ES"/>
        </w:rPr>
      </w:pPr>
      <w:r w:rsidRPr="00E24307">
        <w:rPr>
          <w:rFonts w:ascii="Verdana" w:eastAsia="Times New Roman" w:hAnsi="Verdana" w:cs="Arial"/>
          <w:b/>
          <w:i/>
          <w:lang w:val="es-ES_tradnl" w:eastAsia="es-ES"/>
        </w:rPr>
        <w:t>Gráfico No.1    Modificaciones al Programa de Adquisiciones</w:t>
      </w:r>
    </w:p>
    <w:p w14:paraId="1478F95B" w14:textId="77777777" w:rsidR="00E72C5C" w:rsidRPr="00E24307" w:rsidRDefault="00E72C5C" w:rsidP="00E72C5C">
      <w:pPr>
        <w:spacing w:line="360" w:lineRule="auto"/>
        <w:rPr>
          <w:rFonts w:ascii="Verdana" w:eastAsia="Times New Roman" w:hAnsi="Verdana" w:cs="Arial"/>
          <w:b/>
          <w:i/>
          <w:lang w:val="es-ES_tradnl" w:eastAsia="es-ES"/>
        </w:rPr>
      </w:pPr>
    </w:p>
    <w:p w14:paraId="0002CD30" w14:textId="77777777" w:rsidR="00E72C5C" w:rsidRPr="00E24307" w:rsidRDefault="00E72C5C" w:rsidP="00E72C5C">
      <w:pPr>
        <w:jc w:val="center"/>
        <w:rPr>
          <w:rFonts w:ascii="Verdana" w:eastAsia="Times New Roman" w:hAnsi="Verdana" w:cs="Arial"/>
          <w:lang w:val="es-ES" w:eastAsia="es-ES"/>
        </w:rPr>
      </w:pPr>
      <w:r w:rsidRPr="00E24307">
        <w:rPr>
          <w:rFonts w:ascii="Verdana" w:hAnsi="Verdana"/>
          <w:noProof/>
          <w:lang w:eastAsia="es-CR"/>
        </w:rPr>
        <w:drawing>
          <wp:inline distT="0" distB="0" distL="0" distR="0" wp14:anchorId="53378643" wp14:editId="05585FA0">
            <wp:extent cx="3600450" cy="2219325"/>
            <wp:effectExtent l="0" t="0" r="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86559A" w14:textId="77777777" w:rsidR="00E72C5C" w:rsidRPr="00E24307" w:rsidRDefault="00E72C5C" w:rsidP="00E72C5C">
      <w:pPr>
        <w:ind w:left="-142"/>
        <w:rPr>
          <w:rFonts w:ascii="Verdana" w:hAnsi="Verdana" w:cs="Arial"/>
          <w:b/>
          <w:bCs/>
        </w:rPr>
      </w:pPr>
    </w:p>
    <w:p w14:paraId="6A8E9A09" w14:textId="77777777" w:rsidR="00E72C5C" w:rsidRPr="00E24307" w:rsidRDefault="00E72C5C" w:rsidP="00E72C5C">
      <w:pPr>
        <w:ind w:left="-142"/>
        <w:rPr>
          <w:rFonts w:ascii="Verdana" w:hAnsi="Verdana" w:cs="Arial"/>
          <w:b/>
          <w:bCs/>
        </w:rPr>
      </w:pPr>
    </w:p>
    <w:p w14:paraId="7BB82F91" w14:textId="77777777" w:rsidR="00E72C5C" w:rsidRPr="00E24307" w:rsidRDefault="00E72C5C" w:rsidP="00E72C5C">
      <w:pPr>
        <w:spacing w:line="360" w:lineRule="auto"/>
        <w:rPr>
          <w:rFonts w:ascii="Verdana" w:eastAsia="Times New Roman" w:hAnsi="Verdana" w:cs="Arial"/>
          <w:b/>
          <w:i/>
          <w:lang w:val="es-ES_tradnl" w:eastAsia="es-ES"/>
        </w:rPr>
      </w:pPr>
      <w:r w:rsidRPr="00E24307">
        <w:rPr>
          <w:rFonts w:ascii="Verdana" w:eastAsia="Times New Roman" w:hAnsi="Verdana" w:cs="Arial"/>
          <w:b/>
          <w:i/>
          <w:lang w:val="es-ES_tradnl" w:eastAsia="es-ES"/>
        </w:rPr>
        <w:t>Cuadro No.1</w:t>
      </w:r>
    </w:p>
    <w:p w14:paraId="6405CEC6" w14:textId="77777777" w:rsidR="00E72C5C" w:rsidRPr="00E24307" w:rsidRDefault="00E72C5C" w:rsidP="00E72C5C">
      <w:pPr>
        <w:rPr>
          <w:rFonts w:ascii="Verdana" w:hAnsi="Verdana" w:cs="Arial"/>
          <w:bCs/>
        </w:rPr>
      </w:pPr>
    </w:p>
    <w:p w14:paraId="4DDA80EF" w14:textId="77777777" w:rsidR="00E72C5C" w:rsidRPr="00E24307" w:rsidRDefault="00E72C5C" w:rsidP="00E72C5C">
      <w:pPr>
        <w:rPr>
          <w:rFonts w:ascii="Verdana" w:hAnsi="Verdana" w:cs="Arial"/>
          <w:bCs/>
        </w:rPr>
      </w:pPr>
      <w:r w:rsidRPr="00E24307">
        <w:rPr>
          <w:rFonts w:ascii="Verdana" w:hAnsi="Verdana" w:cs="Arial"/>
          <w:bCs/>
        </w:rPr>
        <w:t>El cuadro N°1 muestra las modificaciones al Plan por dependencia.</w:t>
      </w:r>
    </w:p>
    <w:p w14:paraId="52912618" w14:textId="77777777" w:rsidR="00E72C5C" w:rsidRPr="00E24307" w:rsidRDefault="00E72C5C" w:rsidP="00E72C5C">
      <w:pPr>
        <w:ind w:left="-142"/>
        <w:rPr>
          <w:rFonts w:ascii="Verdana" w:hAnsi="Verdana" w:cs="Arial"/>
          <w:b/>
          <w:bCs/>
        </w:rPr>
      </w:pPr>
    </w:p>
    <w:p w14:paraId="256F3552" w14:textId="77777777" w:rsidR="00E72C5C" w:rsidRPr="00E24307" w:rsidRDefault="00E72C5C" w:rsidP="004D7C39">
      <w:pPr>
        <w:ind w:left="-142"/>
        <w:jc w:val="center"/>
        <w:rPr>
          <w:rFonts w:ascii="Verdana" w:hAnsi="Verdana" w:cs="Arial"/>
          <w:b/>
          <w:bCs/>
        </w:rPr>
      </w:pPr>
      <w:r w:rsidRPr="00E24307">
        <w:rPr>
          <w:rFonts w:ascii="Verdana" w:hAnsi="Verdana"/>
          <w:noProof/>
          <w:lang w:eastAsia="es-CR"/>
        </w:rPr>
        <w:drawing>
          <wp:inline distT="0" distB="0" distL="0" distR="0" wp14:anchorId="263E8655" wp14:editId="3D3C1922">
            <wp:extent cx="5248275" cy="2607338"/>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4604" cy="2610482"/>
                    </a:xfrm>
                    <a:prstGeom prst="rect">
                      <a:avLst/>
                    </a:prstGeom>
                    <a:noFill/>
                    <a:ln>
                      <a:noFill/>
                    </a:ln>
                  </pic:spPr>
                </pic:pic>
              </a:graphicData>
            </a:graphic>
          </wp:inline>
        </w:drawing>
      </w:r>
    </w:p>
    <w:p w14:paraId="365D5305" w14:textId="77777777" w:rsidR="00E72C5C" w:rsidRPr="00E24307" w:rsidRDefault="00E72C5C" w:rsidP="00E72C5C">
      <w:pPr>
        <w:ind w:left="-142"/>
        <w:rPr>
          <w:rFonts w:ascii="Verdana" w:hAnsi="Verdana" w:cs="Arial"/>
          <w:b/>
          <w:bCs/>
        </w:rPr>
      </w:pPr>
    </w:p>
    <w:p w14:paraId="4AF371F2" w14:textId="77777777" w:rsidR="0072512C" w:rsidRPr="00E24307" w:rsidRDefault="0072512C" w:rsidP="00E72C5C">
      <w:pPr>
        <w:ind w:left="-142"/>
        <w:rPr>
          <w:rFonts w:ascii="Verdana" w:hAnsi="Verdana" w:cs="Arial"/>
          <w:b/>
          <w:bCs/>
        </w:rPr>
      </w:pPr>
    </w:p>
    <w:p w14:paraId="28252831" w14:textId="77777777" w:rsidR="0072512C" w:rsidRPr="00E24307" w:rsidRDefault="0072512C" w:rsidP="00E72C5C">
      <w:pPr>
        <w:ind w:left="-142"/>
        <w:rPr>
          <w:rFonts w:ascii="Verdana" w:hAnsi="Verdana" w:cs="Arial"/>
          <w:b/>
          <w:bCs/>
        </w:rPr>
      </w:pPr>
    </w:p>
    <w:p w14:paraId="3546C48D" w14:textId="77777777" w:rsidR="00E72C5C" w:rsidRPr="00E24307" w:rsidRDefault="00E72C5C" w:rsidP="00DA14BD">
      <w:pPr>
        <w:pStyle w:val="Ttulo1"/>
        <w:numPr>
          <w:ilvl w:val="0"/>
          <w:numId w:val="11"/>
        </w:numPr>
        <w:rPr>
          <w:rFonts w:ascii="Verdana" w:eastAsiaTheme="minorHAnsi" w:hAnsi="Verdana"/>
        </w:rPr>
      </w:pPr>
      <w:bookmarkStart w:id="5" w:name="_Toc79157948"/>
      <w:r w:rsidRPr="00E24307">
        <w:rPr>
          <w:rFonts w:ascii="Verdana" w:eastAsiaTheme="minorHAnsi" w:hAnsi="Verdana"/>
        </w:rPr>
        <w:t>Ejecución del Programa</w:t>
      </w:r>
      <w:bookmarkEnd w:id="5"/>
      <w:r w:rsidRPr="00E24307">
        <w:rPr>
          <w:rFonts w:ascii="Verdana" w:eastAsiaTheme="minorHAnsi" w:hAnsi="Verdana"/>
        </w:rPr>
        <w:t xml:space="preserve">  </w:t>
      </w:r>
    </w:p>
    <w:p w14:paraId="76EF37FA" w14:textId="77777777" w:rsidR="00E72C5C" w:rsidRPr="00E24307" w:rsidRDefault="00E72C5C" w:rsidP="00E72C5C">
      <w:pPr>
        <w:pStyle w:val="Prrafodelista"/>
        <w:ind w:left="284"/>
        <w:rPr>
          <w:rFonts w:ascii="Verdana" w:hAnsi="Verdana" w:cs="Arial"/>
          <w:b/>
          <w:bCs/>
          <w:sz w:val="22"/>
          <w:szCs w:val="22"/>
        </w:rPr>
      </w:pPr>
    </w:p>
    <w:p w14:paraId="52435B18" w14:textId="77777777" w:rsidR="00E72C5C" w:rsidRPr="00E24307" w:rsidRDefault="00E72C5C" w:rsidP="00E72C5C">
      <w:pPr>
        <w:rPr>
          <w:rFonts w:ascii="Verdana" w:hAnsi="Verdana" w:cs="Arial"/>
          <w:bCs/>
        </w:rPr>
      </w:pPr>
    </w:p>
    <w:p w14:paraId="7D0A897F" w14:textId="498AFE16" w:rsidR="00E72C5C" w:rsidRPr="00E24307" w:rsidRDefault="007370FD" w:rsidP="007370FD">
      <w:pPr>
        <w:pStyle w:val="Ttulo2"/>
        <w:rPr>
          <w:rFonts w:ascii="Verdana" w:hAnsi="Verdana"/>
        </w:rPr>
      </w:pPr>
      <w:bookmarkStart w:id="6" w:name="_Toc79157949"/>
      <w:r w:rsidRPr="00E24307">
        <w:rPr>
          <w:rFonts w:ascii="Verdana" w:hAnsi="Verdana"/>
        </w:rPr>
        <w:t>2.1</w:t>
      </w:r>
      <w:r w:rsidRPr="00E24307">
        <w:rPr>
          <w:rFonts w:ascii="Verdana" w:hAnsi="Verdana"/>
        </w:rPr>
        <w:tab/>
      </w:r>
      <w:r w:rsidR="00E72C5C" w:rsidRPr="00E24307">
        <w:rPr>
          <w:rFonts w:ascii="Verdana" w:hAnsi="Verdana"/>
        </w:rPr>
        <w:t>Concursos de Adquisición publicados en el Plan</w:t>
      </w:r>
      <w:bookmarkEnd w:id="6"/>
    </w:p>
    <w:p w14:paraId="1849CEEA" w14:textId="77777777" w:rsidR="00E72C5C" w:rsidRPr="00E24307" w:rsidRDefault="00E72C5C" w:rsidP="00E72C5C">
      <w:pPr>
        <w:rPr>
          <w:rFonts w:ascii="Verdana" w:hAnsi="Verdana" w:cs="Arial"/>
          <w:bCs/>
        </w:rPr>
      </w:pPr>
    </w:p>
    <w:p w14:paraId="6293B18F" w14:textId="77777777" w:rsidR="00E72C5C" w:rsidRPr="00E24307" w:rsidRDefault="00E72C5C" w:rsidP="00E72C5C">
      <w:pPr>
        <w:rPr>
          <w:rFonts w:ascii="Verdana" w:hAnsi="Verdana" w:cs="Arial"/>
          <w:bCs/>
        </w:rPr>
      </w:pPr>
      <w:r w:rsidRPr="00E24307">
        <w:rPr>
          <w:rFonts w:ascii="Verdana" w:hAnsi="Verdana" w:cs="Arial"/>
          <w:bCs/>
        </w:rPr>
        <w:t>El total de concursos publicados en el Plan de adquisiciones alcanzó la suma de diez procedimientos de contratación de los cuales siete fueron excluidos por los siguientes motivos:</w:t>
      </w:r>
    </w:p>
    <w:p w14:paraId="570FB0E3" w14:textId="77777777" w:rsidR="00E72C5C" w:rsidRPr="00E24307" w:rsidRDefault="00E72C5C" w:rsidP="00E72C5C">
      <w:pPr>
        <w:rPr>
          <w:rFonts w:ascii="Verdana" w:hAnsi="Verdana" w:cs="Arial"/>
          <w:bCs/>
          <w:highlight w:val="yellow"/>
        </w:rPr>
      </w:pPr>
    </w:p>
    <w:p w14:paraId="1001CA90" w14:textId="77777777" w:rsidR="00E72C5C" w:rsidRPr="00E24307" w:rsidRDefault="00E72C5C" w:rsidP="00E72C5C">
      <w:pPr>
        <w:pStyle w:val="Prrafodelista"/>
        <w:numPr>
          <w:ilvl w:val="0"/>
          <w:numId w:val="10"/>
        </w:numPr>
        <w:autoSpaceDE w:val="0"/>
        <w:autoSpaceDN w:val="0"/>
        <w:adjustRightInd w:val="0"/>
        <w:contextualSpacing w:val="0"/>
        <w:rPr>
          <w:rFonts w:ascii="Verdana" w:eastAsia="MS Mincho" w:hAnsi="Verdana" w:cs="Arial"/>
          <w:bCs/>
        </w:rPr>
      </w:pPr>
      <w:r w:rsidRPr="00E24307">
        <w:rPr>
          <w:rFonts w:ascii="Verdana" w:eastAsia="MS Mincho" w:hAnsi="Verdana" w:cs="Arial"/>
          <w:b/>
          <w:bCs/>
        </w:rPr>
        <w:t>Sistema Contra Incendios en la Planta Hidroeléctrica Daniel Gutiérrez</w:t>
      </w:r>
      <w:r w:rsidRPr="00E24307">
        <w:rPr>
          <w:rFonts w:ascii="Verdana" w:eastAsia="MS Mincho" w:hAnsi="Verdana" w:cs="Arial"/>
          <w:bCs/>
        </w:rPr>
        <w:t>:</w:t>
      </w:r>
    </w:p>
    <w:p w14:paraId="2FC49E7A" w14:textId="77777777" w:rsidR="00E72C5C" w:rsidRPr="00E24307" w:rsidRDefault="00E72C5C" w:rsidP="00E72C5C">
      <w:pPr>
        <w:pStyle w:val="Prrafodelista"/>
        <w:autoSpaceDE w:val="0"/>
        <w:autoSpaceDN w:val="0"/>
        <w:adjustRightInd w:val="0"/>
        <w:rPr>
          <w:rFonts w:ascii="Verdana" w:eastAsia="MS Mincho" w:hAnsi="Verdana" w:cs="Arial"/>
          <w:b/>
          <w:bCs/>
        </w:rPr>
      </w:pPr>
    </w:p>
    <w:p w14:paraId="25006F96" w14:textId="77777777" w:rsidR="00E72C5C" w:rsidRPr="00E24307" w:rsidRDefault="00E72C5C" w:rsidP="00E72C5C">
      <w:pPr>
        <w:pStyle w:val="Prrafodelista"/>
        <w:autoSpaceDE w:val="0"/>
        <w:autoSpaceDN w:val="0"/>
        <w:adjustRightInd w:val="0"/>
        <w:rPr>
          <w:rFonts w:ascii="Verdana" w:eastAsia="MS Mincho" w:hAnsi="Verdana" w:cs="Arial"/>
          <w:bCs/>
        </w:rPr>
      </w:pPr>
      <w:r w:rsidRPr="00E24307">
        <w:rPr>
          <w:rFonts w:ascii="Verdana" w:eastAsia="MS Mincho" w:hAnsi="Verdana" w:cs="Arial"/>
          <w:bCs/>
        </w:rPr>
        <w:t xml:space="preserve">En oficio No. 7001-0027-2020 de la Dirección Generación de la Energía se indica: “De </w:t>
      </w:r>
      <w:r w:rsidRPr="00E24307">
        <w:rPr>
          <w:rFonts w:ascii="Verdana" w:hAnsi="Verdana" w:cs="Arial"/>
          <w:bCs/>
        </w:rPr>
        <w:t xml:space="preserve">acuerdo al Informe a Gerencia sobre resultados Plan adquisiciones 2019, me permito hacer de su conocimiento que nuestra propuesta del Suministro e instalación de sistema contra incendios para las Plantas Hidroeléctricas de la </w:t>
      </w:r>
      <w:proofErr w:type="gramStart"/>
      <w:r w:rsidRPr="00E24307">
        <w:rPr>
          <w:rFonts w:ascii="Verdana" w:hAnsi="Verdana" w:cs="Arial"/>
          <w:bCs/>
        </w:rPr>
        <w:t>CNFL,</w:t>
      </w:r>
      <w:proofErr w:type="gramEnd"/>
      <w:r w:rsidRPr="00E24307">
        <w:rPr>
          <w:rFonts w:ascii="Verdana" w:hAnsi="Verdana" w:cs="Arial"/>
          <w:bCs/>
        </w:rPr>
        <w:t xml:space="preserve"> no fue considerado por la </w:t>
      </w:r>
      <w:r w:rsidRPr="00E24307">
        <w:rPr>
          <w:rFonts w:ascii="Verdana" w:eastAsia="MS Mincho" w:hAnsi="Verdana" w:cs="Arial"/>
          <w:bCs/>
        </w:rPr>
        <w:t>administración como ejecutable durante este año 2020 y parte del año 2021”</w:t>
      </w:r>
    </w:p>
    <w:p w14:paraId="1CC588FD" w14:textId="77777777" w:rsidR="00E72C5C" w:rsidRPr="00E24307" w:rsidRDefault="00E72C5C" w:rsidP="00E72C5C">
      <w:pPr>
        <w:pStyle w:val="Prrafodelista"/>
        <w:autoSpaceDE w:val="0"/>
        <w:autoSpaceDN w:val="0"/>
        <w:adjustRightInd w:val="0"/>
        <w:rPr>
          <w:rFonts w:ascii="Verdana" w:eastAsia="MS Mincho" w:hAnsi="Verdana" w:cs="Arial"/>
          <w:bCs/>
        </w:rPr>
      </w:pPr>
    </w:p>
    <w:p w14:paraId="61250DED" w14:textId="77777777" w:rsidR="00E72C5C" w:rsidRPr="00E24307" w:rsidRDefault="00E72C5C" w:rsidP="00E72C5C">
      <w:pPr>
        <w:pStyle w:val="Prrafodelista"/>
        <w:numPr>
          <w:ilvl w:val="0"/>
          <w:numId w:val="10"/>
        </w:numPr>
        <w:contextualSpacing w:val="0"/>
        <w:rPr>
          <w:rFonts w:ascii="Verdana" w:hAnsi="Verdana" w:cs="Arial"/>
          <w:b/>
          <w:bCs/>
        </w:rPr>
      </w:pPr>
      <w:r w:rsidRPr="00E24307">
        <w:rPr>
          <w:rFonts w:ascii="Verdana" w:hAnsi="Verdana" w:cs="Arial"/>
          <w:b/>
          <w:bCs/>
        </w:rPr>
        <w:t>Arrendamiento de equipo para el procesamiento electrónico de datos</w:t>
      </w:r>
    </w:p>
    <w:p w14:paraId="659429E4" w14:textId="77777777" w:rsidR="00E72C5C" w:rsidRPr="00E24307" w:rsidRDefault="00E72C5C" w:rsidP="00E72C5C">
      <w:pPr>
        <w:pStyle w:val="Prrafodelista"/>
        <w:autoSpaceDE w:val="0"/>
        <w:autoSpaceDN w:val="0"/>
        <w:adjustRightInd w:val="0"/>
        <w:rPr>
          <w:rFonts w:ascii="Verdana" w:eastAsia="MS Mincho" w:hAnsi="Verdana" w:cs="Arial"/>
          <w:bCs/>
        </w:rPr>
      </w:pPr>
    </w:p>
    <w:p w14:paraId="00180625" w14:textId="77777777" w:rsidR="00E72C5C" w:rsidRPr="00E24307" w:rsidRDefault="00E72C5C" w:rsidP="00E72C5C">
      <w:pPr>
        <w:pStyle w:val="Prrafodelista"/>
        <w:autoSpaceDE w:val="0"/>
        <w:autoSpaceDN w:val="0"/>
        <w:adjustRightInd w:val="0"/>
        <w:rPr>
          <w:rFonts w:ascii="Verdana" w:eastAsia="MS Mincho" w:hAnsi="Verdana" w:cs="Arial"/>
          <w:bCs/>
        </w:rPr>
      </w:pPr>
      <w:r w:rsidRPr="00E24307">
        <w:rPr>
          <w:rFonts w:ascii="Verdana" w:eastAsia="MS Mincho" w:hAnsi="Verdana" w:cs="Arial"/>
          <w:bCs/>
        </w:rPr>
        <w:t>En oficio No. 7500-0201-2020 de la Dirección Estrategia y Desarrollo del Negocio se</w:t>
      </w:r>
    </w:p>
    <w:p w14:paraId="34B065A6" w14:textId="77777777" w:rsidR="00E72C5C" w:rsidRPr="00E24307" w:rsidRDefault="00E72C5C" w:rsidP="00E72C5C">
      <w:pPr>
        <w:pStyle w:val="Prrafodelista"/>
        <w:autoSpaceDE w:val="0"/>
        <w:autoSpaceDN w:val="0"/>
        <w:adjustRightInd w:val="0"/>
        <w:rPr>
          <w:rFonts w:ascii="Verdana" w:eastAsia="MS Mincho" w:hAnsi="Verdana" w:cs="Arial"/>
          <w:bCs/>
        </w:rPr>
      </w:pPr>
      <w:r w:rsidRPr="00E24307">
        <w:rPr>
          <w:rFonts w:ascii="Verdana" w:eastAsia="MS Mincho" w:hAnsi="Verdana" w:cs="Arial"/>
          <w:bCs/>
        </w:rPr>
        <w:t>indica: “para el año 2020 no fueron asignados recursos para la ejecución del servicio</w:t>
      </w:r>
    </w:p>
    <w:p w14:paraId="6E387196" w14:textId="77777777" w:rsidR="00E72C5C" w:rsidRPr="00E24307" w:rsidRDefault="00E72C5C" w:rsidP="00E72C5C">
      <w:pPr>
        <w:pStyle w:val="Prrafodelista"/>
        <w:autoSpaceDE w:val="0"/>
        <w:autoSpaceDN w:val="0"/>
        <w:adjustRightInd w:val="0"/>
        <w:rPr>
          <w:rFonts w:ascii="Verdana" w:eastAsia="MS Mincho" w:hAnsi="Verdana" w:cs="Arial"/>
          <w:bCs/>
        </w:rPr>
      </w:pPr>
      <w:r w:rsidRPr="00E24307">
        <w:rPr>
          <w:rFonts w:ascii="Verdana" w:eastAsia="MS Mincho" w:hAnsi="Verdana" w:cs="Arial"/>
          <w:bCs/>
        </w:rPr>
        <w:t>de “Arrendamiento de equipo para el procesamiento electrónico de datos”, según comunicado mediante correo electrónico del Área Presupuesto”</w:t>
      </w:r>
    </w:p>
    <w:p w14:paraId="066A7EA2" w14:textId="77777777" w:rsidR="00E72C5C" w:rsidRPr="00E24307" w:rsidRDefault="00E72C5C" w:rsidP="00E72C5C">
      <w:pPr>
        <w:autoSpaceDE w:val="0"/>
        <w:autoSpaceDN w:val="0"/>
        <w:adjustRightInd w:val="0"/>
        <w:rPr>
          <w:rFonts w:ascii="Verdana" w:hAnsi="Verdana" w:cs="Segoe UI"/>
          <w:color w:val="000000"/>
        </w:rPr>
      </w:pPr>
    </w:p>
    <w:p w14:paraId="3E88B922" w14:textId="77777777" w:rsidR="00E72C5C" w:rsidRPr="00E24307" w:rsidRDefault="00E72C5C" w:rsidP="00E72C5C">
      <w:pPr>
        <w:autoSpaceDE w:val="0"/>
        <w:autoSpaceDN w:val="0"/>
        <w:adjustRightInd w:val="0"/>
        <w:rPr>
          <w:rFonts w:ascii="Verdana" w:hAnsi="Verdana" w:cs="Segoe UI"/>
          <w:color w:val="000000"/>
        </w:rPr>
      </w:pPr>
    </w:p>
    <w:p w14:paraId="1E33349B" w14:textId="77777777" w:rsidR="00E72C5C" w:rsidRPr="00E24307" w:rsidRDefault="00E72C5C" w:rsidP="00E72C5C">
      <w:pPr>
        <w:pStyle w:val="Default"/>
        <w:numPr>
          <w:ilvl w:val="0"/>
          <w:numId w:val="10"/>
        </w:numPr>
        <w:jc w:val="both"/>
        <w:rPr>
          <w:rFonts w:ascii="Verdana" w:hAnsi="Verdana"/>
          <w:b/>
          <w:i/>
          <w:sz w:val="20"/>
          <w:szCs w:val="20"/>
        </w:rPr>
      </w:pPr>
      <w:r w:rsidRPr="00E24307">
        <w:rPr>
          <w:rFonts w:ascii="Verdana" w:eastAsia="Times New Roman" w:hAnsi="Verdana" w:cs="Arial"/>
          <w:b/>
          <w:bCs/>
          <w:color w:val="auto"/>
          <w:sz w:val="20"/>
          <w:szCs w:val="20"/>
          <w:lang w:val="es-ES" w:eastAsia="es-ES"/>
        </w:rPr>
        <w:t>Construcción de las Obras de Estabilización de los sitios 2 y 3 del Plantel Anonos de la Compañía Nacional de Fuerza y Luz, S.A:</w:t>
      </w:r>
      <w:r w:rsidRPr="00E24307">
        <w:rPr>
          <w:rFonts w:ascii="Verdana" w:hAnsi="Verdana"/>
          <w:sz w:val="20"/>
          <w:szCs w:val="20"/>
        </w:rPr>
        <w:t xml:space="preserve"> </w:t>
      </w:r>
    </w:p>
    <w:p w14:paraId="1DB889C7" w14:textId="77777777" w:rsidR="00E72C5C" w:rsidRPr="00E24307" w:rsidRDefault="00E72C5C" w:rsidP="00E72C5C">
      <w:pPr>
        <w:pStyle w:val="Prrafodelista"/>
        <w:autoSpaceDE w:val="0"/>
        <w:autoSpaceDN w:val="0"/>
        <w:adjustRightInd w:val="0"/>
        <w:rPr>
          <w:rFonts w:ascii="Verdana" w:eastAsia="MS Mincho" w:hAnsi="Verdana" w:cs="Arial"/>
          <w:bCs/>
        </w:rPr>
      </w:pPr>
      <w:r w:rsidRPr="00E24307">
        <w:rPr>
          <w:rFonts w:ascii="Verdana" w:eastAsia="MS Mincho" w:hAnsi="Verdana" w:cs="Arial"/>
          <w:bCs/>
        </w:rPr>
        <w:t xml:space="preserve">El Coordinador de Contratación Administrativa de la Dirección Administración en sus oficios números 3201-0237-2020 </w:t>
      </w:r>
    </w:p>
    <w:p w14:paraId="4B8A5BDA" w14:textId="77777777" w:rsidR="00E72C5C" w:rsidRPr="00E24307" w:rsidRDefault="00E72C5C" w:rsidP="00E72C5C">
      <w:pPr>
        <w:pStyle w:val="Prrafodelista"/>
        <w:autoSpaceDE w:val="0"/>
        <w:autoSpaceDN w:val="0"/>
        <w:adjustRightInd w:val="0"/>
        <w:rPr>
          <w:rFonts w:ascii="Verdana" w:eastAsia="MS Mincho" w:hAnsi="Verdana" w:cs="Arial"/>
          <w:bCs/>
        </w:rPr>
      </w:pPr>
      <w:r w:rsidRPr="00E24307">
        <w:rPr>
          <w:rFonts w:ascii="Verdana" w:eastAsia="MS Mincho" w:hAnsi="Verdana" w:cs="Arial"/>
          <w:bCs/>
        </w:rPr>
        <w:t xml:space="preserve"> </w:t>
      </w:r>
    </w:p>
    <w:p w14:paraId="15F29BC1" w14:textId="77777777" w:rsidR="00E72C5C" w:rsidRPr="00E24307" w:rsidRDefault="00E72C5C" w:rsidP="00E72C5C">
      <w:pPr>
        <w:pStyle w:val="Prrafodelista"/>
        <w:autoSpaceDE w:val="0"/>
        <w:autoSpaceDN w:val="0"/>
        <w:adjustRightInd w:val="0"/>
        <w:rPr>
          <w:rFonts w:ascii="Verdana" w:eastAsia="MS Mincho" w:hAnsi="Verdana" w:cs="Arial"/>
          <w:bCs/>
        </w:rPr>
      </w:pPr>
      <w:r w:rsidRPr="00E24307">
        <w:rPr>
          <w:rFonts w:ascii="Verdana" w:eastAsia="MS Mincho" w:hAnsi="Verdana" w:cs="Arial"/>
          <w:bCs/>
        </w:rPr>
        <w:t xml:space="preserve">“De acuerdo con el oficio 3330-011-2020 que adjunto, emitido por el Sr. Franklin Quirós Arce del Área de Presupuesto, donde indica proyecto de "Construcción de las Obras de Estabilización de los sitios 2 y 3 del Plantel Anonos de la Compañía Nacional de Fuerza y Luz, S.A.”, no cuenta ahora con contenido presupuestario para el presente año, como encargado para la administración de esta contratación, procedo a solicitar que se gestione el “Cierre anticipado por falta de recurso presupuestario” </w:t>
      </w:r>
    </w:p>
    <w:p w14:paraId="174E01A0" w14:textId="77777777" w:rsidR="00E72C5C" w:rsidRPr="00E24307" w:rsidRDefault="00E72C5C" w:rsidP="00E72C5C">
      <w:pPr>
        <w:autoSpaceDE w:val="0"/>
        <w:autoSpaceDN w:val="0"/>
        <w:adjustRightInd w:val="0"/>
        <w:rPr>
          <w:rFonts w:ascii="Verdana" w:hAnsi="Verdana" w:cs="Verdana"/>
          <w:color w:val="000000"/>
        </w:rPr>
      </w:pPr>
    </w:p>
    <w:p w14:paraId="26A107AE" w14:textId="77777777" w:rsidR="00E72C5C" w:rsidRPr="00E24307" w:rsidRDefault="00E72C5C" w:rsidP="00E72C5C">
      <w:pPr>
        <w:pStyle w:val="Default"/>
        <w:numPr>
          <w:ilvl w:val="0"/>
          <w:numId w:val="10"/>
        </w:numPr>
        <w:jc w:val="both"/>
        <w:rPr>
          <w:rFonts w:ascii="Verdana" w:eastAsia="Times New Roman" w:hAnsi="Verdana" w:cs="Arial"/>
          <w:b/>
          <w:bCs/>
          <w:color w:val="auto"/>
          <w:sz w:val="20"/>
          <w:szCs w:val="20"/>
          <w:lang w:val="es-ES" w:eastAsia="es-ES"/>
        </w:rPr>
      </w:pPr>
      <w:r w:rsidRPr="00E24307">
        <w:rPr>
          <w:rFonts w:ascii="Verdana" w:eastAsia="Times New Roman" w:hAnsi="Verdana" w:cs="Arial"/>
          <w:b/>
          <w:bCs/>
          <w:color w:val="auto"/>
          <w:sz w:val="20"/>
          <w:szCs w:val="20"/>
          <w:lang w:val="es-ES" w:eastAsia="es-ES"/>
        </w:rPr>
        <w:t>Servicios de mantenimiento de sistemas de información automatizados.</w:t>
      </w:r>
    </w:p>
    <w:p w14:paraId="2D45700E" w14:textId="77777777" w:rsidR="00E72C5C" w:rsidRPr="00E24307" w:rsidRDefault="00E72C5C" w:rsidP="00F26480">
      <w:pPr>
        <w:pStyle w:val="Prrafodelista"/>
        <w:autoSpaceDE w:val="0"/>
        <w:autoSpaceDN w:val="0"/>
        <w:adjustRightInd w:val="0"/>
        <w:rPr>
          <w:rFonts w:ascii="Verdana" w:eastAsia="MS Mincho" w:hAnsi="Verdana" w:cs="Arial"/>
          <w:bCs/>
        </w:rPr>
      </w:pPr>
      <w:r w:rsidRPr="00E24307">
        <w:rPr>
          <w:rFonts w:ascii="Verdana" w:eastAsia="MS Mincho" w:hAnsi="Verdana" w:cs="Arial"/>
          <w:bCs/>
        </w:rPr>
        <w:t xml:space="preserve">El Coordinador de Contratación Administrativa de la Dirección Estrategia y Desarrollo del Negocio en su oficio número 7500-0967-2020 justifica “La contratación de 500 millones no se realizó debido a que no se contó con todo el presupuesto requerido, por lo que se realizó una contratación, por 130 millones, 60 millones para el 2020, a través del SIACO 815, procedimiento de escasa cuantía 2020PP-000396; y 70 millones para el primer semestre del 2021. </w:t>
      </w:r>
    </w:p>
    <w:p w14:paraId="5BE888B3" w14:textId="77777777" w:rsidR="00E72C5C" w:rsidRPr="00F26480" w:rsidRDefault="00E72C5C" w:rsidP="00F26480">
      <w:pPr>
        <w:autoSpaceDE w:val="0"/>
        <w:autoSpaceDN w:val="0"/>
        <w:adjustRightInd w:val="0"/>
        <w:ind w:left="360"/>
        <w:rPr>
          <w:rFonts w:ascii="Verdana" w:eastAsia="MS Mincho" w:hAnsi="Verdana" w:cs="Arial"/>
          <w:bCs/>
        </w:rPr>
      </w:pPr>
      <w:r w:rsidRPr="00F26480">
        <w:rPr>
          <w:rFonts w:ascii="Verdana" w:eastAsia="MS Mincho" w:hAnsi="Verdana" w:cs="Arial"/>
          <w:bCs/>
        </w:rPr>
        <w:lastRenderedPageBreak/>
        <w:t>Posteriormente, en el caso de contar con el debido contenido presupuestario, se haría contratación por un monto de 200 millones por año, con un total de 400 millones o por el monto que se apruebe en el ámbito presupuestario.”</w:t>
      </w:r>
    </w:p>
    <w:p w14:paraId="2B53AC3A" w14:textId="77777777" w:rsidR="00E72C5C" w:rsidRPr="00E24307" w:rsidRDefault="00E72C5C" w:rsidP="00E72C5C">
      <w:pPr>
        <w:pStyle w:val="Prrafodelista"/>
        <w:autoSpaceDE w:val="0"/>
        <w:autoSpaceDN w:val="0"/>
        <w:adjustRightInd w:val="0"/>
        <w:rPr>
          <w:rFonts w:ascii="Verdana" w:eastAsia="MS Mincho" w:hAnsi="Verdana" w:cs="Arial"/>
          <w:bCs/>
        </w:rPr>
      </w:pPr>
    </w:p>
    <w:p w14:paraId="4402EB43" w14:textId="77777777" w:rsidR="00E72C5C" w:rsidRPr="00E24307" w:rsidRDefault="00E72C5C" w:rsidP="00E72C5C">
      <w:pPr>
        <w:pStyle w:val="Default"/>
        <w:numPr>
          <w:ilvl w:val="0"/>
          <w:numId w:val="10"/>
        </w:numPr>
        <w:jc w:val="both"/>
        <w:rPr>
          <w:rFonts w:ascii="Verdana" w:eastAsia="Times New Roman" w:hAnsi="Verdana" w:cs="Arial"/>
          <w:b/>
          <w:bCs/>
          <w:color w:val="auto"/>
          <w:sz w:val="20"/>
          <w:szCs w:val="20"/>
          <w:lang w:val="es-ES" w:eastAsia="es-ES"/>
        </w:rPr>
      </w:pPr>
      <w:r w:rsidRPr="00E24307">
        <w:rPr>
          <w:rFonts w:ascii="Verdana" w:eastAsia="Times New Roman" w:hAnsi="Verdana" w:cs="Arial"/>
          <w:b/>
          <w:bCs/>
          <w:color w:val="auto"/>
          <w:sz w:val="20"/>
          <w:szCs w:val="20"/>
          <w:lang w:val="es-ES" w:eastAsia="es-ES"/>
        </w:rPr>
        <w:t>Licencias software para lectura remota de medidores:</w:t>
      </w:r>
    </w:p>
    <w:p w14:paraId="3D19D575" w14:textId="77777777" w:rsidR="00E72C5C" w:rsidRPr="00E24307" w:rsidRDefault="00E72C5C" w:rsidP="00E72C5C">
      <w:pPr>
        <w:autoSpaceDE w:val="0"/>
        <w:autoSpaceDN w:val="0"/>
        <w:adjustRightInd w:val="0"/>
        <w:ind w:left="705"/>
        <w:rPr>
          <w:rFonts w:ascii="Verdana" w:hAnsi="Verdana" w:cs="Arial"/>
          <w:bCs/>
        </w:rPr>
      </w:pPr>
      <w:r w:rsidRPr="00E24307">
        <w:rPr>
          <w:rFonts w:ascii="Verdana" w:hAnsi="Verdana" w:cs="Arial"/>
          <w:bCs/>
        </w:rPr>
        <w:t xml:space="preserve">A través del procedimiento por excepción 2020PP-000392-000020 se está tramitando esta contratación, misma que saldrá en tiempo y forma antes de finalizar el 2020. </w:t>
      </w:r>
    </w:p>
    <w:p w14:paraId="231EC7C4" w14:textId="77777777" w:rsidR="00E72C5C" w:rsidRPr="00E24307" w:rsidRDefault="00E72C5C" w:rsidP="00E72C5C">
      <w:pPr>
        <w:autoSpaceDE w:val="0"/>
        <w:autoSpaceDN w:val="0"/>
        <w:adjustRightInd w:val="0"/>
        <w:ind w:left="705"/>
        <w:rPr>
          <w:rFonts w:ascii="Verdana" w:hAnsi="Verdana" w:cs="Arial"/>
          <w:bCs/>
        </w:rPr>
      </w:pPr>
    </w:p>
    <w:p w14:paraId="00164C85" w14:textId="77777777" w:rsidR="00E72C5C" w:rsidRPr="00E24307" w:rsidRDefault="00E72C5C" w:rsidP="00E72C5C">
      <w:pPr>
        <w:pStyle w:val="Default"/>
        <w:numPr>
          <w:ilvl w:val="0"/>
          <w:numId w:val="10"/>
        </w:numPr>
        <w:jc w:val="both"/>
        <w:rPr>
          <w:rFonts w:ascii="Verdana" w:eastAsia="Times New Roman" w:hAnsi="Verdana" w:cs="Arial"/>
          <w:b/>
          <w:bCs/>
          <w:color w:val="auto"/>
          <w:sz w:val="20"/>
          <w:szCs w:val="20"/>
          <w:lang w:val="es-ES" w:eastAsia="es-ES"/>
        </w:rPr>
      </w:pPr>
      <w:r w:rsidRPr="00E24307">
        <w:rPr>
          <w:rFonts w:ascii="Verdana" w:eastAsia="Times New Roman" w:hAnsi="Verdana" w:cs="Arial"/>
          <w:b/>
          <w:bCs/>
          <w:color w:val="auto"/>
          <w:sz w:val="20"/>
          <w:szCs w:val="20"/>
          <w:lang w:val="es-ES" w:eastAsia="es-ES"/>
        </w:rPr>
        <w:t xml:space="preserve">Adquisición de equipos y servicio de instalación para la ampliación del sistema de comunicación operativa: </w:t>
      </w:r>
    </w:p>
    <w:p w14:paraId="72824848" w14:textId="77777777" w:rsidR="00E72C5C" w:rsidRPr="00E24307" w:rsidRDefault="00E72C5C" w:rsidP="00E72C5C">
      <w:pPr>
        <w:pStyle w:val="Prrafodelista"/>
        <w:autoSpaceDE w:val="0"/>
        <w:autoSpaceDN w:val="0"/>
        <w:adjustRightInd w:val="0"/>
        <w:rPr>
          <w:rFonts w:ascii="Verdana" w:eastAsia="MS Mincho" w:hAnsi="Verdana" w:cs="Arial"/>
          <w:bCs/>
        </w:rPr>
      </w:pPr>
      <w:r w:rsidRPr="00E24307">
        <w:rPr>
          <w:rFonts w:ascii="Verdana" w:eastAsia="MS Mincho" w:hAnsi="Verdana" w:cs="Arial"/>
          <w:bCs/>
        </w:rPr>
        <w:t>Se está en etapa de ejecución de los procedimientos de escasa cuantía 2020PP-000285 (SIACO 673) Red FAN Escazú fase II; escasa cuantía 2020PP-000334 (SIACO 798) Equipo de seguridad y comunicación SCADA y Escasa Cuantía 2020PP-000338 (SIACO 754) Adquisición equipos Administrador de ancho de banda.</w:t>
      </w:r>
    </w:p>
    <w:p w14:paraId="0B1BD451" w14:textId="77777777" w:rsidR="00E72C5C" w:rsidRDefault="00E72C5C" w:rsidP="00E72C5C">
      <w:pPr>
        <w:pStyle w:val="Prrafodelista"/>
        <w:autoSpaceDE w:val="0"/>
        <w:autoSpaceDN w:val="0"/>
        <w:adjustRightInd w:val="0"/>
        <w:rPr>
          <w:rFonts w:ascii="Verdana" w:eastAsia="MS Mincho" w:hAnsi="Verdana" w:cs="Arial"/>
          <w:bCs/>
        </w:rPr>
      </w:pPr>
    </w:p>
    <w:p w14:paraId="419398D7" w14:textId="77777777" w:rsidR="00CD5B6A" w:rsidRPr="00E24307" w:rsidRDefault="00CD5B6A" w:rsidP="00E72C5C">
      <w:pPr>
        <w:pStyle w:val="Prrafodelista"/>
        <w:autoSpaceDE w:val="0"/>
        <w:autoSpaceDN w:val="0"/>
        <w:adjustRightInd w:val="0"/>
        <w:rPr>
          <w:rFonts w:ascii="Verdana" w:eastAsia="MS Mincho" w:hAnsi="Verdana" w:cs="Arial"/>
          <w:bCs/>
        </w:rPr>
      </w:pPr>
    </w:p>
    <w:p w14:paraId="2ED82548" w14:textId="33AB367E" w:rsidR="00E72C5C" w:rsidRPr="00E24307" w:rsidRDefault="00E72C5C" w:rsidP="007370FD">
      <w:pPr>
        <w:pStyle w:val="Ttulo2"/>
        <w:numPr>
          <w:ilvl w:val="1"/>
          <w:numId w:val="11"/>
        </w:numPr>
        <w:rPr>
          <w:rFonts w:ascii="Verdana" w:hAnsi="Verdana"/>
        </w:rPr>
      </w:pPr>
      <w:bookmarkStart w:id="7" w:name="_Toc79157950"/>
      <w:r w:rsidRPr="00E24307">
        <w:rPr>
          <w:rFonts w:ascii="Verdana" w:hAnsi="Verdana"/>
        </w:rPr>
        <w:t>Concursos iniciados</w:t>
      </w:r>
      <w:bookmarkEnd w:id="7"/>
    </w:p>
    <w:p w14:paraId="351B0BA1" w14:textId="77777777" w:rsidR="00E72C5C" w:rsidRPr="00E24307" w:rsidRDefault="00E72C5C" w:rsidP="00E72C5C">
      <w:pPr>
        <w:rPr>
          <w:rFonts w:ascii="Verdana" w:hAnsi="Verdana" w:cs="Arial"/>
          <w:bCs/>
        </w:rPr>
      </w:pPr>
    </w:p>
    <w:p w14:paraId="6999FC79" w14:textId="77777777" w:rsidR="00E72C5C" w:rsidRPr="00E24307" w:rsidRDefault="00E72C5C" w:rsidP="00E72C5C">
      <w:pPr>
        <w:rPr>
          <w:rFonts w:ascii="Verdana" w:hAnsi="Verdana" w:cs="Arial"/>
          <w:bCs/>
        </w:rPr>
      </w:pPr>
      <w:r w:rsidRPr="00E24307">
        <w:rPr>
          <w:rFonts w:ascii="Verdana" w:hAnsi="Verdana" w:cs="Arial"/>
          <w:bCs/>
        </w:rPr>
        <w:t>El 100% de los tres procedimientos de contratación restantes fueron publicados e iniciados durante el año 2020 en el sistema de compras públicas SICOP para iniciar el proceso de adquisición.</w:t>
      </w:r>
    </w:p>
    <w:p w14:paraId="537797C1" w14:textId="77777777" w:rsidR="00E72C5C" w:rsidRPr="00E24307" w:rsidRDefault="00E72C5C" w:rsidP="00E72C5C">
      <w:pPr>
        <w:rPr>
          <w:rFonts w:ascii="Verdana" w:hAnsi="Verdana" w:cs="Arial"/>
          <w:bCs/>
        </w:rPr>
      </w:pPr>
    </w:p>
    <w:p w14:paraId="2E05B33C" w14:textId="77777777" w:rsidR="00E72C5C" w:rsidRPr="00E24307" w:rsidRDefault="00E72C5C" w:rsidP="00E72C5C">
      <w:pPr>
        <w:rPr>
          <w:rFonts w:ascii="Verdana" w:hAnsi="Verdana" w:cs="Arial"/>
          <w:bCs/>
        </w:rPr>
      </w:pPr>
    </w:p>
    <w:p w14:paraId="2BB9E2C2" w14:textId="5249C260" w:rsidR="00E72C5C" w:rsidRPr="00E24307" w:rsidRDefault="00E72C5C" w:rsidP="007370FD">
      <w:pPr>
        <w:pStyle w:val="Ttulo2"/>
        <w:numPr>
          <w:ilvl w:val="1"/>
          <w:numId w:val="11"/>
        </w:numPr>
        <w:rPr>
          <w:rFonts w:ascii="Verdana" w:hAnsi="Verdana" w:cs="Arial"/>
          <w:bCs/>
        </w:rPr>
      </w:pPr>
      <w:bookmarkStart w:id="8" w:name="_Toc79157951"/>
      <w:r w:rsidRPr="00E24307">
        <w:rPr>
          <w:rFonts w:ascii="Verdana" w:hAnsi="Verdana"/>
        </w:rPr>
        <w:t>Estado de los concursos de adquisición al cierre de año</w:t>
      </w:r>
      <w:bookmarkEnd w:id="8"/>
      <w:r w:rsidRPr="00E24307">
        <w:rPr>
          <w:rFonts w:ascii="Verdana" w:hAnsi="Verdana" w:cs="Arial"/>
          <w:bCs/>
        </w:rPr>
        <w:t xml:space="preserve"> </w:t>
      </w:r>
    </w:p>
    <w:p w14:paraId="153CFDC7" w14:textId="77777777" w:rsidR="00E72C5C" w:rsidRPr="00E24307" w:rsidRDefault="00E72C5C" w:rsidP="00E72C5C">
      <w:pPr>
        <w:pStyle w:val="Prrafodelista"/>
        <w:ind w:left="1080"/>
        <w:rPr>
          <w:rFonts w:ascii="Verdana" w:hAnsi="Verdana" w:cs="Arial"/>
          <w:bCs/>
        </w:rPr>
      </w:pPr>
    </w:p>
    <w:p w14:paraId="7614EC10" w14:textId="77777777" w:rsidR="00E72C5C" w:rsidRPr="00E24307" w:rsidRDefault="00E72C5C" w:rsidP="00E72C5C">
      <w:pPr>
        <w:rPr>
          <w:rFonts w:ascii="Verdana" w:hAnsi="Verdana" w:cs="Arial"/>
          <w:bCs/>
        </w:rPr>
      </w:pPr>
      <w:r w:rsidRPr="00E24307">
        <w:rPr>
          <w:rFonts w:ascii="Verdana" w:hAnsi="Verdana" w:cs="Arial"/>
          <w:bCs/>
        </w:rPr>
        <w:t xml:space="preserve">De los tres procedimientos de concursos de adquisición dos fueron adjudicados en firme antes de finalizar el año y uno se mantenía en proceso de apelación ante la Contraloría General de la República, adicionalmente existe un concurso del período 2019 aún en proceso de firmeza por múltiples recursos de apelación interpuestos ante la Contraloría General de la República durante el año 2020.  </w:t>
      </w:r>
    </w:p>
    <w:p w14:paraId="1BB125C4" w14:textId="77777777" w:rsidR="00E72C5C" w:rsidRPr="00E24307" w:rsidRDefault="00E72C5C" w:rsidP="00E72C5C">
      <w:pPr>
        <w:rPr>
          <w:rFonts w:ascii="Verdana" w:hAnsi="Verdana" w:cs="Arial"/>
          <w:bCs/>
        </w:rPr>
      </w:pPr>
    </w:p>
    <w:p w14:paraId="61A621C0" w14:textId="77777777" w:rsidR="00CD5B6A" w:rsidRDefault="00CD5B6A" w:rsidP="00E72C5C">
      <w:pPr>
        <w:spacing w:line="360" w:lineRule="auto"/>
        <w:rPr>
          <w:rFonts w:ascii="Verdana" w:eastAsia="Times New Roman" w:hAnsi="Verdana" w:cs="Arial"/>
          <w:b/>
          <w:i/>
          <w:lang w:val="es-ES_tradnl" w:eastAsia="es-ES"/>
        </w:rPr>
      </w:pPr>
    </w:p>
    <w:p w14:paraId="3D69A116" w14:textId="77777777" w:rsidR="00CD5B6A" w:rsidRDefault="00CD5B6A" w:rsidP="00E72C5C">
      <w:pPr>
        <w:spacing w:line="360" w:lineRule="auto"/>
        <w:rPr>
          <w:rFonts w:ascii="Verdana" w:eastAsia="Times New Roman" w:hAnsi="Verdana" w:cs="Arial"/>
          <w:b/>
          <w:i/>
          <w:lang w:val="es-ES_tradnl" w:eastAsia="es-ES"/>
        </w:rPr>
      </w:pPr>
    </w:p>
    <w:p w14:paraId="185596C5" w14:textId="77777777" w:rsidR="00CD5B6A" w:rsidRDefault="00CD5B6A" w:rsidP="00E72C5C">
      <w:pPr>
        <w:spacing w:line="360" w:lineRule="auto"/>
        <w:rPr>
          <w:rFonts w:ascii="Verdana" w:eastAsia="Times New Roman" w:hAnsi="Verdana" w:cs="Arial"/>
          <w:b/>
          <w:i/>
          <w:lang w:val="es-ES_tradnl" w:eastAsia="es-ES"/>
        </w:rPr>
      </w:pPr>
    </w:p>
    <w:p w14:paraId="2685CBE0" w14:textId="77777777" w:rsidR="00CD5B6A" w:rsidRDefault="00CD5B6A" w:rsidP="00E72C5C">
      <w:pPr>
        <w:spacing w:line="360" w:lineRule="auto"/>
        <w:rPr>
          <w:rFonts w:ascii="Verdana" w:eastAsia="Times New Roman" w:hAnsi="Verdana" w:cs="Arial"/>
          <w:b/>
          <w:i/>
          <w:lang w:val="es-ES_tradnl" w:eastAsia="es-ES"/>
        </w:rPr>
      </w:pPr>
    </w:p>
    <w:p w14:paraId="75EB0EB6" w14:textId="77777777" w:rsidR="00CD5B6A" w:rsidRDefault="00CD5B6A" w:rsidP="00E72C5C">
      <w:pPr>
        <w:spacing w:line="360" w:lineRule="auto"/>
        <w:rPr>
          <w:rFonts w:ascii="Verdana" w:eastAsia="Times New Roman" w:hAnsi="Verdana" w:cs="Arial"/>
          <w:b/>
          <w:i/>
          <w:lang w:val="es-ES_tradnl" w:eastAsia="es-ES"/>
        </w:rPr>
      </w:pPr>
    </w:p>
    <w:p w14:paraId="55A0611D" w14:textId="77777777" w:rsidR="00CD5B6A" w:rsidRDefault="00CD5B6A" w:rsidP="00E72C5C">
      <w:pPr>
        <w:spacing w:line="360" w:lineRule="auto"/>
        <w:rPr>
          <w:rFonts w:ascii="Verdana" w:eastAsia="Times New Roman" w:hAnsi="Verdana" w:cs="Arial"/>
          <w:b/>
          <w:i/>
          <w:lang w:val="es-ES_tradnl" w:eastAsia="es-ES"/>
        </w:rPr>
      </w:pPr>
    </w:p>
    <w:p w14:paraId="04BA7F43" w14:textId="77777777" w:rsidR="00CD5B6A" w:rsidRDefault="00CD5B6A" w:rsidP="00E72C5C">
      <w:pPr>
        <w:spacing w:line="360" w:lineRule="auto"/>
        <w:rPr>
          <w:rFonts w:ascii="Verdana" w:eastAsia="Times New Roman" w:hAnsi="Verdana" w:cs="Arial"/>
          <w:b/>
          <w:i/>
          <w:lang w:val="es-ES_tradnl" w:eastAsia="es-ES"/>
        </w:rPr>
      </w:pPr>
    </w:p>
    <w:p w14:paraId="01B0EC22" w14:textId="77777777" w:rsidR="00CD5B6A" w:rsidRDefault="00CD5B6A" w:rsidP="00E72C5C">
      <w:pPr>
        <w:spacing w:line="360" w:lineRule="auto"/>
        <w:rPr>
          <w:rFonts w:ascii="Verdana" w:eastAsia="Times New Roman" w:hAnsi="Verdana" w:cs="Arial"/>
          <w:b/>
          <w:i/>
          <w:lang w:val="es-ES_tradnl" w:eastAsia="es-ES"/>
        </w:rPr>
      </w:pPr>
    </w:p>
    <w:p w14:paraId="7B5F9011" w14:textId="77777777" w:rsidR="00CD5B6A" w:rsidRDefault="00CD5B6A" w:rsidP="00E72C5C">
      <w:pPr>
        <w:spacing w:line="360" w:lineRule="auto"/>
        <w:rPr>
          <w:rFonts w:ascii="Verdana" w:eastAsia="Times New Roman" w:hAnsi="Verdana" w:cs="Arial"/>
          <w:b/>
          <w:i/>
          <w:lang w:val="es-ES_tradnl" w:eastAsia="es-ES"/>
        </w:rPr>
      </w:pPr>
    </w:p>
    <w:p w14:paraId="1C26D377" w14:textId="77777777" w:rsidR="00CD5B6A" w:rsidRDefault="00CD5B6A" w:rsidP="00E72C5C">
      <w:pPr>
        <w:spacing w:line="360" w:lineRule="auto"/>
        <w:rPr>
          <w:rFonts w:ascii="Verdana" w:eastAsia="Times New Roman" w:hAnsi="Verdana" w:cs="Arial"/>
          <w:b/>
          <w:i/>
          <w:lang w:val="es-ES_tradnl" w:eastAsia="es-ES"/>
        </w:rPr>
      </w:pPr>
    </w:p>
    <w:p w14:paraId="188B4D61" w14:textId="77777777" w:rsidR="00CD5B6A" w:rsidRDefault="00CD5B6A" w:rsidP="00E72C5C">
      <w:pPr>
        <w:spacing w:line="360" w:lineRule="auto"/>
        <w:rPr>
          <w:rFonts w:ascii="Verdana" w:eastAsia="Times New Roman" w:hAnsi="Verdana" w:cs="Arial"/>
          <w:b/>
          <w:i/>
          <w:lang w:val="es-ES_tradnl" w:eastAsia="es-ES"/>
        </w:rPr>
      </w:pPr>
    </w:p>
    <w:p w14:paraId="33245137" w14:textId="77777777" w:rsidR="00CD5B6A" w:rsidRDefault="00CD5B6A" w:rsidP="00E72C5C">
      <w:pPr>
        <w:spacing w:line="360" w:lineRule="auto"/>
        <w:rPr>
          <w:rFonts w:ascii="Verdana" w:eastAsia="Times New Roman" w:hAnsi="Verdana" w:cs="Arial"/>
          <w:b/>
          <w:i/>
          <w:lang w:val="es-ES_tradnl" w:eastAsia="es-ES"/>
        </w:rPr>
      </w:pPr>
    </w:p>
    <w:p w14:paraId="134C6FB1" w14:textId="77777777" w:rsidR="00CD5B6A" w:rsidRDefault="00CD5B6A" w:rsidP="00E72C5C">
      <w:pPr>
        <w:spacing w:line="360" w:lineRule="auto"/>
        <w:rPr>
          <w:rFonts w:ascii="Verdana" w:eastAsia="Times New Roman" w:hAnsi="Verdana" w:cs="Arial"/>
          <w:b/>
          <w:i/>
          <w:lang w:val="es-ES_tradnl" w:eastAsia="es-ES"/>
        </w:rPr>
      </w:pPr>
    </w:p>
    <w:p w14:paraId="76027EBB" w14:textId="77777777" w:rsidR="00E72C5C" w:rsidRPr="00E24307" w:rsidRDefault="00E72C5C" w:rsidP="00CD5B6A">
      <w:pPr>
        <w:spacing w:line="360" w:lineRule="auto"/>
        <w:jc w:val="center"/>
        <w:rPr>
          <w:rFonts w:ascii="Verdana" w:eastAsia="Times New Roman" w:hAnsi="Verdana" w:cs="Arial"/>
          <w:b/>
          <w:i/>
          <w:lang w:val="es-ES_tradnl" w:eastAsia="es-ES"/>
        </w:rPr>
      </w:pPr>
      <w:r w:rsidRPr="00E24307">
        <w:rPr>
          <w:rFonts w:ascii="Verdana" w:eastAsia="Times New Roman" w:hAnsi="Verdana" w:cs="Arial"/>
          <w:b/>
          <w:i/>
          <w:lang w:val="es-ES_tradnl" w:eastAsia="es-ES"/>
        </w:rPr>
        <w:t>Cuadro N°2</w:t>
      </w:r>
    </w:p>
    <w:p w14:paraId="0FB019B6" w14:textId="7665A26E" w:rsidR="00E72C5C" w:rsidRPr="00CD5B6A" w:rsidRDefault="00E72C5C" w:rsidP="00CD5B6A">
      <w:pPr>
        <w:spacing w:line="360" w:lineRule="auto"/>
        <w:jc w:val="center"/>
        <w:rPr>
          <w:rFonts w:ascii="Verdana" w:eastAsia="Times New Roman" w:hAnsi="Verdana" w:cs="Arial"/>
          <w:lang w:val="es-ES_tradnl" w:eastAsia="es-ES"/>
        </w:rPr>
      </w:pPr>
      <w:r w:rsidRPr="00CD5B6A">
        <w:rPr>
          <w:rFonts w:ascii="Verdana" w:eastAsia="Times New Roman" w:hAnsi="Verdana" w:cs="Arial"/>
          <w:lang w:val="es-ES_tradnl" w:eastAsia="es-ES"/>
        </w:rPr>
        <w:t>Estado de los concursos de adquisición al cierre</w:t>
      </w:r>
    </w:p>
    <w:p w14:paraId="593F04C0" w14:textId="77777777" w:rsidR="00CD5B6A" w:rsidRDefault="00CD5B6A" w:rsidP="00CD5B6A">
      <w:pPr>
        <w:spacing w:line="360" w:lineRule="auto"/>
        <w:jc w:val="center"/>
        <w:rPr>
          <w:rFonts w:ascii="Verdana" w:eastAsia="Times New Roman" w:hAnsi="Verdana" w:cs="Arial"/>
          <w:b/>
          <w:i/>
          <w:lang w:val="es-ES_tradnl" w:eastAsia="es-ES"/>
        </w:rPr>
      </w:pPr>
    </w:p>
    <w:p w14:paraId="62A54B66" w14:textId="77777777" w:rsidR="00E72C5C" w:rsidRPr="00E24307" w:rsidRDefault="00E72C5C" w:rsidP="00E72C5C">
      <w:pPr>
        <w:spacing w:line="360" w:lineRule="auto"/>
        <w:jc w:val="center"/>
        <w:rPr>
          <w:rFonts w:ascii="Verdana" w:eastAsia="Times New Roman" w:hAnsi="Verdana" w:cs="Arial"/>
          <w:b/>
          <w:i/>
          <w:lang w:val="es-ES_tradnl" w:eastAsia="es-ES"/>
        </w:rPr>
      </w:pPr>
      <w:r w:rsidRPr="00E24307">
        <w:rPr>
          <w:rFonts w:ascii="Verdana" w:eastAsia="Times New Roman" w:hAnsi="Verdana" w:cs="Arial"/>
          <w:b/>
          <w:i/>
          <w:lang w:val="es-ES_tradnl" w:eastAsia="es-ES"/>
        </w:rPr>
        <w:t>Concursos iniciados en el año 2020</w:t>
      </w:r>
    </w:p>
    <w:p w14:paraId="7A4A6556" w14:textId="77777777" w:rsidR="00E72C5C" w:rsidRPr="00E24307" w:rsidRDefault="00E72C5C" w:rsidP="00E72C5C">
      <w:pPr>
        <w:spacing w:line="360" w:lineRule="auto"/>
        <w:jc w:val="center"/>
        <w:rPr>
          <w:rFonts w:ascii="Verdana" w:hAnsi="Verdana" w:cs="Arial"/>
          <w:bCs/>
        </w:rPr>
      </w:pPr>
    </w:p>
    <w:p w14:paraId="131E99EB" w14:textId="77777777" w:rsidR="00E72C5C" w:rsidRPr="00E24307" w:rsidRDefault="00E72C5C" w:rsidP="00E72C5C">
      <w:pPr>
        <w:rPr>
          <w:rFonts w:ascii="Verdana" w:hAnsi="Verdana" w:cs="Arial"/>
          <w:bCs/>
        </w:rPr>
      </w:pPr>
      <w:r w:rsidRPr="00E24307">
        <w:rPr>
          <w:rFonts w:ascii="Verdana" w:hAnsi="Verdana"/>
          <w:noProof/>
          <w:lang w:eastAsia="es-CR"/>
        </w:rPr>
        <w:drawing>
          <wp:inline distT="0" distB="0" distL="0" distR="0" wp14:anchorId="69559D2B" wp14:editId="147B7548">
            <wp:extent cx="6480810" cy="1746425"/>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810" cy="1746425"/>
                    </a:xfrm>
                    <a:prstGeom prst="rect">
                      <a:avLst/>
                    </a:prstGeom>
                    <a:noFill/>
                    <a:ln>
                      <a:noFill/>
                    </a:ln>
                  </pic:spPr>
                </pic:pic>
              </a:graphicData>
            </a:graphic>
          </wp:inline>
        </w:drawing>
      </w:r>
    </w:p>
    <w:p w14:paraId="180381A6" w14:textId="77777777" w:rsidR="00E72C5C" w:rsidRPr="00E24307" w:rsidRDefault="00E72C5C" w:rsidP="00E72C5C">
      <w:pPr>
        <w:rPr>
          <w:rFonts w:ascii="Verdana" w:hAnsi="Verdana" w:cs="Arial"/>
          <w:bCs/>
        </w:rPr>
      </w:pPr>
    </w:p>
    <w:p w14:paraId="1DA5EE5E" w14:textId="77777777" w:rsidR="00E72C5C" w:rsidRPr="00E24307" w:rsidRDefault="00E72C5C" w:rsidP="00E72C5C">
      <w:pPr>
        <w:jc w:val="center"/>
        <w:rPr>
          <w:rFonts w:ascii="Verdana" w:eastAsia="Times New Roman" w:hAnsi="Verdana" w:cs="Arial"/>
          <w:b/>
          <w:i/>
          <w:lang w:val="es-ES_tradnl" w:eastAsia="es-ES"/>
        </w:rPr>
      </w:pPr>
    </w:p>
    <w:p w14:paraId="01B64759" w14:textId="77777777" w:rsidR="00E72C5C" w:rsidRPr="00E24307" w:rsidRDefault="00E72C5C" w:rsidP="00E72C5C">
      <w:pPr>
        <w:jc w:val="center"/>
        <w:rPr>
          <w:rFonts w:ascii="Verdana" w:eastAsia="Times New Roman" w:hAnsi="Verdana" w:cs="Arial"/>
          <w:b/>
          <w:i/>
          <w:lang w:val="es-ES_tradnl" w:eastAsia="es-ES"/>
        </w:rPr>
      </w:pPr>
      <w:r w:rsidRPr="00E24307">
        <w:rPr>
          <w:rFonts w:ascii="Verdana" w:eastAsia="Times New Roman" w:hAnsi="Verdana" w:cs="Arial"/>
          <w:b/>
          <w:i/>
          <w:lang w:val="es-ES_tradnl" w:eastAsia="es-ES"/>
        </w:rPr>
        <w:t>Concursos en proceso del período 2019</w:t>
      </w:r>
    </w:p>
    <w:p w14:paraId="48DBC17A" w14:textId="77777777" w:rsidR="00E72C5C" w:rsidRPr="00E24307" w:rsidRDefault="00E72C5C" w:rsidP="00E72C5C">
      <w:pPr>
        <w:jc w:val="center"/>
        <w:rPr>
          <w:rFonts w:ascii="Verdana" w:eastAsia="Times New Roman" w:hAnsi="Verdana" w:cs="Arial"/>
          <w:b/>
          <w:i/>
          <w:lang w:val="es-ES_tradnl" w:eastAsia="es-ES"/>
        </w:rPr>
      </w:pPr>
    </w:p>
    <w:p w14:paraId="319A3C3E" w14:textId="77777777" w:rsidR="00E72C5C" w:rsidRPr="00E24307" w:rsidRDefault="00E72C5C" w:rsidP="00E72C5C">
      <w:pPr>
        <w:jc w:val="center"/>
        <w:rPr>
          <w:rFonts w:ascii="Verdana" w:eastAsia="Times New Roman" w:hAnsi="Verdana" w:cs="Arial"/>
          <w:b/>
          <w:i/>
          <w:lang w:val="es-ES_tradnl" w:eastAsia="es-ES"/>
        </w:rPr>
      </w:pPr>
    </w:p>
    <w:p w14:paraId="0505D59E" w14:textId="77777777" w:rsidR="00E72C5C" w:rsidRPr="00E24307" w:rsidRDefault="00E72C5C" w:rsidP="00E72C5C">
      <w:pPr>
        <w:jc w:val="center"/>
        <w:rPr>
          <w:rFonts w:ascii="Verdana" w:eastAsia="Times New Roman" w:hAnsi="Verdana" w:cs="Arial"/>
          <w:b/>
          <w:i/>
          <w:lang w:val="es-ES_tradnl" w:eastAsia="es-ES"/>
        </w:rPr>
      </w:pPr>
      <w:r w:rsidRPr="00E24307">
        <w:rPr>
          <w:rFonts w:ascii="Verdana" w:hAnsi="Verdana"/>
          <w:noProof/>
          <w:lang w:eastAsia="es-CR"/>
        </w:rPr>
        <w:drawing>
          <wp:inline distT="0" distB="0" distL="0" distR="0" wp14:anchorId="5F4F0BE5" wp14:editId="768827A1">
            <wp:extent cx="6480810" cy="62904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810" cy="629044"/>
                    </a:xfrm>
                    <a:prstGeom prst="rect">
                      <a:avLst/>
                    </a:prstGeom>
                    <a:noFill/>
                    <a:ln>
                      <a:noFill/>
                    </a:ln>
                  </pic:spPr>
                </pic:pic>
              </a:graphicData>
            </a:graphic>
          </wp:inline>
        </w:drawing>
      </w:r>
    </w:p>
    <w:p w14:paraId="4BE0BFA0" w14:textId="77777777" w:rsidR="00E72C5C" w:rsidRPr="00E24307" w:rsidRDefault="00E72C5C" w:rsidP="00E72C5C">
      <w:pPr>
        <w:jc w:val="center"/>
        <w:rPr>
          <w:rFonts w:ascii="Verdana" w:eastAsia="Times New Roman" w:hAnsi="Verdana" w:cs="Arial"/>
          <w:b/>
          <w:i/>
          <w:lang w:val="es-ES_tradnl" w:eastAsia="es-ES"/>
        </w:rPr>
      </w:pPr>
    </w:p>
    <w:p w14:paraId="082443EE" w14:textId="77777777" w:rsidR="00E72C5C" w:rsidRPr="00E24307" w:rsidRDefault="00E72C5C" w:rsidP="00E72C5C">
      <w:pPr>
        <w:rPr>
          <w:rFonts w:ascii="Verdana" w:hAnsi="Verdana" w:cs="Arial"/>
          <w:bCs/>
        </w:rPr>
      </w:pPr>
    </w:p>
    <w:p w14:paraId="65FA79A7" w14:textId="77777777" w:rsidR="00E72C5C" w:rsidRPr="00E24307" w:rsidRDefault="00E72C5C" w:rsidP="00E72C5C">
      <w:pPr>
        <w:ind w:left="-142"/>
        <w:rPr>
          <w:rFonts w:ascii="Verdana" w:hAnsi="Verdana" w:cs="Arial"/>
          <w:b/>
          <w:bCs/>
        </w:rPr>
      </w:pPr>
    </w:p>
    <w:p w14:paraId="5519D9ED" w14:textId="00ABF37D" w:rsidR="00E72C5C" w:rsidRPr="00D83B5B" w:rsidRDefault="00E72C5C" w:rsidP="00D83B5B">
      <w:pPr>
        <w:pStyle w:val="Ttulo2"/>
        <w:numPr>
          <w:ilvl w:val="1"/>
          <w:numId w:val="11"/>
        </w:numPr>
        <w:rPr>
          <w:rFonts w:ascii="Verdana" w:hAnsi="Verdana"/>
        </w:rPr>
      </w:pPr>
      <w:bookmarkStart w:id="9" w:name="_Toc79157952"/>
      <w:r w:rsidRPr="00D83B5B">
        <w:rPr>
          <w:rFonts w:ascii="Verdana" w:hAnsi="Verdana"/>
        </w:rPr>
        <w:t>Concursos infructuosos, desiertos o anulados</w:t>
      </w:r>
      <w:bookmarkEnd w:id="9"/>
    </w:p>
    <w:p w14:paraId="5BCA4644" w14:textId="77777777" w:rsidR="00E72C5C" w:rsidRPr="00E24307" w:rsidRDefault="00E72C5C" w:rsidP="00E72C5C">
      <w:pPr>
        <w:rPr>
          <w:rFonts w:ascii="Verdana" w:hAnsi="Verdana" w:cs="Arial"/>
          <w:bCs/>
        </w:rPr>
      </w:pPr>
    </w:p>
    <w:p w14:paraId="79F6917D" w14:textId="77777777" w:rsidR="00E72C5C" w:rsidRPr="00E24307" w:rsidRDefault="00E72C5C" w:rsidP="00E72C5C">
      <w:pPr>
        <w:ind w:firstLine="708"/>
        <w:rPr>
          <w:rFonts w:ascii="Verdana" w:hAnsi="Verdana" w:cs="Arial"/>
          <w:bCs/>
        </w:rPr>
      </w:pPr>
      <w:r w:rsidRPr="00E24307">
        <w:rPr>
          <w:rFonts w:ascii="Verdana" w:hAnsi="Verdana" w:cs="Arial"/>
          <w:bCs/>
        </w:rPr>
        <w:t xml:space="preserve">Durante el año 2020 no hubo concursos infructuosos, desiertos o anulados. </w:t>
      </w:r>
    </w:p>
    <w:p w14:paraId="0338731B" w14:textId="77777777" w:rsidR="00E72C5C" w:rsidRPr="00E24307" w:rsidRDefault="00E72C5C" w:rsidP="00E72C5C">
      <w:pPr>
        <w:rPr>
          <w:rFonts w:ascii="Verdana" w:hAnsi="Verdana" w:cs="Arial"/>
          <w:bCs/>
        </w:rPr>
      </w:pPr>
    </w:p>
    <w:p w14:paraId="27A48EAE" w14:textId="77777777" w:rsidR="00E72C5C" w:rsidRPr="00E24307" w:rsidRDefault="00E72C5C" w:rsidP="00E72C5C">
      <w:pPr>
        <w:spacing w:line="360" w:lineRule="auto"/>
        <w:ind w:left="708"/>
        <w:rPr>
          <w:rFonts w:ascii="Verdana" w:eastAsia="Times New Roman" w:hAnsi="Verdana" w:cs="Arial"/>
          <w:lang w:eastAsia="es-ES"/>
        </w:rPr>
      </w:pPr>
    </w:p>
    <w:p w14:paraId="6F0261B5" w14:textId="77777777" w:rsidR="00E72C5C" w:rsidRPr="00E24307" w:rsidRDefault="00E72C5C" w:rsidP="00E72C5C">
      <w:pPr>
        <w:pStyle w:val="Prrafodelista"/>
        <w:ind w:left="284"/>
        <w:rPr>
          <w:rFonts w:ascii="Verdana" w:hAnsi="Verdana" w:cs="Arial"/>
          <w:b/>
          <w:bCs/>
          <w:sz w:val="22"/>
          <w:szCs w:val="22"/>
        </w:rPr>
      </w:pPr>
    </w:p>
    <w:p w14:paraId="496B4BF2" w14:textId="77777777" w:rsidR="00E72C5C" w:rsidRPr="00D83B5B" w:rsidRDefault="00E72C5C" w:rsidP="00D83B5B">
      <w:pPr>
        <w:pStyle w:val="Ttulo2"/>
        <w:numPr>
          <w:ilvl w:val="1"/>
          <w:numId w:val="11"/>
        </w:numPr>
        <w:rPr>
          <w:rFonts w:ascii="Verdana" w:hAnsi="Verdana"/>
        </w:rPr>
      </w:pPr>
      <w:bookmarkStart w:id="10" w:name="_Toc79157953"/>
      <w:r w:rsidRPr="00D83B5B">
        <w:rPr>
          <w:rFonts w:ascii="Verdana" w:hAnsi="Verdana"/>
        </w:rPr>
        <w:t>Duración de los procedimientos de contratación mediante concursos de adquisición.</w:t>
      </w:r>
      <w:bookmarkEnd w:id="10"/>
    </w:p>
    <w:p w14:paraId="344D7209" w14:textId="77777777" w:rsidR="00E72C5C" w:rsidRPr="00E24307" w:rsidRDefault="00E72C5C" w:rsidP="00E72C5C">
      <w:pPr>
        <w:rPr>
          <w:rFonts w:ascii="Verdana" w:hAnsi="Verdana" w:cs="Arial"/>
          <w:bCs/>
        </w:rPr>
      </w:pPr>
    </w:p>
    <w:p w14:paraId="1A1C850F" w14:textId="77777777" w:rsidR="00E72C5C" w:rsidRPr="00E24307" w:rsidRDefault="00E72C5C" w:rsidP="00E72C5C">
      <w:pPr>
        <w:rPr>
          <w:rFonts w:ascii="Verdana" w:hAnsi="Verdana" w:cs="Arial"/>
          <w:bCs/>
        </w:rPr>
      </w:pPr>
    </w:p>
    <w:p w14:paraId="5329565B" w14:textId="77777777" w:rsidR="00E72C5C" w:rsidRPr="00E24307" w:rsidRDefault="00E72C5C" w:rsidP="00E72C5C">
      <w:pPr>
        <w:rPr>
          <w:rFonts w:ascii="Verdana" w:hAnsi="Verdana" w:cs="Arial"/>
          <w:bCs/>
        </w:rPr>
      </w:pPr>
      <w:r w:rsidRPr="00E24307">
        <w:rPr>
          <w:rFonts w:ascii="Verdana" w:hAnsi="Verdana" w:cs="Arial"/>
          <w:bCs/>
        </w:rPr>
        <w:t>El gráfico N</w:t>
      </w:r>
      <w:r w:rsidRPr="00E24307">
        <w:rPr>
          <w:rFonts w:ascii="Verdana" w:hAnsi="Verdana" w:cs="Arial"/>
          <w:bCs/>
          <w:lang w:eastAsia="ja-JP"/>
        </w:rPr>
        <w:t xml:space="preserve">°2 muestra la duración de cada uno de los concursos de adquisición que se iniciaron y lograron finalizar </w:t>
      </w:r>
      <w:r w:rsidRPr="00E24307">
        <w:rPr>
          <w:rFonts w:ascii="Verdana" w:hAnsi="Verdana" w:cs="Arial"/>
          <w:bCs/>
        </w:rPr>
        <w:t xml:space="preserve">al 31 de diciembre de 2019. De los 3 concursos tramitados en el período 2020, se finalizaron un total de 2 concursos de adquisición con una duración promedio de 79 días y 180 días, el primero debido a que por la cuantía del monto adjudicado fue adjudicado por la Proveeduría Empresarial y el segundo por el Consejo de Administración. </w:t>
      </w:r>
    </w:p>
    <w:p w14:paraId="73E2CCF4" w14:textId="77777777" w:rsidR="00E72C5C" w:rsidRPr="00E24307" w:rsidRDefault="00E72C5C" w:rsidP="00E72C5C">
      <w:pPr>
        <w:rPr>
          <w:rFonts w:ascii="Verdana" w:hAnsi="Verdana" w:cs="Arial"/>
          <w:bCs/>
        </w:rPr>
      </w:pPr>
    </w:p>
    <w:p w14:paraId="5EDD9C0F" w14:textId="77777777" w:rsidR="00E72C5C" w:rsidRPr="00E24307" w:rsidRDefault="00E72C5C" w:rsidP="00E72C5C">
      <w:pPr>
        <w:rPr>
          <w:rFonts w:ascii="Verdana" w:hAnsi="Verdana" w:cs="Arial"/>
          <w:bCs/>
        </w:rPr>
      </w:pPr>
    </w:p>
    <w:p w14:paraId="76B8C92E" w14:textId="77777777" w:rsidR="00E72C5C" w:rsidRPr="00E24307" w:rsidRDefault="00E72C5C" w:rsidP="00E72C5C">
      <w:pPr>
        <w:spacing w:line="360" w:lineRule="auto"/>
        <w:rPr>
          <w:rFonts w:ascii="Verdana" w:eastAsia="Times New Roman" w:hAnsi="Verdana" w:cs="Arial"/>
          <w:b/>
          <w:i/>
          <w:lang w:val="es-ES_tradnl" w:eastAsia="es-ES"/>
        </w:rPr>
      </w:pPr>
      <w:r w:rsidRPr="00E24307">
        <w:rPr>
          <w:rFonts w:ascii="Verdana" w:eastAsia="Times New Roman" w:hAnsi="Verdana" w:cs="Arial"/>
          <w:b/>
          <w:i/>
          <w:lang w:val="es-ES_tradnl" w:eastAsia="es-ES"/>
        </w:rPr>
        <w:t>Gráfico No.2</w:t>
      </w:r>
    </w:p>
    <w:p w14:paraId="2A0AF2D5" w14:textId="77777777" w:rsidR="00E72C5C" w:rsidRPr="00E24307" w:rsidRDefault="00E72C5C" w:rsidP="00E72C5C">
      <w:pPr>
        <w:spacing w:line="360" w:lineRule="auto"/>
        <w:jc w:val="center"/>
        <w:rPr>
          <w:rFonts w:ascii="Verdana" w:eastAsia="Times New Roman" w:hAnsi="Verdana" w:cs="Arial"/>
          <w:lang w:val="es-ES" w:eastAsia="es-ES"/>
        </w:rPr>
      </w:pPr>
      <w:r w:rsidRPr="00E24307">
        <w:rPr>
          <w:rFonts w:ascii="Verdana" w:hAnsi="Verdana"/>
          <w:noProof/>
          <w:lang w:eastAsia="es-CR"/>
        </w:rPr>
        <w:drawing>
          <wp:inline distT="0" distB="0" distL="0" distR="0" wp14:anchorId="60654AB7" wp14:editId="28F038CE">
            <wp:extent cx="4371975" cy="237172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129872" w14:textId="77777777" w:rsidR="00E72C5C" w:rsidRPr="00E24307" w:rsidRDefault="00E72C5C" w:rsidP="00E72C5C">
      <w:pPr>
        <w:rPr>
          <w:rFonts w:ascii="Verdana" w:hAnsi="Verdana" w:cs="Arial"/>
          <w:bCs/>
        </w:rPr>
      </w:pPr>
    </w:p>
    <w:p w14:paraId="416EF055" w14:textId="77777777" w:rsidR="00E72C5C" w:rsidRPr="00E24307" w:rsidRDefault="00E72C5C" w:rsidP="00E72C5C">
      <w:pPr>
        <w:rPr>
          <w:rFonts w:ascii="Verdana" w:hAnsi="Verdana" w:cs="Arial"/>
          <w:bCs/>
        </w:rPr>
      </w:pPr>
    </w:p>
    <w:p w14:paraId="5806B915" w14:textId="77777777" w:rsidR="00E72C5C" w:rsidRPr="00E24307" w:rsidRDefault="00E72C5C" w:rsidP="00E72C5C">
      <w:pPr>
        <w:rPr>
          <w:rFonts w:ascii="Verdana" w:hAnsi="Verdana" w:cs="Arial"/>
          <w:bCs/>
        </w:rPr>
      </w:pPr>
      <w:r w:rsidRPr="00E24307">
        <w:rPr>
          <w:rFonts w:ascii="Verdana" w:hAnsi="Verdana" w:cs="Arial"/>
          <w:bCs/>
        </w:rPr>
        <w:t xml:space="preserve">El seguimiento de las diferentes etapas que conforman el procedimiento de concurso de adquisición ha permitido identificar que las etapas donde interviene la parte técnica, el adjudicatario y ocasionalmente la aprobación interna (refrendo), constituyen las áreas donde existe una mayor demanda de tiempo para cumplir a cabalidad con lo requerido para continuar el procedimiento de compra.  En el cuadro N°3 se muestra los tiempos óptimos para que los concursos de adquisición se realicen en menor tiempo y lo que en realidad están requiriendo las partes involucradas para realizarlos. </w:t>
      </w:r>
    </w:p>
    <w:p w14:paraId="14F73585" w14:textId="77777777" w:rsidR="00E72C5C" w:rsidRPr="00E24307" w:rsidRDefault="00E72C5C" w:rsidP="00E72C5C">
      <w:pPr>
        <w:rPr>
          <w:rFonts w:ascii="Verdana" w:hAnsi="Verdana" w:cs="Arial"/>
          <w:bCs/>
        </w:rPr>
      </w:pPr>
    </w:p>
    <w:p w14:paraId="098F0A07" w14:textId="77777777" w:rsidR="00273856" w:rsidRDefault="00273856" w:rsidP="00E72C5C">
      <w:pPr>
        <w:spacing w:line="360" w:lineRule="auto"/>
        <w:rPr>
          <w:rFonts w:ascii="Verdana" w:eastAsia="Times New Roman" w:hAnsi="Verdana" w:cs="Arial"/>
          <w:b/>
          <w:i/>
          <w:lang w:val="es-ES_tradnl" w:eastAsia="es-ES"/>
        </w:rPr>
      </w:pPr>
    </w:p>
    <w:p w14:paraId="6ACCEF74" w14:textId="77777777" w:rsidR="00E72C5C" w:rsidRPr="00E24307" w:rsidRDefault="00E72C5C" w:rsidP="0095708B">
      <w:pPr>
        <w:spacing w:line="360" w:lineRule="auto"/>
        <w:jc w:val="center"/>
        <w:rPr>
          <w:rFonts w:ascii="Verdana" w:eastAsia="Times New Roman" w:hAnsi="Verdana" w:cs="Arial"/>
          <w:b/>
          <w:i/>
          <w:lang w:val="es-ES_tradnl" w:eastAsia="es-ES"/>
        </w:rPr>
      </w:pPr>
      <w:r w:rsidRPr="00E24307">
        <w:rPr>
          <w:rFonts w:ascii="Verdana" w:eastAsia="Times New Roman" w:hAnsi="Verdana" w:cs="Arial"/>
          <w:b/>
          <w:i/>
          <w:lang w:val="es-ES_tradnl" w:eastAsia="es-ES"/>
        </w:rPr>
        <w:t>Cuadro N°3</w:t>
      </w:r>
    </w:p>
    <w:p w14:paraId="6D1364DB" w14:textId="77777777" w:rsidR="00E72C5C" w:rsidRPr="00E24307" w:rsidRDefault="00E72C5C" w:rsidP="00E72C5C">
      <w:pPr>
        <w:spacing w:line="360" w:lineRule="auto"/>
        <w:jc w:val="center"/>
        <w:rPr>
          <w:rFonts w:ascii="Verdana" w:eastAsia="Times New Roman" w:hAnsi="Verdana" w:cs="Arial"/>
          <w:b/>
          <w:i/>
          <w:lang w:val="es-ES_tradnl" w:eastAsia="es-ES"/>
        </w:rPr>
      </w:pPr>
    </w:p>
    <w:p w14:paraId="1C1113B5" w14:textId="77777777" w:rsidR="00E72C5C" w:rsidRPr="00E24307" w:rsidRDefault="00E72C5C" w:rsidP="00E72C5C">
      <w:pPr>
        <w:spacing w:line="360" w:lineRule="auto"/>
        <w:jc w:val="center"/>
        <w:rPr>
          <w:rFonts w:ascii="Verdana" w:eastAsia="Times New Roman" w:hAnsi="Verdana" w:cs="Arial"/>
          <w:b/>
          <w:i/>
          <w:lang w:val="es-ES_tradnl" w:eastAsia="es-ES"/>
        </w:rPr>
      </w:pPr>
      <w:r w:rsidRPr="00E24307">
        <w:rPr>
          <w:rFonts w:ascii="Verdana" w:eastAsia="Times New Roman" w:hAnsi="Verdana" w:cs="Arial"/>
          <w:b/>
          <w:i/>
          <w:lang w:val="es-ES_tradnl" w:eastAsia="es-ES"/>
        </w:rPr>
        <w:t>Etapas de los concursos de adquisición con una duración mayor a la establecida</w:t>
      </w:r>
    </w:p>
    <w:p w14:paraId="562DBAD4" w14:textId="77777777" w:rsidR="00E72C5C" w:rsidRPr="00E24307" w:rsidRDefault="00E72C5C" w:rsidP="00E72C5C">
      <w:pPr>
        <w:rPr>
          <w:rFonts w:ascii="Verdana" w:hAnsi="Verdana" w:cs="Arial"/>
          <w:bCs/>
          <w:lang w:eastAsia="ja-JP"/>
        </w:rPr>
      </w:pPr>
    </w:p>
    <w:p w14:paraId="33653A12" w14:textId="77777777" w:rsidR="00E72C5C" w:rsidRPr="00E24307" w:rsidRDefault="00E72C5C" w:rsidP="00E72C5C">
      <w:pPr>
        <w:rPr>
          <w:rFonts w:ascii="Verdana" w:hAnsi="Verdana" w:cs="Arial"/>
          <w:bCs/>
        </w:rPr>
      </w:pPr>
    </w:p>
    <w:p w14:paraId="4D71A353" w14:textId="77777777" w:rsidR="00E72C5C" w:rsidRPr="00E24307" w:rsidRDefault="00E72C5C" w:rsidP="00E72C5C">
      <w:pPr>
        <w:rPr>
          <w:rFonts w:ascii="Verdana" w:hAnsi="Verdana" w:cs="Arial"/>
          <w:bCs/>
        </w:rPr>
      </w:pPr>
      <w:r w:rsidRPr="00E24307">
        <w:rPr>
          <w:rFonts w:ascii="Verdana" w:hAnsi="Verdana"/>
          <w:noProof/>
          <w:lang w:eastAsia="es-CR"/>
        </w:rPr>
        <w:drawing>
          <wp:inline distT="0" distB="0" distL="0" distR="0" wp14:anchorId="22C00703" wp14:editId="3BD9BF34">
            <wp:extent cx="6480810" cy="1580347"/>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810" cy="1580347"/>
                    </a:xfrm>
                    <a:prstGeom prst="rect">
                      <a:avLst/>
                    </a:prstGeom>
                    <a:noFill/>
                    <a:ln>
                      <a:noFill/>
                    </a:ln>
                  </pic:spPr>
                </pic:pic>
              </a:graphicData>
            </a:graphic>
          </wp:inline>
        </w:drawing>
      </w:r>
    </w:p>
    <w:p w14:paraId="1B937861" w14:textId="77777777" w:rsidR="00E72C5C" w:rsidRPr="00E24307" w:rsidRDefault="00E72C5C" w:rsidP="00E72C5C">
      <w:pPr>
        <w:rPr>
          <w:rFonts w:ascii="Verdana" w:hAnsi="Verdana" w:cs="Arial"/>
          <w:bCs/>
        </w:rPr>
      </w:pPr>
    </w:p>
    <w:p w14:paraId="037DD0D2" w14:textId="77777777" w:rsidR="00E72C5C" w:rsidRPr="00E24307" w:rsidRDefault="00E72C5C" w:rsidP="00E72C5C">
      <w:pPr>
        <w:rPr>
          <w:rFonts w:ascii="Verdana" w:hAnsi="Verdana" w:cs="Arial"/>
          <w:bCs/>
        </w:rPr>
      </w:pPr>
    </w:p>
    <w:p w14:paraId="0CC0C8E1" w14:textId="77777777" w:rsidR="00E72C5C" w:rsidRPr="00E24307" w:rsidRDefault="00E72C5C" w:rsidP="00E72C5C">
      <w:pPr>
        <w:rPr>
          <w:rFonts w:ascii="Verdana" w:hAnsi="Verdana" w:cs="Arial"/>
          <w:bCs/>
        </w:rPr>
      </w:pPr>
    </w:p>
    <w:p w14:paraId="5AE7293E" w14:textId="77777777" w:rsidR="00E72C5C" w:rsidRPr="00E24307" w:rsidRDefault="00E72C5C" w:rsidP="00E72C5C">
      <w:pPr>
        <w:rPr>
          <w:rFonts w:ascii="Verdana" w:hAnsi="Verdana" w:cs="Arial"/>
          <w:bCs/>
        </w:rPr>
      </w:pPr>
      <w:r w:rsidRPr="00E24307">
        <w:rPr>
          <w:rFonts w:ascii="Verdana" w:hAnsi="Verdana" w:cs="Arial"/>
          <w:bCs/>
        </w:rPr>
        <w:lastRenderedPageBreak/>
        <w:t xml:space="preserve">El cuadro anterior muestra cómo el estudio técnico sigue siendo una etapa en la cual se tarda más de dos meses siendo lo recomendado 15 días hábiles, así mismo el proceso de conformación y revisión de la documentación que se eleva al Consejo de Administración cuando le corresponde las adjudicaciones ha añadido hasta más de tres meses al plazo de la contratación: este proceso incluye la revisión de acuerdo por parte de la Asesoría Jurídica y de toda la demás documentación por parte del comité de revisión. </w:t>
      </w:r>
    </w:p>
    <w:p w14:paraId="712610A1" w14:textId="77777777" w:rsidR="00E72C5C" w:rsidRPr="00E24307" w:rsidRDefault="00E72C5C" w:rsidP="00E72C5C">
      <w:pPr>
        <w:rPr>
          <w:rFonts w:ascii="Verdana" w:hAnsi="Verdana" w:cs="Arial"/>
          <w:bCs/>
        </w:rPr>
      </w:pPr>
    </w:p>
    <w:p w14:paraId="5C58D9E9" w14:textId="77777777" w:rsidR="00E72C5C" w:rsidRPr="00E24307" w:rsidRDefault="00E72C5C" w:rsidP="00E72C5C">
      <w:pPr>
        <w:rPr>
          <w:rFonts w:ascii="Verdana" w:hAnsi="Verdana" w:cs="Arial"/>
          <w:bCs/>
        </w:rPr>
      </w:pPr>
      <w:r w:rsidRPr="00E24307">
        <w:rPr>
          <w:rFonts w:ascii="Verdana" w:hAnsi="Verdana" w:cs="Arial"/>
          <w:bCs/>
        </w:rPr>
        <w:t>Por lo expuesto en este apartado se considera que esta Proveeduría Empresarial en su campo de competencia atendió satisfactoriamente en tiempo y forma el 100% de los concursos de adquisición conducidos.</w:t>
      </w:r>
    </w:p>
    <w:p w14:paraId="57ACAF5D" w14:textId="77777777" w:rsidR="00E72C5C" w:rsidRPr="00E24307" w:rsidRDefault="00E72C5C" w:rsidP="00E72C5C">
      <w:pPr>
        <w:rPr>
          <w:rFonts w:ascii="Verdana" w:hAnsi="Verdana" w:cs="Arial"/>
          <w:bCs/>
        </w:rPr>
      </w:pPr>
      <w:r w:rsidRPr="00E24307">
        <w:rPr>
          <w:rFonts w:ascii="Verdana" w:hAnsi="Verdana" w:cs="Arial"/>
          <w:bCs/>
        </w:rPr>
        <w:t xml:space="preserve"> </w:t>
      </w:r>
    </w:p>
    <w:p w14:paraId="16D055F5" w14:textId="77777777" w:rsidR="00E72C5C" w:rsidRPr="00E24307" w:rsidRDefault="00E72C5C" w:rsidP="00E72C5C">
      <w:pPr>
        <w:rPr>
          <w:rFonts w:ascii="Verdana" w:hAnsi="Verdana" w:cs="Arial"/>
          <w:bCs/>
        </w:rPr>
      </w:pPr>
    </w:p>
    <w:p w14:paraId="517E634E" w14:textId="77777777" w:rsidR="00E72C5C" w:rsidRPr="00E24307" w:rsidRDefault="00E72C5C" w:rsidP="00E72C5C">
      <w:pPr>
        <w:rPr>
          <w:rFonts w:ascii="Verdana" w:hAnsi="Verdana" w:cs="Arial"/>
          <w:bCs/>
        </w:rPr>
      </w:pPr>
    </w:p>
    <w:p w14:paraId="78B4963A" w14:textId="77777777" w:rsidR="00E72C5C" w:rsidRPr="00E24307" w:rsidRDefault="00E72C5C" w:rsidP="00273856">
      <w:pPr>
        <w:pStyle w:val="Ttulo1"/>
        <w:numPr>
          <w:ilvl w:val="0"/>
          <w:numId w:val="11"/>
        </w:numPr>
        <w:rPr>
          <w:rFonts w:ascii="Verdana" w:eastAsiaTheme="minorHAnsi" w:hAnsi="Verdana" w:cs="Arial"/>
          <w:b w:val="0"/>
          <w:bCs/>
        </w:rPr>
      </w:pPr>
      <w:bookmarkStart w:id="11" w:name="_Toc79157954"/>
      <w:r w:rsidRPr="00273856">
        <w:rPr>
          <w:rFonts w:ascii="Verdana" w:eastAsiaTheme="minorHAnsi" w:hAnsi="Verdana"/>
        </w:rPr>
        <w:t>Contrataciones por procedimiento de escasa cuantía.</w:t>
      </w:r>
      <w:bookmarkEnd w:id="11"/>
      <w:r w:rsidRPr="00273856">
        <w:rPr>
          <w:rFonts w:ascii="Verdana" w:hAnsi="Verdana"/>
          <w:color w:val="E03F00" w:themeColor="accent1" w:themeShade="BF"/>
          <w:sz w:val="26"/>
          <w:szCs w:val="26"/>
        </w:rPr>
        <w:t xml:space="preserve"> </w:t>
      </w:r>
    </w:p>
    <w:p w14:paraId="42F428AE" w14:textId="77777777" w:rsidR="00E72C5C" w:rsidRPr="00E24307" w:rsidRDefault="00E72C5C" w:rsidP="00E72C5C">
      <w:pPr>
        <w:rPr>
          <w:rFonts w:ascii="Verdana" w:hAnsi="Verdana" w:cs="Arial"/>
          <w:bCs/>
        </w:rPr>
      </w:pPr>
    </w:p>
    <w:p w14:paraId="2BC96D8F" w14:textId="77777777" w:rsidR="00E72C5C" w:rsidRPr="00E24307" w:rsidRDefault="00E72C5C" w:rsidP="00E72C5C">
      <w:pPr>
        <w:rPr>
          <w:rFonts w:ascii="Verdana" w:hAnsi="Verdana" w:cs="Arial"/>
          <w:bCs/>
        </w:rPr>
      </w:pPr>
      <w:r w:rsidRPr="00E24307">
        <w:rPr>
          <w:rFonts w:ascii="Verdana" w:hAnsi="Verdana" w:cs="Arial"/>
          <w:bCs/>
        </w:rPr>
        <w:t xml:space="preserve">En relación con las recomendaciones de este informe, es importante mencionar que como parte del proceso de contratación de bienes y servicios la Proveeduría condujo 337 nuevas contrataciones por el procedimiento de escasa cuantía, lo cual refleja que a nivel institucional el procedimiento de escasa cuantía continúa siendo el procedimiento más utilizado, para la adquisición de bienes y servicios. </w:t>
      </w:r>
    </w:p>
    <w:sectPr w:rsidR="00E72C5C" w:rsidRPr="00E24307" w:rsidSect="00D14D2C">
      <w:headerReference w:type="even" r:id="rId20"/>
      <w:headerReference w:type="default" r:id="rId21"/>
      <w:footerReference w:type="default" r:id="rId22"/>
      <w:headerReference w:type="first" r:id="rId23"/>
      <w:pgSz w:w="12240" w:h="15840"/>
      <w:pgMar w:top="1418" w:right="1418" w:bottom="1418" w:left="1701" w:header="709"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9D22" w14:textId="77777777" w:rsidR="00781F33" w:rsidRDefault="00781F33" w:rsidP="00FB409D">
      <w:r>
        <w:separator/>
      </w:r>
    </w:p>
  </w:endnote>
  <w:endnote w:type="continuationSeparator" w:id="0">
    <w:p w14:paraId="3C1A06AF" w14:textId="77777777" w:rsidR="00781F33" w:rsidRDefault="00781F33" w:rsidP="00FB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Gotham">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7"/>
      <w:gridCol w:w="2550"/>
      <w:gridCol w:w="3015"/>
    </w:tblGrid>
    <w:tr w:rsidR="00FF0203" w:rsidRPr="006F414A" w14:paraId="2D20D1A1" w14:textId="77777777" w:rsidTr="004051F3">
      <w:trPr>
        <w:trHeight w:val="356"/>
      </w:trPr>
      <w:tc>
        <w:tcPr>
          <w:tcW w:w="3507" w:type="dxa"/>
        </w:tcPr>
        <w:p w14:paraId="29318653" w14:textId="77777777" w:rsidR="00FF0203" w:rsidRPr="006F414A" w:rsidRDefault="00FF0203" w:rsidP="00FF0203">
          <w:pPr>
            <w:pStyle w:val="Piedepgina1"/>
          </w:pPr>
        </w:p>
      </w:tc>
      <w:tc>
        <w:tcPr>
          <w:tcW w:w="2550" w:type="dxa"/>
        </w:tcPr>
        <w:p w14:paraId="6BFAD84B" w14:textId="77777777" w:rsidR="00FF0203" w:rsidRPr="006F414A" w:rsidRDefault="00FF0203" w:rsidP="00FF0203">
          <w:pPr>
            <w:pStyle w:val="Piedepgina1"/>
          </w:pPr>
        </w:p>
      </w:tc>
      <w:tc>
        <w:tcPr>
          <w:tcW w:w="3015" w:type="dxa"/>
        </w:tcPr>
        <w:p w14:paraId="1148B3A7" w14:textId="77777777" w:rsidR="00FF0203" w:rsidRPr="006F414A" w:rsidRDefault="00FF0203" w:rsidP="00FF0203">
          <w:pPr>
            <w:pStyle w:val="Piedepgina1"/>
          </w:pPr>
        </w:p>
      </w:tc>
    </w:tr>
    <w:tr w:rsidR="00FF0203" w:rsidRPr="006F414A" w14:paraId="0720F616" w14:textId="77777777" w:rsidTr="004051F3">
      <w:trPr>
        <w:trHeight w:val="160"/>
      </w:trPr>
      <w:tc>
        <w:tcPr>
          <w:tcW w:w="3507" w:type="dxa"/>
        </w:tcPr>
        <w:p w14:paraId="5F16DDA9" w14:textId="77777777" w:rsidR="00FF0203" w:rsidRPr="00834EB4" w:rsidRDefault="00FF0203" w:rsidP="00FF0203">
          <w:pPr>
            <w:pStyle w:val="Piedepgina1"/>
          </w:pPr>
        </w:p>
      </w:tc>
      <w:tc>
        <w:tcPr>
          <w:tcW w:w="2550" w:type="dxa"/>
        </w:tcPr>
        <w:p w14:paraId="0B4283E0" w14:textId="77777777" w:rsidR="00FF0203" w:rsidRPr="00834EB4" w:rsidRDefault="00FF0203" w:rsidP="00FF0203">
          <w:pPr>
            <w:pStyle w:val="Piedepgina1"/>
          </w:pPr>
        </w:p>
      </w:tc>
      <w:tc>
        <w:tcPr>
          <w:tcW w:w="3015" w:type="dxa"/>
        </w:tcPr>
        <w:p w14:paraId="11C9D5EF" w14:textId="77777777" w:rsidR="00FF0203" w:rsidRPr="00834EB4" w:rsidRDefault="00FF0203" w:rsidP="00FF0203">
          <w:pPr>
            <w:pStyle w:val="Piedepgina1"/>
            <w:rPr>
              <w:lang w:val="es-ES"/>
            </w:rPr>
          </w:pPr>
        </w:p>
      </w:tc>
    </w:tr>
    <w:tr w:rsidR="00FF0203" w:rsidRPr="006F414A" w14:paraId="60055455" w14:textId="77777777" w:rsidTr="004051F3">
      <w:trPr>
        <w:trHeight w:val="497"/>
      </w:trPr>
      <w:tc>
        <w:tcPr>
          <w:tcW w:w="3507" w:type="dxa"/>
          <w:vAlign w:val="center"/>
        </w:tcPr>
        <w:sdt>
          <w:sdtPr>
            <w:rPr>
              <w:sz w:val="16"/>
              <w:szCs w:val="16"/>
            </w:rPr>
            <w:id w:val="-1769998315"/>
            <w:docPartObj>
              <w:docPartGallery w:val="Page Numbers (Top of Page)"/>
              <w:docPartUnique/>
            </w:docPartObj>
          </w:sdtPr>
          <w:sdtEndPr/>
          <w:sdtContent>
            <w:p w14:paraId="168D6FAE" w14:textId="77777777" w:rsidR="00FF0203" w:rsidRDefault="002F7D47" w:rsidP="00FF0203">
              <w:pPr>
                <w:pStyle w:val="Encabezado"/>
                <w:jc w:val="left"/>
                <w:rPr>
                  <w:sz w:val="16"/>
                  <w:szCs w:val="16"/>
                </w:rPr>
              </w:pPr>
              <w:r>
                <w:rPr>
                  <w:sz w:val="16"/>
                  <w:szCs w:val="16"/>
                  <w:lang w:val="es-ES"/>
                </w:rPr>
                <w:t>PÁ</w:t>
              </w:r>
              <w:r w:rsidR="00FF0203" w:rsidRPr="00E22A93">
                <w:rPr>
                  <w:sz w:val="16"/>
                  <w:szCs w:val="16"/>
                  <w:lang w:val="es-ES"/>
                </w:rPr>
                <w:t xml:space="preserve">GINA </w:t>
              </w:r>
              <w:r w:rsidR="00FF0203" w:rsidRPr="00E22A93">
                <w:rPr>
                  <w:b/>
                  <w:bCs/>
                  <w:sz w:val="16"/>
                  <w:szCs w:val="16"/>
                </w:rPr>
                <w:fldChar w:fldCharType="begin"/>
              </w:r>
              <w:r w:rsidR="00FF0203" w:rsidRPr="00E22A93">
                <w:rPr>
                  <w:b/>
                  <w:bCs/>
                  <w:sz w:val="16"/>
                  <w:szCs w:val="16"/>
                </w:rPr>
                <w:instrText>PAGE</w:instrText>
              </w:r>
              <w:r w:rsidR="00FF0203" w:rsidRPr="00E22A93">
                <w:rPr>
                  <w:b/>
                  <w:bCs/>
                  <w:sz w:val="16"/>
                  <w:szCs w:val="16"/>
                </w:rPr>
                <w:fldChar w:fldCharType="separate"/>
              </w:r>
              <w:r w:rsidR="00D866A0">
                <w:rPr>
                  <w:b/>
                  <w:bCs/>
                  <w:noProof/>
                  <w:sz w:val="16"/>
                  <w:szCs w:val="16"/>
                </w:rPr>
                <w:t>2</w:t>
              </w:r>
              <w:r w:rsidR="00FF0203" w:rsidRPr="00E22A93">
                <w:rPr>
                  <w:b/>
                  <w:bCs/>
                  <w:sz w:val="16"/>
                  <w:szCs w:val="16"/>
                </w:rPr>
                <w:fldChar w:fldCharType="end"/>
              </w:r>
              <w:r w:rsidR="00FF0203" w:rsidRPr="00E22A93">
                <w:rPr>
                  <w:sz w:val="16"/>
                  <w:szCs w:val="16"/>
                  <w:lang w:val="es-ES"/>
                </w:rPr>
                <w:t xml:space="preserve"> DE </w:t>
              </w:r>
              <w:r w:rsidR="00FF0203" w:rsidRPr="00E22A93">
                <w:rPr>
                  <w:b/>
                  <w:bCs/>
                  <w:sz w:val="16"/>
                  <w:szCs w:val="16"/>
                </w:rPr>
                <w:fldChar w:fldCharType="begin"/>
              </w:r>
              <w:r w:rsidR="00FF0203" w:rsidRPr="00E22A93">
                <w:rPr>
                  <w:b/>
                  <w:bCs/>
                  <w:sz w:val="16"/>
                  <w:szCs w:val="16"/>
                </w:rPr>
                <w:instrText>NUMPAGES</w:instrText>
              </w:r>
              <w:r w:rsidR="00FF0203" w:rsidRPr="00E22A93">
                <w:rPr>
                  <w:b/>
                  <w:bCs/>
                  <w:sz w:val="16"/>
                  <w:szCs w:val="16"/>
                </w:rPr>
                <w:fldChar w:fldCharType="separate"/>
              </w:r>
              <w:r w:rsidR="00D866A0">
                <w:rPr>
                  <w:b/>
                  <w:bCs/>
                  <w:noProof/>
                  <w:sz w:val="16"/>
                  <w:szCs w:val="16"/>
                </w:rPr>
                <w:t>11</w:t>
              </w:r>
              <w:r w:rsidR="00FF0203" w:rsidRPr="00E22A93">
                <w:rPr>
                  <w:b/>
                  <w:bCs/>
                  <w:sz w:val="16"/>
                  <w:szCs w:val="16"/>
                </w:rPr>
                <w:fldChar w:fldCharType="end"/>
              </w:r>
            </w:p>
          </w:sdtContent>
        </w:sdt>
        <w:p w14:paraId="4B0216D7" w14:textId="77777777" w:rsidR="00FF0203" w:rsidRPr="00834EB4" w:rsidRDefault="00FF0203" w:rsidP="00FF0203">
          <w:pPr>
            <w:pStyle w:val="Piedepgina1"/>
            <w:jc w:val="left"/>
          </w:pPr>
        </w:p>
      </w:tc>
      <w:tc>
        <w:tcPr>
          <w:tcW w:w="2550" w:type="dxa"/>
          <w:vAlign w:val="center"/>
        </w:tcPr>
        <w:p w14:paraId="2A330B86" w14:textId="77777777" w:rsidR="00FF0203" w:rsidRPr="00834EB4" w:rsidRDefault="00FF0203" w:rsidP="00FF0203">
          <w:pPr>
            <w:pStyle w:val="Encabezado"/>
            <w:jc w:val="right"/>
          </w:pPr>
        </w:p>
      </w:tc>
      <w:tc>
        <w:tcPr>
          <w:tcW w:w="3015" w:type="dxa"/>
          <w:vAlign w:val="center"/>
        </w:tcPr>
        <w:p w14:paraId="034DF038" w14:textId="77777777" w:rsidR="00FF0203" w:rsidRPr="00834EB4" w:rsidRDefault="00FF0203" w:rsidP="00FF0203">
          <w:pPr>
            <w:pStyle w:val="Piedepgina1"/>
            <w:jc w:val="right"/>
          </w:pPr>
          <w:r>
            <w:drawing>
              <wp:inline distT="0" distB="0" distL="0" distR="0" wp14:anchorId="3F5242E4" wp14:editId="51DD0A21">
                <wp:extent cx="1051643" cy="460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Logo CNFL gris.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5073" cy="461877"/>
                        </a:xfrm>
                        <a:prstGeom prst="rect">
                          <a:avLst/>
                        </a:prstGeom>
                      </pic:spPr>
                    </pic:pic>
                  </a:graphicData>
                </a:graphic>
              </wp:inline>
            </w:drawing>
          </w:r>
        </w:p>
      </w:tc>
    </w:tr>
  </w:tbl>
  <w:p w14:paraId="47811F5E" w14:textId="77777777" w:rsidR="00797A39" w:rsidRDefault="00797A39" w:rsidP="00EB7887">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D3A3" w14:textId="77777777" w:rsidR="00781F33" w:rsidRDefault="00781F33" w:rsidP="00FB409D">
      <w:r>
        <w:separator/>
      </w:r>
    </w:p>
  </w:footnote>
  <w:footnote w:type="continuationSeparator" w:id="0">
    <w:p w14:paraId="5200EC99" w14:textId="77777777" w:rsidR="00781F33" w:rsidRDefault="00781F33" w:rsidP="00FB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800C" w14:textId="77777777" w:rsidR="0062664A" w:rsidRDefault="00781F33">
    <w:pPr>
      <w:pStyle w:val="Encabezado"/>
    </w:pPr>
    <w:r>
      <w:rPr>
        <w:noProof/>
        <w:lang w:eastAsia="es-CR"/>
      </w:rPr>
      <w:pict w14:anchorId="3C374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33797" o:spid="_x0000_s2055" type="#_x0000_t75" style="position:absolute;left:0;text-align:left;margin-left:0;margin-top:0;width:455.65pt;height:563.75pt;z-index:-251657216;mso-position-horizontal:center;mso-position-horizontal-relative:margin;mso-position-vertical:center;mso-position-vertical-relative:margin" o:allowincell="f">
          <v:imagedata r:id="rId1" o:title="portada_2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D393" w14:textId="77777777" w:rsidR="00B93C75" w:rsidRDefault="00B93C75">
    <w:pPr>
      <w:pStyle w:val="Encabezado"/>
    </w:pPr>
    <w:r>
      <w:rPr>
        <w:noProof/>
        <w:lang w:eastAsia="es-CR"/>
      </w:rPr>
      <mc:AlternateContent>
        <mc:Choice Requires="wps">
          <w:drawing>
            <wp:anchor distT="0" distB="0" distL="114300" distR="114300" simplePos="0" relativeHeight="251657216" behindDoc="0" locked="0" layoutInCell="1" allowOverlap="1" wp14:anchorId="3064EA25" wp14:editId="2A775706">
              <wp:simplePos x="0" y="0"/>
              <wp:positionH relativeFrom="page">
                <wp:align>left</wp:align>
              </wp:positionH>
              <wp:positionV relativeFrom="paragraph">
                <wp:posOffset>-450025</wp:posOffset>
              </wp:positionV>
              <wp:extent cx="7776000" cy="106878"/>
              <wp:effectExtent l="0" t="0" r="15875" b="26670"/>
              <wp:wrapThrough wrapText="bothSides">
                <wp:wrapPolygon edited="0">
                  <wp:start x="0" y="0"/>
                  <wp:lineTo x="0" y="23143"/>
                  <wp:lineTo x="21591" y="23143"/>
                  <wp:lineTo x="21591" y="0"/>
                  <wp:lineTo x="0" y="0"/>
                </wp:wrapPolygon>
              </wp:wrapThrough>
              <wp:docPr id="201" name="Rectángulo 201"/>
              <wp:cNvGraphicFramePr/>
              <a:graphic xmlns:a="http://schemas.openxmlformats.org/drawingml/2006/main">
                <a:graphicData uri="http://schemas.microsoft.com/office/word/2010/wordprocessingShape">
                  <wps:wsp>
                    <wps:cNvSpPr/>
                    <wps:spPr>
                      <a:xfrm>
                        <a:off x="0" y="0"/>
                        <a:ext cx="7776000" cy="106878"/>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DE931" id="Rectángulo 201" o:spid="_x0000_s1026" style="position:absolute;margin-left:0;margin-top:-35.45pt;width:612.3pt;height:8.4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" fillcolor="#ff692d [3204]" strokecolor="#ff692d [3204]" strokeweight=".85pt">
              <w10:wrap type="through"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7CDD" w14:textId="77777777" w:rsidR="00C73050" w:rsidRDefault="00781F33">
    <w:pPr>
      <w:pStyle w:val="Encabezado"/>
    </w:pPr>
    <w:r>
      <w:rPr>
        <w:noProof/>
        <w:lang w:eastAsia="es-CR"/>
      </w:rPr>
      <w:pict w14:anchorId="27DA8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33796" o:spid="_x0000_s2054" type="#_x0000_t75" style="position:absolute;left:0;text-align:left;margin-left:-84.7pt;margin-top:-88.15pt;width:455.65pt;height:563.75pt;z-index:-251658240;mso-position-horizontal-relative:margin;mso-position-vertical-relative:margin" o:allowincell="f">
          <v:imagedata r:id="rId1" o:title="portada_2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CA"/>
    <w:multiLevelType w:val="multilevel"/>
    <w:tmpl w:val="E1785A62"/>
    <w:lvl w:ilvl="0">
      <w:start w:val="1"/>
      <w:numFmt w:val="decimal"/>
      <w:lvlText w:val="%1."/>
      <w:lvlJc w:val="left"/>
      <w:pPr>
        <w:ind w:left="720" w:hanging="360"/>
      </w:pPr>
      <w:rPr>
        <w:b/>
      </w:rPr>
    </w:lvl>
    <w:lvl w:ilvl="1">
      <w:start w:val="2"/>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A16B91"/>
    <w:multiLevelType w:val="hybridMultilevel"/>
    <w:tmpl w:val="E258F4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79674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172B39"/>
    <w:multiLevelType w:val="multilevel"/>
    <w:tmpl w:val="E452C5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F86A52"/>
    <w:multiLevelType w:val="hybridMultilevel"/>
    <w:tmpl w:val="4B741714"/>
    <w:lvl w:ilvl="0" w:tplc="26D08036">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C102098"/>
    <w:multiLevelType w:val="hybridMultilevel"/>
    <w:tmpl w:val="3C6A395E"/>
    <w:lvl w:ilvl="0" w:tplc="140A0013">
      <w:start w:val="1"/>
      <w:numFmt w:val="upp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2D055CD3"/>
    <w:multiLevelType w:val="multilevel"/>
    <w:tmpl w:val="E452C5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21477A"/>
    <w:multiLevelType w:val="hybridMultilevel"/>
    <w:tmpl w:val="EFECB2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6101A8E"/>
    <w:multiLevelType w:val="hybridMultilevel"/>
    <w:tmpl w:val="D1FEB4F4"/>
    <w:lvl w:ilvl="0" w:tplc="4F584334">
      <w:start w:val="4"/>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71A741B"/>
    <w:multiLevelType w:val="hybridMultilevel"/>
    <w:tmpl w:val="17BAA982"/>
    <w:lvl w:ilvl="0" w:tplc="26D08036">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73C7F9E"/>
    <w:multiLevelType w:val="hybridMultilevel"/>
    <w:tmpl w:val="5B949BE4"/>
    <w:lvl w:ilvl="0" w:tplc="2B26D4BC">
      <w:start w:val="1"/>
      <w:numFmt w:val="decimal"/>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9E4778A"/>
    <w:multiLevelType w:val="hybridMultilevel"/>
    <w:tmpl w:val="40A8E17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6D9411C1"/>
    <w:multiLevelType w:val="hybridMultilevel"/>
    <w:tmpl w:val="8E584FF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14B27D7"/>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E12CE0"/>
    <w:multiLevelType w:val="hybridMultilevel"/>
    <w:tmpl w:val="7636799A"/>
    <w:lvl w:ilvl="0" w:tplc="4F584334">
      <w:start w:val="4"/>
      <w:numFmt w:val="bullet"/>
      <w:lvlText w:val="-"/>
      <w:lvlJc w:val="left"/>
      <w:pPr>
        <w:ind w:left="435" w:hanging="360"/>
      </w:pPr>
      <w:rPr>
        <w:rFonts w:ascii="Verdana" w:eastAsiaTheme="minorHAnsi" w:hAnsi="Verdana" w:cstheme="minorBidi" w:hint="default"/>
      </w:rPr>
    </w:lvl>
    <w:lvl w:ilvl="1" w:tplc="140A0003" w:tentative="1">
      <w:start w:val="1"/>
      <w:numFmt w:val="bullet"/>
      <w:lvlText w:val="o"/>
      <w:lvlJc w:val="left"/>
      <w:pPr>
        <w:ind w:left="1155" w:hanging="360"/>
      </w:pPr>
      <w:rPr>
        <w:rFonts w:ascii="Courier New" w:hAnsi="Courier New" w:cs="Courier New" w:hint="default"/>
      </w:rPr>
    </w:lvl>
    <w:lvl w:ilvl="2" w:tplc="140A0005" w:tentative="1">
      <w:start w:val="1"/>
      <w:numFmt w:val="bullet"/>
      <w:lvlText w:val=""/>
      <w:lvlJc w:val="left"/>
      <w:pPr>
        <w:ind w:left="1875" w:hanging="360"/>
      </w:pPr>
      <w:rPr>
        <w:rFonts w:ascii="Wingdings" w:hAnsi="Wingdings" w:hint="default"/>
      </w:rPr>
    </w:lvl>
    <w:lvl w:ilvl="3" w:tplc="140A0001" w:tentative="1">
      <w:start w:val="1"/>
      <w:numFmt w:val="bullet"/>
      <w:lvlText w:val=""/>
      <w:lvlJc w:val="left"/>
      <w:pPr>
        <w:ind w:left="2595" w:hanging="360"/>
      </w:pPr>
      <w:rPr>
        <w:rFonts w:ascii="Symbol" w:hAnsi="Symbol" w:hint="default"/>
      </w:rPr>
    </w:lvl>
    <w:lvl w:ilvl="4" w:tplc="140A0003" w:tentative="1">
      <w:start w:val="1"/>
      <w:numFmt w:val="bullet"/>
      <w:lvlText w:val="o"/>
      <w:lvlJc w:val="left"/>
      <w:pPr>
        <w:ind w:left="3315" w:hanging="360"/>
      </w:pPr>
      <w:rPr>
        <w:rFonts w:ascii="Courier New" w:hAnsi="Courier New" w:cs="Courier New" w:hint="default"/>
      </w:rPr>
    </w:lvl>
    <w:lvl w:ilvl="5" w:tplc="140A0005" w:tentative="1">
      <w:start w:val="1"/>
      <w:numFmt w:val="bullet"/>
      <w:lvlText w:val=""/>
      <w:lvlJc w:val="left"/>
      <w:pPr>
        <w:ind w:left="4035" w:hanging="360"/>
      </w:pPr>
      <w:rPr>
        <w:rFonts w:ascii="Wingdings" w:hAnsi="Wingdings" w:hint="default"/>
      </w:rPr>
    </w:lvl>
    <w:lvl w:ilvl="6" w:tplc="140A0001" w:tentative="1">
      <w:start w:val="1"/>
      <w:numFmt w:val="bullet"/>
      <w:lvlText w:val=""/>
      <w:lvlJc w:val="left"/>
      <w:pPr>
        <w:ind w:left="4755" w:hanging="360"/>
      </w:pPr>
      <w:rPr>
        <w:rFonts w:ascii="Symbol" w:hAnsi="Symbol" w:hint="default"/>
      </w:rPr>
    </w:lvl>
    <w:lvl w:ilvl="7" w:tplc="140A0003" w:tentative="1">
      <w:start w:val="1"/>
      <w:numFmt w:val="bullet"/>
      <w:lvlText w:val="o"/>
      <w:lvlJc w:val="left"/>
      <w:pPr>
        <w:ind w:left="5475" w:hanging="360"/>
      </w:pPr>
      <w:rPr>
        <w:rFonts w:ascii="Courier New" w:hAnsi="Courier New" w:cs="Courier New" w:hint="default"/>
      </w:rPr>
    </w:lvl>
    <w:lvl w:ilvl="8" w:tplc="140A0005" w:tentative="1">
      <w:start w:val="1"/>
      <w:numFmt w:val="bullet"/>
      <w:lvlText w:val=""/>
      <w:lvlJc w:val="left"/>
      <w:pPr>
        <w:ind w:left="6195" w:hanging="360"/>
      </w:pPr>
      <w:rPr>
        <w:rFonts w:ascii="Wingdings" w:hAnsi="Wingdings" w:hint="default"/>
      </w:rPr>
    </w:lvl>
  </w:abstractNum>
  <w:abstractNum w:abstractNumId="15" w15:restartNumberingAfterBreak="0">
    <w:nsid w:val="76561CAC"/>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64396C"/>
    <w:multiLevelType w:val="multilevel"/>
    <w:tmpl w:val="20B89E2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2"/>
  </w:num>
  <w:num w:numId="3">
    <w:abstractNumId w:val="14"/>
  </w:num>
  <w:num w:numId="4">
    <w:abstractNumId w:val="9"/>
  </w:num>
  <w:num w:numId="5">
    <w:abstractNumId w:val="4"/>
  </w:num>
  <w:num w:numId="6">
    <w:abstractNumId w:val="8"/>
  </w:num>
  <w:num w:numId="7">
    <w:abstractNumId w:val="10"/>
  </w:num>
  <w:num w:numId="8">
    <w:abstractNumId w:val="5"/>
  </w:num>
  <w:num w:numId="9">
    <w:abstractNumId w:val="11"/>
  </w:num>
  <w:num w:numId="10">
    <w:abstractNumId w:val="1"/>
  </w:num>
  <w:num w:numId="11">
    <w:abstractNumId w:val="0"/>
  </w:num>
  <w:num w:numId="12">
    <w:abstractNumId w:val="15"/>
  </w:num>
  <w:num w:numId="13">
    <w:abstractNumId w:val="6"/>
  </w:num>
  <w:num w:numId="14">
    <w:abstractNumId w:val="2"/>
  </w:num>
  <w:num w:numId="15">
    <w:abstractNumId w:val="13"/>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88"/>
    <w:rsid w:val="00011596"/>
    <w:rsid w:val="000305EA"/>
    <w:rsid w:val="00043727"/>
    <w:rsid w:val="00047F8D"/>
    <w:rsid w:val="0009145B"/>
    <w:rsid w:val="000A331D"/>
    <w:rsid w:val="000C4DBF"/>
    <w:rsid w:val="000D791B"/>
    <w:rsid w:val="000D7BBE"/>
    <w:rsid w:val="00135CC1"/>
    <w:rsid w:val="0014333D"/>
    <w:rsid w:val="001B4D50"/>
    <w:rsid w:val="001C266A"/>
    <w:rsid w:val="00247FD4"/>
    <w:rsid w:val="00271756"/>
    <w:rsid w:val="00273856"/>
    <w:rsid w:val="002F7D47"/>
    <w:rsid w:val="003206A2"/>
    <w:rsid w:val="00330530"/>
    <w:rsid w:val="003462BF"/>
    <w:rsid w:val="003745CC"/>
    <w:rsid w:val="003C477E"/>
    <w:rsid w:val="004051F3"/>
    <w:rsid w:val="00443A89"/>
    <w:rsid w:val="004731FA"/>
    <w:rsid w:val="00490714"/>
    <w:rsid w:val="004933FA"/>
    <w:rsid w:val="004B5B00"/>
    <w:rsid w:val="004D7C39"/>
    <w:rsid w:val="004E658F"/>
    <w:rsid w:val="004E7EA2"/>
    <w:rsid w:val="004F31E9"/>
    <w:rsid w:val="004F37F7"/>
    <w:rsid w:val="00505908"/>
    <w:rsid w:val="0054507D"/>
    <w:rsid w:val="00554501"/>
    <w:rsid w:val="005B4F46"/>
    <w:rsid w:val="005C7D04"/>
    <w:rsid w:val="005E05AD"/>
    <w:rsid w:val="0062664A"/>
    <w:rsid w:val="006B586C"/>
    <w:rsid w:val="006B6F34"/>
    <w:rsid w:val="006B7955"/>
    <w:rsid w:val="006F414A"/>
    <w:rsid w:val="0072512C"/>
    <w:rsid w:val="00734F52"/>
    <w:rsid w:val="007370FD"/>
    <w:rsid w:val="007808B1"/>
    <w:rsid w:val="00781F33"/>
    <w:rsid w:val="00797A39"/>
    <w:rsid w:val="007D2FC0"/>
    <w:rsid w:val="007D6BAB"/>
    <w:rsid w:val="00834EB4"/>
    <w:rsid w:val="00855C83"/>
    <w:rsid w:val="00874A48"/>
    <w:rsid w:val="00895CD8"/>
    <w:rsid w:val="008E4B1A"/>
    <w:rsid w:val="00940E5D"/>
    <w:rsid w:val="009542AC"/>
    <w:rsid w:val="0095708B"/>
    <w:rsid w:val="00982B21"/>
    <w:rsid w:val="009947F6"/>
    <w:rsid w:val="009956B3"/>
    <w:rsid w:val="00995D5D"/>
    <w:rsid w:val="009A0FB3"/>
    <w:rsid w:val="009B29D2"/>
    <w:rsid w:val="009B38C5"/>
    <w:rsid w:val="009B40FC"/>
    <w:rsid w:val="009D0F12"/>
    <w:rsid w:val="009D2AC2"/>
    <w:rsid w:val="00A35AEC"/>
    <w:rsid w:val="00A808DC"/>
    <w:rsid w:val="00A8475D"/>
    <w:rsid w:val="00AE1D7B"/>
    <w:rsid w:val="00B35EF0"/>
    <w:rsid w:val="00B47999"/>
    <w:rsid w:val="00B66699"/>
    <w:rsid w:val="00B92DE6"/>
    <w:rsid w:val="00B93C75"/>
    <w:rsid w:val="00B952E1"/>
    <w:rsid w:val="00BB232A"/>
    <w:rsid w:val="00BD54A9"/>
    <w:rsid w:val="00C01BD9"/>
    <w:rsid w:val="00C25F38"/>
    <w:rsid w:val="00C66FBC"/>
    <w:rsid w:val="00C73050"/>
    <w:rsid w:val="00CD3AA1"/>
    <w:rsid w:val="00CD5B6A"/>
    <w:rsid w:val="00CD7088"/>
    <w:rsid w:val="00CF6341"/>
    <w:rsid w:val="00D14D2C"/>
    <w:rsid w:val="00D33D17"/>
    <w:rsid w:val="00D57484"/>
    <w:rsid w:val="00D6667D"/>
    <w:rsid w:val="00D6799B"/>
    <w:rsid w:val="00D75736"/>
    <w:rsid w:val="00D83B5B"/>
    <w:rsid w:val="00D866A0"/>
    <w:rsid w:val="00DA14BD"/>
    <w:rsid w:val="00DB0662"/>
    <w:rsid w:val="00E062DE"/>
    <w:rsid w:val="00E1355A"/>
    <w:rsid w:val="00E22A93"/>
    <w:rsid w:val="00E24307"/>
    <w:rsid w:val="00E25716"/>
    <w:rsid w:val="00E27823"/>
    <w:rsid w:val="00E51C5A"/>
    <w:rsid w:val="00E535DA"/>
    <w:rsid w:val="00E55429"/>
    <w:rsid w:val="00E6537D"/>
    <w:rsid w:val="00E72C5C"/>
    <w:rsid w:val="00E771AB"/>
    <w:rsid w:val="00EB2C14"/>
    <w:rsid w:val="00EB7887"/>
    <w:rsid w:val="00EC6DBC"/>
    <w:rsid w:val="00EE4820"/>
    <w:rsid w:val="00F172C1"/>
    <w:rsid w:val="00F26480"/>
    <w:rsid w:val="00F314D2"/>
    <w:rsid w:val="00F46D71"/>
    <w:rsid w:val="00F56865"/>
    <w:rsid w:val="00F755A3"/>
    <w:rsid w:val="00F937E5"/>
    <w:rsid w:val="00FB409D"/>
    <w:rsid w:val="00FC0668"/>
    <w:rsid w:val="00FC230E"/>
    <w:rsid w:val="00FD559E"/>
    <w:rsid w:val="00FD65FB"/>
    <w:rsid w:val="00FF0203"/>
    <w:rsid w:val="00FF440E"/>
    <w:rsid w:val="00FF49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B705FA6"/>
  <w15:chartTrackingRefBased/>
  <w15:docId w15:val="{7F563A2B-1495-4D9F-90D0-CD8C8704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40E"/>
    <w:pPr>
      <w:spacing w:after="0" w:line="240" w:lineRule="auto"/>
      <w:jc w:val="both"/>
    </w:pPr>
    <w:rPr>
      <w:sz w:val="20"/>
      <w:szCs w:val="20"/>
    </w:rPr>
  </w:style>
  <w:style w:type="paragraph" w:styleId="Ttulo1">
    <w:name w:val="heading 1"/>
    <w:basedOn w:val="Normal"/>
    <w:next w:val="Normal"/>
    <w:link w:val="Ttulo1Car"/>
    <w:uiPriority w:val="9"/>
    <w:qFormat/>
    <w:rsid w:val="00CF6341"/>
    <w:pPr>
      <w:keepNext/>
      <w:keepLines/>
      <w:spacing w:before="240"/>
      <w:outlineLvl w:val="0"/>
    </w:pPr>
    <w:rPr>
      <w:rFonts w:eastAsiaTheme="majorEastAsia" w:cstheme="majorBidi"/>
      <w:b/>
      <w:color w:val="FF692D" w:themeColor="accent1"/>
      <w:sz w:val="32"/>
      <w:szCs w:val="32"/>
    </w:rPr>
  </w:style>
  <w:style w:type="paragraph" w:styleId="Ttulo2">
    <w:name w:val="heading 2"/>
    <w:basedOn w:val="Normal"/>
    <w:next w:val="Normal"/>
    <w:link w:val="Ttulo2Car"/>
    <w:uiPriority w:val="9"/>
    <w:unhideWhenUsed/>
    <w:qFormat/>
    <w:rsid w:val="00CF6341"/>
    <w:pPr>
      <w:keepNext/>
      <w:keepLines/>
      <w:spacing w:before="40"/>
      <w:outlineLvl w:val="1"/>
    </w:pPr>
    <w:rPr>
      <w:rFonts w:eastAsiaTheme="majorEastAsia" w:cstheme="majorBidi"/>
      <w:b/>
      <w:color w:val="E03F00" w:themeColor="accent1" w:themeShade="BF"/>
      <w:sz w:val="26"/>
      <w:szCs w:val="26"/>
    </w:rPr>
  </w:style>
  <w:style w:type="paragraph" w:styleId="Ttulo3">
    <w:name w:val="heading 3"/>
    <w:basedOn w:val="Normal"/>
    <w:next w:val="Normal"/>
    <w:link w:val="Ttulo3Car"/>
    <w:uiPriority w:val="9"/>
    <w:unhideWhenUsed/>
    <w:qFormat/>
    <w:rsid w:val="00CF6341"/>
    <w:pPr>
      <w:keepNext/>
      <w:keepLines/>
      <w:spacing w:before="40"/>
      <w:outlineLvl w:val="2"/>
    </w:pPr>
    <w:rPr>
      <w:rFonts w:eastAsiaTheme="majorEastAsia" w:cstheme="majorBidi"/>
      <w:b/>
      <w:color w:val="000000" w:themeColor="text1"/>
      <w:sz w:val="24"/>
      <w:szCs w:val="24"/>
    </w:rPr>
  </w:style>
  <w:style w:type="paragraph" w:styleId="Ttulo4">
    <w:name w:val="heading 4"/>
    <w:basedOn w:val="Normal"/>
    <w:next w:val="Normal"/>
    <w:link w:val="Ttulo4Car"/>
    <w:uiPriority w:val="9"/>
    <w:unhideWhenUsed/>
    <w:qFormat/>
    <w:rsid w:val="004933FA"/>
    <w:pPr>
      <w:keepNext/>
      <w:keepLines/>
      <w:spacing w:before="40"/>
      <w:outlineLvl w:val="3"/>
    </w:pPr>
    <w:rPr>
      <w:rFonts w:asciiTheme="majorHAnsi" w:eastAsiaTheme="majorEastAsia" w:hAnsiTheme="majorHAnsi" w:cstheme="majorBidi"/>
      <w:i/>
      <w:iCs/>
      <w:color w:val="000000" w:themeColor="text1"/>
    </w:rPr>
  </w:style>
  <w:style w:type="paragraph" w:styleId="Ttulo5">
    <w:name w:val="heading 5"/>
    <w:basedOn w:val="Normal"/>
    <w:next w:val="Normal"/>
    <w:link w:val="Ttulo5Car"/>
    <w:uiPriority w:val="9"/>
    <w:unhideWhenUsed/>
    <w:rsid w:val="00FB409D"/>
    <w:pPr>
      <w:keepNext/>
      <w:keepLines/>
      <w:spacing w:before="40"/>
      <w:outlineLvl w:val="4"/>
    </w:pPr>
    <w:rPr>
      <w:rFonts w:asciiTheme="majorHAnsi" w:eastAsiaTheme="majorEastAsia" w:hAnsiTheme="majorHAnsi" w:cstheme="majorBidi"/>
      <w:color w:val="E03F00" w:themeColor="accent1" w:themeShade="BF"/>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088"/>
    <w:pPr>
      <w:tabs>
        <w:tab w:val="center" w:pos="4419"/>
        <w:tab w:val="right" w:pos="8838"/>
      </w:tabs>
    </w:pPr>
  </w:style>
  <w:style w:type="character" w:customStyle="1" w:styleId="EncabezadoCar">
    <w:name w:val="Encabezado Car"/>
    <w:basedOn w:val="Fuentedeprrafopredeter"/>
    <w:link w:val="Encabezado"/>
    <w:uiPriority w:val="99"/>
    <w:rsid w:val="00CD7088"/>
  </w:style>
  <w:style w:type="paragraph" w:styleId="Piedepgina">
    <w:name w:val="footer"/>
    <w:basedOn w:val="Normal"/>
    <w:link w:val="PiedepginaCar"/>
    <w:uiPriority w:val="99"/>
    <w:unhideWhenUsed/>
    <w:rsid w:val="00CD7088"/>
    <w:pPr>
      <w:tabs>
        <w:tab w:val="center" w:pos="4419"/>
        <w:tab w:val="right" w:pos="8838"/>
      </w:tabs>
    </w:pPr>
  </w:style>
  <w:style w:type="character" w:customStyle="1" w:styleId="PiedepginaCar">
    <w:name w:val="Pie de página Car"/>
    <w:basedOn w:val="Fuentedeprrafopredeter"/>
    <w:link w:val="Piedepgina"/>
    <w:uiPriority w:val="99"/>
    <w:rsid w:val="00CD7088"/>
  </w:style>
  <w:style w:type="table" w:styleId="Tablaconcuadrcula">
    <w:name w:val="Table Grid"/>
    <w:basedOn w:val="Tablanormal"/>
    <w:uiPriority w:val="59"/>
    <w:rsid w:val="0079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6BAB"/>
    <w:pPr>
      <w:ind w:left="720"/>
      <w:contextualSpacing/>
    </w:pPr>
  </w:style>
  <w:style w:type="paragraph" w:styleId="Textodeglobo">
    <w:name w:val="Balloon Text"/>
    <w:basedOn w:val="Normal"/>
    <w:link w:val="TextodegloboCar"/>
    <w:uiPriority w:val="99"/>
    <w:semiHidden/>
    <w:unhideWhenUsed/>
    <w:rsid w:val="00C01B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BD9"/>
    <w:rPr>
      <w:rFonts w:ascii="Segoe UI" w:hAnsi="Segoe UI" w:cs="Segoe UI"/>
      <w:sz w:val="18"/>
      <w:szCs w:val="18"/>
    </w:rPr>
  </w:style>
  <w:style w:type="character" w:customStyle="1" w:styleId="Ttulo5Car">
    <w:name w:val="Título 5 Car"/>
    <w:basedOn w:val="Fuentedeprrafopredeter"/>
    <w:link w:val="Ttulo5"/>
    <w:uiPriority w:val="9"/>
    <w:rsid w:val="00FB409D"/>
    <w:rPr>
      <w:rFonts w:asciiTheme="majorHAnsi" w:eastAsiaTheme="majorEastAsia" w:hAnsiTheme="majorHAnsi" w:cstheme="majorBidi"/>
      <w:color w:val="E03F00" w:themeColor="accent1" w:themeShade="BF"/>
      <w:lang w:eastAsia="es-CR"/>
    </w:rPr>
  </w:style>
  <w:style w:type="paragraph" w:customStyle="1" w:styleId="Piedepgina1">
    <w:name w:val="Pie de página1"/>
    <w:basedOn w:val="Piedepgina"/>
    <w:link w:val="footerCar"/>
    <w:qFormat/>
    <w:rsid w:val="00834EB4"/>
    <w:pPr>
      <w:jc w:val="center"/>
    </w:pPr>
    <w:rPr>
      <w:noProof/>
      <w:sz w:val="16"/>
      <w:szCs w:val="16"/>
      <w:lang w:eastAsia="es-CR"/>
    </w:rPr>
  </w:style>
  <w:style w:type="character" w:customStyle="1" w:styleId="footerCar">
    <w:name w:val="footer Car"/>
    <w:basedOn w:val="PiedepginaCar"/>
    <w:link w:val="Piedepgina1"/>
    <w:rsid w:val="00834EB4"/>
    <w:rPr>
      <w:noProof/>
      <w:sz w:val="16"/>
      <w:szCs w:val="16"/>
      <w:lang w:eastAsia="es-CR"/>
    </w:rPr>
  </w:style>
  <w:style w:type="character" w:customStyle="1" w:styleId="Ttulo1Car">
    <w:name w:val="Título 1 Car"/>
    <w:basedOn w:val="Fuentedeprrafopredeter"/>
    <w:link w:val="Ttulo1"/>
    <w:uiPriority w:val="9"/>
    <w:rsid w:val="00CF6341"/>
    <w:rPr>
      <w:rFonts w:eastAsiaTheme="majorEastAsia" w:cstheme="majorBidi"/>
      <w:b/>
      <w:color w:val="FF692D" w:themeColor="accent1"/>
      <w:sz w:val="32"/>
      <w:szCs w:val="32"/>
    </w:rPr>
  </w:style>
  <w:style w:type="character" w:customStyle="1" w:styleId="Ttulo2Car">
    <w:name w:val="Título 2 Car"/>
    <w:basedOn w:val="Fuentedeprrafopredeter"/>
    <w:link w:val="Ttulo2"/>
    <w:uiPriority w:val="9"/>
    <w:rsid w:val="00CF6341"/>
    <w:rPr>
      <w:rFonts w:eastAsiaTheme="majorEastAsia" w:cstheme="majorBidi"/>
      <w:b/>
      <w:color w:val="E03F00" w:themeColor="accent1" w:themeShade="BF"/>
      <w:sz w:val="26"/>
      <w:szCs w:val="26"/>
    </w:rPr>
  </w:style>
  <w:style w:type="character" w:customStyle="1" w:styleId="Ttulo3Car">
    <w:name w:val="Título 3 Car"/>
    <w:basedOn w:val="Fuentedeprrafopredeter"/>
    <w:link w:val="Ttulo3"/>
    <w:uiPriority w:val="9"/>
    <w:rsid w:val="00CF6341"/>
    <w:rPr>
      <w:rFonts w:eastAsiaTheme="majorEastAsia" w:cstheme="majorBidi"/>
      <w:b/>
      <w:color w:val="000000" w:themeColor="text1"/>
      <w:sz w:val="24"/>
      <w:szCs w:val="24"/>
    </w:rPr>
  </w:style>
  <w:style w:type="character" w:customStyle="1" w:styleId="Ttulo4Car">
    <w:name w:val="Título 4 Car"/>
    <w:basedOn w:val="Fuentedeprrafopredeter"/>
    <w:link w:val="Ttulo4"/>
    <w:uiPriority w:val="9"/>
    <w:rsid w:val="004933FA"/>
    <w:rPr>
      <w:rFonts w:asciiTheme="majorHAnsi" w:eastAsiaTheme="majorEastAsia" w:hAnsiTheme="majorHAnsi" w:cstheme="majorBidi"/>
      <w:i/>
      <w:iCs/>
      <w:color w:val="000000" w:themeColor="text1"/>
      <w:sz w:val="20"/>
      <w:szCs w:val="20"/>
    </w:rPr>
  </w:style>
  <w:style w:type="paragraph" w:styleId="Textonotapie">
    <w:name w:val="footnote text"/>
    <w:basedOn w:val="Normal"/>
    <w:link w:val="TextonotapieCar"/>
    <w:uiPriority w:val="99"/>
    <w:unhideWhenUsed/>
    <w:rsid w:val="004933FA"/>
  </w:style>
  <w:style w:type="character" w:customStyle="1" w:styleId="TextonotapieCar">
    <w:name w:val="Texto nota pie Car"/>
    <w:basedOn w:val="Fuentedeprrafopredeter"/>
    <w:link w:val="Textonotapie"/>
    <w:uiPriority w:val="99"/>
    <w:rsid w:val="004933FA"/>
    <w:rPr>
      <w:sz w:val="20"/>
      <w:szCs w:val="20"/>
    </w:rPr>
  </w:style>
  <w:style w:type="character" w:styleId="Refdenotaalpie">
    <w:name w:val="footnote reference"/>
    <w:basedOn w:val="Fuentedeprrafopredeter"/>
    <w:uiPriority w:val="99"/>
    <w:semiHidden/>
    <w:unhideWhenUsed/>
    <w:rsid w:val="004933FA"/>
    <w:rPr>
      <w:vertAlign w:val="superscript"/>
    </w:rPr>
  </w:style>
  <w:style w:type="paragraph" w:customStyle="1" w:styleId="Notaalpie">
    <w:name w:val="Nota al pie"/>
    <w:basedOn w:val="Textonotapie"/>
    <w:link w:val="NotaalpieCar"/>
    <w:qFormat/>
    <w:rsid w:val="004933FA"/>
    <w:rPr>
      <w:sz w:val="18"/>
    </w:rPr>
  </w:style>
  <w:style w:type="paragraph" w:styleId="Cita">
    <w:name w:val="Quote"/>
    <w:basedOn w:val="Normal"/>
    <w:next w:val="Normal"/>
    <w:link w:val="CitaCar"/>
    <w:uiPriority w:val="29"/>
    <w:qFormat/>
    <w:rsid w:val="004933FA"/>
    <w:pPr>
      <w:ind w:left="864" w:right="864"/>
      <w:jc w:val="left"/>
    </w:pPr>
    <w:rPr>
      <w:i/>
      <w:iCs/>
      <w:color w:val="404040" w:themeColor="text1" w:themeTint="BF"/>
    </w:rPr>
  </w:style>
  <w:style w:type="character" w:customStyle="1" w:styleId="NotaalpieCar">
    <w:name w:val="Nota al pie Car"/>
    <w:basedOn w:val="TextonotapieCar"/>
    <w:link w:val="Notaalpie"/>
    <w:rsid w:val="004933FA"/>
    <w:rPr>
      <w:sz w:val="18"/>
      <w:szCs w:val="20"/>
    </w:rPr>
  </w:style>
  <w:style w:type="character" w:customStyle="1" w:styleId="CitaCar">
    <w:name w:val="Cita Car"/>
    <w:basedOn w:val="Fuentedeprrafopredeter"/>
    <w:link w:val="Cita"/>
    <w:uiPriority w:val="29"/>
    <w:rsid w:val="004933FA"/>
    <w:rPr>
      <w:i/>
      <w:iCs/>
      <w:color w:val="404040" w:themeColor="text1" w:themeTint="BF"/>
      <w:sz w:val="20"/>
      <w:szCs w:val="20"/>
    </w:rPr>
  </w:style>
  <w:style w:type="paragraph" w:styleId="Ttulo">
    <w:name w:val="Title"/>
    <w:basedOn w:val="Normal"/>
    <w:next w:val="Normal"/>
    <w:link w:val="TtuloCar"/>
    <w:uiPriority w:val="10"/>
    <w:qFormat/>
    <w:rsid w:val="00940E5D"/>
    <w:pPr>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40E5D"/>
    <w:rPr>
      <w:rFonts w:asciiTheme="majorHAnsi" w:eastAsiaTheme="majorEastAsia" w:hAnsiTheme="majorHAnsi" w:cstheme="majorBidi"/>
      <w:spacing w:val="-10"/>
      <w:kern w:val="28"/>
      <w:sz w:val="56"/>
      <w:szCs w:val="56"/>
    </w:rPr>
  </w:style>
  <w:style w:type="paragraph" w:styleId="TtuloTDC">
    <w:name w:val="TOC Heading"/>
    <w:basedOn w:val="Ttulo1"/>
    <w:next w:val="Normal"/>
    <w:uiPriority w:val="39"/>
    <w:unhideWhenUsed/>
    <w:qFormat/>
    <w:rsid w:val="00E22A93"/>
    <w:pPr>
      <w:spacing w:line="259" w:lineRule="auto"/>
      <w:jc w:val="left"/>
      <w:outlineLvl w:val="9"/>
    </w:pPr>
    <w:rPr>
      <w:color w:val="E03F00" w:themeColor="accent1" w:themeShade="BF"/>
      <w:lang w:eastAsia="es-CR"/>
    </w:rPr>
  </w:style>
  <w:style w:type="paragraph" w:styleId="TDC1">
    <w:name w:val="toc 1"/>
    <w:basedOn w:val="Normal"/>
    <w:next w:val="Normal"/>
    <w:autoRedefine/>
    <w:uiPriority w:val="39"/>
    <w:unhideWhenUsed/>
    <w:rsid w:val="00E22A93"/>
    <w:pPr>
      <w:spacing w:after="100"/>
    </w:pPr>
  </w:style>
  <w:style w:type="paragraph" w:styleId="TDC2">
    <w:name w:val="toc 2"/>
    <w:basedOn w:val="Normal"/>
    <w:next w:val="Normal"/>
    <w:autoRedefine/>
    <w:uiPriority w:val="39"/>
    <w:unhideWhenUsed/>
    <w:rsid w:val="00E22A93"/>
    <w:pPr>
      <w:spacing w:after="100"/>
      <w:ind w:left="200"/>
    </w:pPr>
  </w:style>
  <w:style w:type="paragraph" w:styleId="TDC3">
    <w:name w:val="toc 3"/>
    <w:basedOn w:val="Normal"/>
    <w:next w:val="Normal"/>
    <w:autoRedefine/>
    <w:uiPriority w:val="39"/>
    <w:unhideWhenUsed/>
    <w:rsid w:val="00E22A93"/>
    <w:pPr>
      <w:spacing w:after="100"/>
      <w:ind w:left="400"/>
    </w:pPr>
  </w:style>
  <w:style w:type="character" w:styleId="Hipervnculo">
    <w:name w:val="Hyperlink"/>
    <w:basedOn w:val="Fuentedeprrafopredeter"/>
    <w:uiPriority w:val="99"/>
    <w:unhideWhenUsed/>
    <w:rsid w:val="00E22A93"/>
    <w:rPr>
      <w:color w:val="299CFF" w:themeColor="hyperlink"/>
      <w:u w:val="single"/>
    </w:rPr>
  </w:style>
  <w:style w:type="paragraph" w:styleId="Descripcin">
    <w:name w:val="caption"/>
    <w:basedOn w:val="Normal"/>
    <w:next w:val="Normal"/>
    <w:uiPriority w:val="35"/>
    <w:unhideWhenUsed/>
    <w:qFormat/>
    <w:rsid w:val="003745CC"/>
    <w:pPr>
      <w:spacing w:after="200"/>
    </w:pPr>
    <w:rPr>
      <w:i/>
      <w:iCs/>
      <w:color w:val="000000" w:themeColor="text2"/>
      <w:sz w:val="18"/>
      <w:szCs w:val="18"/>
    </w:rPr>
  </w:style>
  <w:style w:type="paragraph" w:styleId="Bibliografa">
    <w:name w:val="Bibliography"/>
    <w:basedOn w:val="Normal"/>
    <w:next w:val="Normal"/>
    <w:uiPriority w:val="37"/>
    <w:unhideWhenUsed/>
    <w:rsid w:val="004F37F7"/>
  </w:style>
  <w:style w:type="paragraph" w:styleId="Tabladeilustraciones">
    <w:name w:val="table of figures"/>
    <w:basedOn w:val="Normal"/>
    <w:next w:val="Normal"/>
    <w:uiPriority w:val="99"/>
    <w:unhideWhenUsed/>
    <w:rsid w:val="005E05AD"/>
  </w:style>
  <w:style w:type="paragraph" w:customStyle="1" w:styleId="Portada">
    <w:name w:val="Portada"/>
    <w:basedOn w:val="Normal"/>
    <w:link w:val="PortadaCar"/>
    <w:qFormat/>
    <w:rsid w:val="00D75736"/>
    <w:pPr>
      <w:spacing w:line="276" w:lineRule="auto"/>
      <w:jc w:val="left"/>
    </w:pPr>
    <w:rPr>
      <w:b/>
      <w:sz w:val="28"/>
      <w:szCs w:val="28"/>
    </w:rPr>
  </w:style>
  <w:style w:type="character" w:customStyle="1" w:styleId="PortadaCar">
    <w:name w:val="Portada Car"/>
    <w:basedOn w:val="Fuentedeprrafopredeter"/>
    <w:link w:val="Portada"/>
    <w:rsid w:val="00D75736"/>
    <w:rPr>
      <w:b/>
      <w:sz w:val="28"/>
      <w:szCs w:val="28"/>
    </w:rPr>
  </w:style>
  <w:style w:type="table" w:styleId="Tablanormal5">
    <w:name w:val="Plain Table 5"/>
    <w:basedOn w:val="Tablanormal"/>
    <w:uiPriority w:val="45"/>
    <w:rsid w:val="00D757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F44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72C5C"/>
    <w:pPr>
      <w:autoSpaceDE w:val="0"/>
      <w:autoSpaceDN w:val="0"/>
      <w:adjustRightInd w:val="0"/>
      <w:spacing w:after="0" w:line="240" w:lineRule="auto"/>
    </w:pPr>
    <w:rPr>
      <w:rFonts w:ascii="Calibri" w:eastAsia="MS Mincho" w:hAnsi="Calibri" w:cs="Calibri"/>
      <w:color w:val="000000"/>
      <w:sz w:val="24"/>
      <w:szCs w:val="24"/>
    </w:rPr>
  </w:style>
  <w:style w:type="character" w:styleId="Refdecomentario">
    <w:name w:val="annotation reference"/>
    <w:basedOn w:val="Fuentedeprrafopredeter"/>
    <w:uiPriority w:val="99"/>
    <w:semiHidden/>
    <w:unhideWhenUsed/>
    <w:rsid w:val="00E72C5C"/>
    <w:rPr>
      <w:sz w:val="16"/>
      <w:szCs w:val="16"/>
    </w:rPr>
  </w:style>
  <w:style w:type="paragraph" w:styleId="Textocomentario">
    <w:name w:val="annotation text"/>
    <w:basedOn w:val="Normal"/>
    <w:link w:val="TextocomentarioCar"/>
    <w:uiPriority w:val="99"/>
    <w:semiHidden/>
    <w:unhideWhenUsed/>
    <w:rsid w:val="00E72C5C"/>
    <w:pPr>
      <w:spacing w:after="200"/>
      <w:jc w:val="left"/>
    </w:pPr>
    <w:rPr>
      <w:rFonts w:eastAsia="MS Mincho"/>
    </w:rPr>
  </w:style>
  <w:style w:type="character" w:customStyle="1" w:styleId="TextocomentarioCar">
    <w:name w:val="Texto comentario Car"/>
    <w:basedOn w:val="Fuentedeprrafopredeter"/>
    <w:link w:val="Textocomentario"/>
    <w:uiPriority w:val="99"/>
    <w:semiHidden/>
    <w:rsid w:val="00E72C5C"/>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67322">
      <w:bodyDiv w:val="1"/>
      <w:marLeft w:val="0"/>
      <w:marRight w:val="0"/>
      <w:marTop w:val="0"/>
      <w:marBottom w:val="0"/>
      <w:divBdr>
        <w:top w:val="none" w:sz="0" w:space="0" w:color="auto"/>
        <w:left w:val="none" w:sz="0" w:space="0" w:color="auto"/>
        <w:bottom w:val="none" w:sz="0" w:space="0" w:color="auto"/>
        <w:right w:val="none" w:sz="0" w:space="0" w:color="auto"/>
      </w:divBdr>
    </w:div>
    <w:div w:id="7411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cnfl.go.cr/transparencia-empresarial/compras-y-contrataciones" TargetMode="External"/><Relationship Id="rId14" Type="http://schemas.openxmlformats.org/officeDocument/2006/relationships/chart" Target="charts/chart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valverde\Documents\Proveedur&#237;a%20Empresarial\Plan%20de%20adquisiciones\2020\informacion%20para%20informe%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valverde\Documents\Proveedur&#237;a%20Empresarial\Plan%20de%20adquisiciones\2020\informacion%20para%20informe%20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'Modificac Plan de compras 2 (2'!$M$7</c:f>
              <c:strCache>
                <c:ptCount val="1"/>
                <c:pt idx="0">
                  <c:v>Plan Original</c:v>
                </c:pt>
              </c:strCache>
            </c:strRef>
          </c:tx>
          <c:spPr>
            <a:solidFill>
              <a:schemeClr val="accent1"/>
            </a:solidFill>
            <a:ln>
              <a:noFill/>
            </a:ln>
            <a:effectLst/>
            <a:sp3d/>
          </c:spPr>
          <c:invertIfNegative val="0"/>
          <c:dLbls>
            <c:dLbl>
              <c:idx val="0"/>
              <c:layout>
                <c:manualLayout>
                  <c:x val="1.1111111111111112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08-49C3-84FF-BDB69EF712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'Modificac Plan de compras 2 (2'!$O$6</c:f>
              <c:strCache>
                <c:ptCount val="1"/>
                <c:pt idx="0">
                  <c:v>Variación</c:v>
                </c:pt>
              </c:strCache>
            </c:strRef>
          </c:cat>
          <c:val>
            <c:numRef>
              <c:f>'Modificac Plan de compras 2 (2'!$O$7</c:f>
              <c:numCache>
                <c:formatCode>0%</c:formatCode>
                <c:ptCount val="1"/>
                <c:pt idx="0">
                  <c:v>1</c:v>
                </c:pt>
              </c:numCache>
            </c:numRef>
          </c:val>
          <c:extLst>
            <c:ext xmlns:c16="http://schemas.microsoft.com/office/drawing/2014/chart" uri="{C3380CC4-5D6E-409C-BE32-E72D297353CC}">
              <c16:uniqueId val="{00000001-F708-49C3-84FF-BDB69EF712F3}"/>
            </c:ext>
          </c:extLst>
        </c:ser>
        <c:ser>
          <c:idx val="1"/>
          <c:order val="1"/>
          <c:tx>
            <c:strRef>
              <c:f>'Modificac Plan de compras 2 (2'!$M$8</c:f>
              <c:strCache>
                <c:ptCount val="1"/>
                <c:pt idx="0">
                  <c:v>inclusiones</c:v>
                </c:pt>
              </c:strCache>
            </c:strRef>
          </c:tx>
          <c:spPr>
            <a:solidFill>
              <a:schemeClr val="accent2"/>
            </a:solidFill>
            <a:ln>
              <a:noFill/>
            </a:ln>
            <a:effectLst/>
            <a:sp3d/>
          </c:spPr>
          <c:invertIfNegative val="0"/>
          <c:dLbls>
            <c:dLbl>
              <c:idx val="0"/>
              <c:layout>
                <c:manualLayout>
                  <c:x val="3.3333333333333333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08-49C3-84FF-BDB69EF712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'Modificac Plan de compras 2 (2'!$O$6</c:f>
              <c:strCache>
                <c:ptCount val="1"/>
                <c:pt idx="0">
                  <c:v>Variación</c:v>
                </c:pt>
              </c:strCache>
            </c:strRef>
          </c:cat>
          <c:val>
            <c:numRef>
              <c:f>'Modificac Plan de compras 2 (2'!$O$8</c:f>
              <c:numCache>
                <c:formatCode>0%</c:formatCode>
                <c:ptCount val="1"/>
                <c:pt idx="0">
                  <c:v>0.1111111111111111</c:v>
                </c:pt>
              </c:numCache>
            </c:numRef>
          </c:val>
          <c:extLst>
            <c:ext xmlns:c16="http://schemas.microsoft.com/office/drawing/2014/chart" uri="{C3380CC4-5D6E-409C-BE32-E72D297353CC}">
              <c16:uniqueId val="{00000003-F708-49C3-84FF-BDB69EF712F3}"/>
            </c:ext>
          </c:extLst>
        </c:ser>
        <c:ser>
          <c:idx val="2"/>
          <c:order val="2"/>
          <c:tx>
            <c:strRef>
              <c:f>'Modificac Plan de compras 2 (2'!$M$9</c:f>
              <c:strCache>
                <c:ptCount val="1"/>
                <c:pt idx="0">
                  <c:v>exclusiones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'Modificac Plan de compras 2 (2'!$O$6</c:f>
              <c:strCache>
                <c:ptCount val="1"/>
                <c:pt idx="0">
                  <c:v>Variación</c:v>
                </c:pt>
              </c:strCache>
            </c:strRef>
          </c:cat>
          <c:val>
            <c:numRef>
              <c:f>'Modificac Plan de compras 2 (2'!$O$9</c:f>
              <c:numCache>
                <c:formatCode>0%</c:formatCode>
                <c:ptCount val="1"/>
                <c:pt idx="0">
                  <c:v>-0.77777777777777779</c:v>
                </c:pt>
              </c:numCache>
            </c:numRef>
          </c:val>
          <c:extLst>
            <c:ext xmlns:c16="http://schemas.microsoft.com/office/drawing/2014/chart" uri="{C3380CC4-5D6E-409C-BE32-E72D297353CC}">
              <c16:uniqueId val="{00000004-F708-49C3-84FF-BDB69EF712F3}"/>
            </c:ext>
          </c:extLst>
        </c:ser>
        <c:ser>
          <c:idx val="3"/>
          <c:order val="3"/>
          <c:tx>
            <c:strRef>
              <c:f>'Modificac Plan de compras 2 (2'!$M$10</c:f>
              <c:strCache>
                <c:ptCount val="1"/>
                <c:pt idx="0">
                  <c:v>Plan Final</c:v>
                </c:pt>
              </c:strCache>
            </c:strRef>
          </c:tx>
          <c:spPr>
            <a:solidFill>
              <a:schemeClr val="accent4"/>
            </a:solidFill>
            <a:ln>
              <a:noFill/>
            </a:ln>
            <a:effectLst/>
            <a:sp3d/>
          </c:spPr>
          <c:invertIfNegative val="0"/>
          <c:dLbls>
            <c:dLbl>
              <c:idx val="0"/>
              <c:layout>
                <c:manualLayout>
                  <c:x val="3.0555555555555454E-2"/>
                  <c:y val="-5.5555555555555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08-49C3-84FF-BDB69EF712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'Modificac Plan de compras 2 (2'!$O$6</c:f>
              <c:strCache>
                <c:ptCount val="1"/>
                <c:pt idx="0">
                  <c:v>Variación</c:v>
                </c:pt>
              </c:strCache>
            </c:strRef>
          </c:cat>
          <c:val>
            <c:numRef>
              <c:f>'Modificac Plan de compras 2 (2'!$O$10</c:f>
              <c:numCache>
                <c:formatCode>0%</c:formatCode>
                <c:ptCount val="1"/>
                <c:pt idx="0">
                  <c:v>0.33333333333333337</c:v>
                </c:pt>
              </c:numCache>
            </c:numRef>
          </c:val>
          <c:extLst>
            <c:ext xmlns:c16="http://schemas.microsoft.com/office/drawing/2014/chart" uri="{C3380CC4-5D6E-409C-BE32-E72D297353CC}">
              <c16:uniqueId val="{00000006-F708-49C3-84FF-BDB69EF712F3}"/>
            </c:ext>
          </c:extLst>
        </c:ser>
        <c:dLbls>
          <c:showLegendKey val="0"/>
          <c:showVal val="0"/>
          <c:showCatName val="0"/>
          <c:showSerName val="0"/>
          <c:showPercent val="0"/>
          <c:showBubbleSize val="0"/>
        </c:dLbls>
        <c:gapWidth val="150"/>
        <c:shape val="box"/>
        <c:axId val="446278616"/>
        <c:axId val="446279008"/>
        <c:axId val="0"/>
      </c:bar3DChart>
      <c:catAx>
        <c:axId val="446278616"/>
        <c:scaling>
          <c:orientation val="minMax"/>
        </c:scaling>
        <c:delete val="1"/>
        <c:axPos val="b"/>
        <c:numFmt formatCode="General" sourceLinked="1"/>
        <c:majorTickMark val="none"/>
        <c:minorTickMark val="none"/>
        <c:tickLblPos val="nextTo"/>
        <c:crossAx val="446279008"/>
        <c:crosses val="autoZero"/>
        <c:auto val="1"/>
        <c:lblAlgn val="ctr"/>
        <c:lblOffset val="100"/>
        <c:noMultiLvlLbl val="0"/>
      </c:catAx>
      <c:valAx>
        <c:axId val="446279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44627861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2">
          <a:lumMod val="60000"/>
          <a:lumOff val="40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R"/>
              <a:t>Duración de los concursos finalizados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'Contrataciones ejecutadas'!$A$4:$A$5</c:f>
              <c:strCache>
                <c:ptCount val="2"/>
                <c:pt idx="0">
                  <c:v>Contratación por demanda por desconexión y reconexión de servicios eléctricos</c:v>
                </c:pt>
                <c:pt idx="1">
                  <c:v>Suministro de mano de obra, materiales y equipo, para la construcción de obra civil subterránea sector Circunvalacion Norte</c:v>
                </c:pt>
              </c:strCache>
            </c:strRef>
          </c:cat>
          <c:val>
            <c:numRef>
              <c:f>'Contrataciones ejecutadas'!$B$4:$B$5</c:f>
              <c:numCache>
                <c:formatCode>General</c:formatCode>
                <c:ptCount val="2"/>
                <c:pt idx="0">
                  <c:v>180</c:v>
                </c:pt>
                <c:pt idx="1">
                  <c:v>79</c:v>
                </c:pt>
              </c:numCache>
            </c:numRef>
          </c:val>
          <c:extLst>
            <c:ext xmlns:c16="http://schemas.microsoft.com/office/drawing/2014/chart" uri="{C3380CC4-5D6E-409C-BE32-E72D297353CC}">
              <c16:uniqueId val="{00000000-4281-4365-A59A-4666CBEAA36D}"/>
            </c:ext>
          </c:extLst>
        </c:ser>
        <c:dLbls>
          <c:showLegendKey val="0"/>
          <c:showVal val="1"/>
          <c:showCatName val="0"/>
          <c:showSerName val="0"/>
          <c:showPercent val="0"/>
          <c:showBubbleSize val="0"/>
        </c:dLbls>
        <c:gapWidth val="65"/>
        <c:shape val="box"/>
        <c:axId val="387722336"/>
        <c:axId val="387722728"/>
        <c:axId val="0"/>
      </c:bar3DChart>
      <c:catAx>
        <c:axId val="3877223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R"/>
          </a:p>
        </c:txPr>
        <c:crossAx val="387722728"/>
        <c:crosses val="autoZero"/>
        <c:auto val="1"/>
        <c:lblAlgn val="ctr"/>
        <c:lblOffset val="100"/>
        <c:noMultiLvlLbl val="0"/>
      </c:catAx>
      <c:valAx>
        <c:axId val="3877227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crossAx val="38772233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CNFL_doc">
  <a:themeElements>
    <a:clrScheme name="CNFL 2020">
      <a:dk1>
        <a:srgbClr val="000000"/>
      </a:dk1>
      <a:lt1>
        <a:srgbClr val="FFFFFF"/>
      </a:lt1>
      <a:dk2>
        <a:srgbClr val="000000"/>
      </a:dk2>
      <a:lt2>
        <a:srgbClr val="E5E5E5"/>
      </a:lt2>
      <a:accent1>
        <a:srgbClr val="FF692D"/>
      </a:accent1>
      <a:accent2>
        <a:srgbClr val="1E23E6"/>
      </a:accent2>
      <a:accent3>
        <a:srgbClr val="64B95A"/>
      </a:accent3>
      <a:accent4>
        <a:srgbClr val="FA1800"/>
      </a:accent4>
      <a:accent5>
        <a:srgbClr val="64B9CD"/>
      </a:accent5>
      <a:accent6>
        <a:srgbClr val="FFC000"/>
      </a:accent6>
      <a:hlink>
        <a:srgbClr val="299CFF"/>
      </a:hlink>
      <a:folHlink>
        <a:srgbClr val="001482"/>
      </a:folHlink>
    </a:clrScheme>
    <a:fontScheme name="CNFL 2020">
      <a:majorFont>
        <a:latin typeface="Gotham"/>
        <a:ea typeface=""/>
        <a:cs typeface=""/>
      </a:majorFont>
      <a:minorFont>
        <a:latin typeface="AvenirNext LT Pro Regular"/>
        <a:ea typeface=""/>
        <a:cs typeface=""/>
      </a:minorFont>
    </a:fontScheme>
    <a:fmtScheme name="Sólidos sutile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NFL2019" id="{B04996AA-DC44-47A9-87D0-5F7CE9960331}" vid="{AD49686C-D1A5-4A0F-B475-7FECE7AFE18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INT12</b:Tag>
    <b:SourceType>Book</b:SourceType>
    <b:Guid>{635C21AB-53D8-41AF-92DF-23FB22022C03}</b:Guid>
    <b:Author>
      <b:Author>
        <b:Corporate>INTECO</b:Corporate>
      </b:Author>
    </b:Author>
    <b:Title>Sistema de Gestión de Responsabilidad Social</b:Title>
    <b:Year>2012</b:Year>
    <b:City>San Jose, Costa Rica</b:City>
    <b:Publisher>INTECO</b:Publisher>
    <b:RefOrder>1</b:RefOrder>
  </b:Source>
  <b:Source>
    <b:Tag>MID</b:Tag>
    <b:SourceType>ElectronicSource</b:SourceType>
    <b:Guid>{4D22831E-169E-44D4-A470-04E6DFA2927D}</b:Guid>
    <b:Title>Plan Nacional De Desarrollo e Inversión Pública 2019-2022</b:Title>
    <b:Author>
      <b:Author>
        <b:NameList>
          <b:Person>
            <b:Last>MIDEPLAN</b:Last>
          </b:Person>
        </b:NameList>
      </b:Author>
    </b:Author>
    <b:City>San José</b:City>
    <b:StateProvince>San José</b:StateProvince>
    <b:CountryRegion>Costa Rica</b:CountryRegion>
    <b:Year>2018</b:Year>
    <b:Month>Diciembre</b:Month>
    <b:Day>11</b:Day>
    <b:RefOrder>2</b:RefOrder>
  </b:Source>
  <b:Source>
    <b:Tag>Gru19</b:Tag>
    <b:SourceType>Report</b:SourceType>
    <b:Guid>{966C227E-0AB5-402C-A3CA-E75DE4E01526}</b:Guid>
    <b:Author>
      <b:Author>
        <b:Corporate>Grupo ICE</b:Corporate>
      </b:Author>
    </b:Author>
    <b:Title>Estrategia 4.0</b:Title>
    <b:Year>2019</b:Year>
    <b:City>San José</b:City>
    <b:RefOrder>3</b:RefOrder>
  </b:Source>
</b:Sources>
</file>

<file path=customXml/itemProps1.xml><?xml version="1.0" encoding="utf-8"?>
<ds:datastoreItem xmlns:ds="http://schemas.openxmlformats.org/officeDocument/2006/customXml" ds:itemID="{FAB9CFAC-4AF4-4C7A-B7F0-D25294A7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1527</Words>
  <Characters>8403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Alfaro Chaves Patricia</dc:creator>
  <cp:keywords/>
  <dc:description/>
  <cp:lastModifiedBy>Velásquez Zumbado Roxyri</cp:lastModifiedBy>
  <cp:revision>2</cp:revision>
  <cp:lastPrinted>2020-05-07T16:40:00Z</cp:lastPrinted>
  <dcterms:created xsi:type="dcterms:W3CDTF">2021-08-09T20:53:00Z</dcterms:created>
  <dcterms:modified xsi:type="dcterms:W3CDTF">2021-08-09T20:53:00Z</dcterms:modified>
</cp:coreProperties>
</file>