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A76" w:rsidRDefault="00A47A76" w:rsidP="00FE54E8">
      <w:pPr>
        <w:spacing w:after="0" w:line="360" w:lineRule="auto"/>
        <w:jc w:val="center"/>
        <w:rPr>
          <w:rFonts w:ascii="Verdana" w:eastAsia="Times New Roman" w:hAnsi="Verdana" w:cs="Arial"/>
          <w:b/>
          <w:lang w:val="es-ES_tradnl" w:eastAsia="es-ES"/>
        </w:rPr>
      </w:pPr>
      <w:bookmarkStart w:id="0" w:name="_GoBack"/>
      <w:bookmarkEnd w:id="0"/>
    </w:p>
    <w:p w:rsidR="00FE54E8" w:rsidRDefault="00FE54E8" w:rsidP="00FE54E8">
      <w:pPr>
        <w:spacing w:after="0" w:line="360" w:lineRule="auto"/>
        <w:jc w:val="center"/>
        <w:rPr>
          <w:rFonts w:ascii="Verdana" w:eastAsia="Times New Roman" w:hAnsi="Verdana" w:cs="Arial"/>
          <w:b/>
          <w:lang w:val="es-ES_tradnl" w:eastAsia="es-ES"/>
        </w:rPr>
      </w:pPr>
      <w:r w:rsidRPr="005E13A6">
        <w:rPr>
          <w:rFonts w:ascii="Verdana" w:eastAsia="Times New Roman" w:hAnsi="Verdana" w:cs="Arial"/>
          <w:b/>
          <w:lang w:val="es-ES_tradnl" w:eastAsia="es-ES"/>
        </w:rPr>
        <w:t>INFORME DE EJECUCI</w:t>
      </w:r>
      <w:r w:rsidR="00300954">
        <w:rPr>
          <w:rFonts w:ascii="Verdana" w:eastAsia="Times New Roman" w:hAnsi="Verdana" w:cs="Arial"/>
          <w:b/>
          <w:lang w:val="es-ES_tradnl" w:eastAsia="es-ES"/>
        </w:rPr>
        <w:t>Ó</w:t>
      </w:r>
      <w:r w:rsidRPr="005E13A6">
        <w:rPr>
          <w:rFonts w:ascii="Verdana" w:eastAsia="Times New Roman" w:hAnsi="Verdana" w:cs="Arial"/>
          <w:b/>
          <w:lang w:val="es-ES_tradnl" w:eastAsia="es-ES"/>
        </w:rPr>
        <w:t>N ANUAL</w:t>
      </w:r>
    </w:p>
    <w:p w:rsidR="00F517ED" w:rsidRDefault="00F517ED" w:rsidP="00FE54E8">
      <w:pPr>
        <w:spacing w:after="0" w:line="360" w:lineRule="auto"/>
        <w:jc w:val="center"/>
        <w:rPr>
          <w:rFonts w:ascii="Verdana" w:eastAsia="Times New Roman" w:hAnsi="Verdana" w:cs="Arial"/>
          <w:b/>
          <w:lang w:val="es-ES_tradnl" w:eastAsia="es-ES"/>
        </w:rPr>
      </w:pPr>
      <w:r>
        <w:rPr>
          <w:rFonts w:ascii="Verdana" w:eastAsia="Times New Roman" w:hAnsi="Verdana" w:cs="Arial"/>
          <w:b/>
          <w:lang w:val="es-ES_tradnl" w:eastAsia="es-ES"/>
        </w:rPr>
        <w:t>P</w:t>
      </w:r>
      <w:r w:rsidR="00794983">
        <w:rPr>
          <w:rFonts w:ascii="Verdana" w:eastAsia="Times New Roman" w:hAnsi="Verdana" w:cs="Arial"/>
          <w:b/>
          <w:lang w:val="es-ES_tradnl" w:eastAsia="es-ES"/>
        </w:rPr>
        <w:t xml:space="preserve">ROGRAMA </w:t>
      </w:r>
      <w:r>
        <w:rPr>
          <w:rFonts w:ascii="Verdana" w:eastAsia="Times New Roman" w:hAnsi="Verdana" w:cs="Arial"/>
          <w:b/>
          <w:lang w:val="es-ES_tradnl" w:eastAsia="es-ES"/>
        </w:rPr>
        <w:t>DE ADQUISICIONES</w:t>
      </w:r>
    </w:p>
    <w:p w:rsidR="00F517ED" w:rsidRPr="005E13A6" w:rsidRDefault="00F517ED" w:rsidP="00FE54E8">
      <w:pPr>
        <w:spacing w:after="0" w:line="360" w:lineRule="auto"/>
        <w:jc w:val="center"/>
        <w:rPr>
          <w:rFonts w:ascii="Verdana" w:eastAsia="Times New Roman" w:hAnsi="Verdana" w:cs="Arial"/>
          <w:b/>
          <w:lang w:val="es-ES_tradnl" w:eastAsia="es-ES"/>
        </w:rPr>
      </w:pPr>
      <w:r>
        <w:rPr>
          <w:rFonts w:ascii="Verdana" w:eastAsia="Times New Roman" w:hAnsi="Verdana" w:cs="Arial"/>
          <w:b/>
          <w:lang w:val="es-ES_tradnl" w:eastAsia="es-ES"/>
        </w:rPr>
        <w:t>PER</w:t>
      </w:r>
      <w:r w:rsidR="00300954">
        <w:rPr>
          <w:rFonts w:ascii="Verdana" w:eastAsia="Times New Roman" w:hAnsi="Verdana" w:cs="Arial"/>
          <w:b/>
          <w:lang w:val="es-ES_tradnl" w:eastAsia="es-ES"/>
        </w:rPr>
        <w:t>Í</w:t>
      </w:r>
      <w:r w:rsidR="00EA21C4">
        <w:rPr>
          <w:rFonts w:ascii="Verdana" w:eastAsia="Times New Roman" w:hAnsi="Verdana" w:cs="Arial"/>
          <w:b/>
          <w:lang w:val="es-ES_tradnl" w:eastAsia="es-ES"/>
        </w:rPr>
        <w:t>ODO 2019</w:t>
      </w:r>
    </w:p>
    <w:p w:rsidR="005E13A6" w:rsidRPr="005E13A6" w:rsidRDefault="005E13A6" w:rsidP="00FE54E8">
      <w:pPr>
        <w:spacing w:after="0" w:line="360" w:lineRule="auto"/>
        <w:jc w:val="center"/>
        <w:rPr>
          <w:rFonts w:ascii="Verdana" w:eastAsia="Times New Roman" w:hAnsi="Verdana" w:cs="Arial"/>
          <w:b/>
          <w:lang w:val="es-ES_tradnl" w:eastAsia="es-ES"/>
        </w:rPr>
      </w:pPr>
    </w:p>
    <w:p w:rsidR="00A47A76" w:rsidRDefault="00A47A76" w:rsidP="00FE54E8">
      <w:pPr>
        <w:spacing w:after="0" w:line="240" w:lineRule="auto"/>
        <w:jc w:val="both"/>
        <w:rPr>
          <w:rFonts w:ascii="Verdana" w:hAnsi="Verdana" w:cs="Arial"/>
          <w:bCs/>
        </w:rPr>
      </w:pPr>
    </w:p>
    <w:p w:rsidR="00FE54E8" w:rsidRPr="005E13A6" w:rsidRDefault="00FE54E8" w:rsidP="00FE54E8">
      <w:pPr>
        <w:spacing w:after="0" w:line="240" w:lineRule="auto"/>
        <w:jc w:val="both"/>
        <w:rPr>
          <w:rFonts w:ascii="Verdana" w:hAnsi="Verdana" w:cs="Arial"/>
          <w:bCs/>
        </w:rPr>
      </w:pPr>
      <w:r w:rsidRPr="005E13A6">
        <w:rPr>
          <w:rFonts w:ascii="Verdana" w:hAnsi="Verdana" w:cs="Arial"/>
          <w:bCs/>
        </w:rPr>
        <w:t>De acuerdo al Reglamento para los procesos de contratación de las empresas del Instituto Costarricense de Electricidad en su artículo 10º inciso 1), es responsabilidad de esta Proveeduría: Integrar y mantener actualizado el Programa de Adquisiciones que deberá divulgarse en la página en donde se publican las adquisiciones de las empresas del Grupo ICE. Adicionalmente, al final de cada período presupuestario realizará una evaluación de la gestión de adquisición de bienes, obras y servicios.</w:t>
      </w:r>
    </w:p>
    <w:p w:rsidR="00FE54E8" w:rsidRPr="005E13A6" w:rsidRDefault="00FE54E8" w:rsidP="00FE54E8">
      <w:pPr>
        <w:spacing w:after="0" w:line="240" w:lineRule="auto"/>
        <w:jc w:val="both"/>
        <w:rPr>
          <w:rFonts w:ascii="Verdana" w:hAnsi="Verdana" w:cs="Arial"/>
          <w:bCs/>
        </w:rPr>
      </w:pPr>
    </w:p>
    <w:p w:rsidR="00224DC4" w:rsidRPr="005E13A6" w:rsidRDefault="005E13A6" w:rsidP="00FE54E8">
      <w:pPr>
        <w:spacing w:after="0" w:line="240" w:lineRule="auto"/>
        <w:jc w:val="both"/>
        <w:rPr>
          <w:rFonts w:ascii="Verdana" w:hAnsi="Verdana" w:cs="Arial"/>
          <w:bCs/>
        </w:rPr>
      </w:pPr>
      <w:r w:rsidRPr="005E13A6">
        <w:rPr>
          <w:rFonts w:ascii="Verdana" w:hAnsi="Verdana" w:cs="Arial"/>
          <w:bCs/>
        </w:rPr>
        <w:t>E</w:t>
      </w:r>
      <w:r w:rsidR="00FE54E8" w:rsidRPr="005E13A6">
        <w:rPr>
          <w:rFonts w:ascii="Verdana" w:hAnsi="Verdana" w:cs="Arial"/>
          <w:bCs/>
        </w:rPr>
        <w:t xml:space="preserve">n el presente informe se presenta el detalle del comportamiento y la ejecución del Programa de </w:t>
      </w:r>
      <w:r w:rsidR="00561CD9" w:rsidRPr="005E13A6">
        <w:rPr>
          <w:rFonts w:ascii="Verdana" w:hAnsi="Verdana" w:cs="Arial"/>
          <w:bCs/>
        </w:rPr>
        <w:t>Adquisiciones</w:t>
      </w:r>
      <w:r w:rsidR="00FE54E8" w:rsidRPr="005E13A6">
        <w:rPr>
          <w:rFonts w:ascii="Verdana" w:hAnsi="Verdana" w:cs="Arial"/>
          <w:bCs/>
        </w:rPr>
        <w:t xml:space="preserve"> en forma global, así como por </w:t>
      </w:r>
      <w:r w:rsidR="00C151E7" w:rsidRPr="005E13A6">
        <w:rPr>
          <w:rFonts w:ascii="Verdana" w:hAnsi="Verdana" w:cs="Arial"/>
          <w:bCs/>
        </w:rPr>
        <w:t>dependencia.</w:t>
      </w:r>
    </w:p>
    <w:p w:rsidR="005E13A6" w:rsidRPr="005E13A6" w:rsidRDefault="005E13A6" w:rsidP="00FE54E8">
      <w:pPr>
        <w:spacing w:after="0" w:line="240" w:lineRule="auto"/>
        <w:jc w:val="both"/>
        <w:rPr>
          <w:rFonts w:ascii="Verdana" w:hAnsi="Verdana" w:cs="Arial"/>
          <w:bCs/>
        </w:rPr>
      </w:pPr>
    </w:p>
    <w:p w:rsidR="00FE54E8" w:rsidRPr="005E13A6" w:rsidRDefault="00FE54E8" w:rsidP="00FE54E8">
      <w:pPr>
        <w:spacing w:after="0" w:line="240" w:lineRule="auto"/>
        <w:jc w:val="both"/>
        <w:rPr>
          <w:rFonts w:ascii="Verdana" w:eastAsia="Times New Roman" w:hAnsi="Verdana" w:cs="Arial"/>
          <w:lang w:val="es-ES" w:eastAsia="es-ES"/>
        </w:rPr>
      </w:pPr>
    </w:p>
    <w:p w:rsidR="00BC3F25" w:rsidRPr="005E13A6" w:rsidRDefault="00CC3DF1" w:rsidP="00B367F1">
      <w:pPr>
        <w:pStyle w:val="Prrafodelista"/>
        <w:numPr>
          <w:ilvl w:val="0"/>
          <w:numId w:val="27"/>
        </w:numPr>
        <w:jc w:val="both"/>
        <w:rPr>
          <w:rFonts w:ascii="Verdana" w:eastAsiaTheme="minorHAnsi" w:hAnsi="Verdana" w:cs="Arial"/>
          <w:b/>
          <w:bCs/>
          <w:sz w:val="22"/>
          <w:szCs w:val="22"/>
        </w:rPr>
      </w:pPr>
      <w:r>
        <w:rPr>
          <w:rFonts w:ascii="Verdana" w:eastAsiaTheme="minorHAnsi" w:hAnsi="Verdana" w:cs="Arial"/>
          <w:b/>
          <w:bCs/>
          <w:sz w:val="22"/>
          <w:szCs w:val="22"/>
        </w:rPr>
        <w:t>PROGRAMA DE ADQUISICIONES</w:t>
      </w:r>
      <w:r w:rsidR="00BC3F25" w:rsidRPr="005E13A6">
        <w:rPr>
          <w:rFonts w:ascii="Verdana" w:eastAsiaTheme="minorHAnsi" w:hAnsi="Verdana" w:cs="Arial"/>
          <w:b/>
          <w:bCs/>
          <w:sz w:val="22"/>
          <w:szCs w:val="22"/>
        </w:rPr>
        <w:t xml:space="preserve"> 201</w:t>
      </w:r>
      <w:r w:rsidR="00EA21C4">
        <w:rPr>
          <w:rFonts w:ascii="Verdana" w:eastAsiaTheme="minorHAnsi" w:hAnsi="Verdana" w:cs="Arial"/>
          <w:b/>
          <w:bCs/>
          <w:sz w:val="22"/>
          <w:szCs w:val="22"/>
        </w:rPr>
        <w:t>9</w:t>
      </w:r>
    </w:p>
    <w:p w:rsidR="00C71413" w:rsidRPr="005E13A6" w:rsidRDefault="00C71413" w:rsidP="00C71413">
      <w:pPr>
        <w:pStyle w:val="Prrafodelista"/>
        <w:ind w:left="284"/>
        <w:jc w:val="both"/>
        <w:rPr>
          <w:rFonts w:ascii="Verdana" w:eastAsiaTheme="minorHAnsi" w:hAnsi="Verdana" w:cs="Arial"/>
          <w:b/>
          <w:bCs/>
          <w:sz w:val="22"/>
          <w:szCs w:val="22"/>
        </w:rPr>
      </w:pPr>
    </w:p>
    <w:p w:rsidR="00CC3DF1" w:rsidRDefault="00CC3DF1" w:rsidP="00CC3DF1">
      <w:pPr>
        <w:spacing w:after="0" w:line="240" w:lineRule="auto"/>
        <w:jc w:val="both"/>
        <w:rPr>
          <w:rFonts w:ascii="Verdana" w:hAnsi="Verdana" w:cs="Arial"/>
          <w:bCs/>
        </w:rPr>
      </w:pPr>
      <w:r w:rsidRPr="003D31C6">
        <w:rPr>
          <w:rFonts w:ascii="Verdana" w:hAnsi="Verdana" w:cs="Arial"/>
          <w:bCs/>
        </w:rPr>
        <w:t xml:space="preserve">El programa de adquisiciones 2019 se encuentra divulgado en la página </w:t>
      </w:r>
      <w:hyperlink r:id="rId8" w:history="1">
        <w:r w:rsidRPr="003D31C6">
          <w:rPr>
            <w:rStyle w:val="Hipervnculo"/>
            <w:rFonts w:ascii="Verdana" w:hAnsi="Verdana"/>
          </w:rPr>
          <w:t>https://www.cnfl.go.cr/transparencia-empresarial/compras-y-contrataciones</w:t>
        </w:r>
      </w:hyperlink>
      <w:r w:rsidRPr="003D31C6">
        <w:rPr>
          <w:rFonts w:ascii="Verdana" w:hAnsi="Verdana" w:cs="Arial"/>
          <w:bCs/>
        </w:rPr>
        <w:t xml:space="preserve">. </w:t>
      </w:r>
    </w:p>
    <w:p w:rsidR="005E13A6" w:rsidRDefault="005E13A6" w:rsidP="00BC3F25">
      <w:pPr>
        <w:jc w:val="both"/>
        <w:rPr>
          <w:rFonts w:ascii="Verdana" w:hAnsi="Verdana"/>
          <w:b/>
        </w:rPr>
      </w:pPr>
    </w:p>
    <w:p w:rsidR="00614B20" w:rsidRDefault="00AE320C" w:rsidP="00BC3F25">
      <w:pPr>
        <w:jc w:val="both"/>
        <w:rPr>
          <w:rFonts w:ascii="Verdana" w:hAnsi="Verdana"/>
          <w:b/>
        </w:rPr>
      </w:pPr>
      <w:r w:rsidRPr="005E13A6">
        <w:rPr>
          <w:rFonts w:ascii="Verdana" w:hAnsi="Verdana"/>
          <w:b/>
        </w:rPr>
        <w:t>PROGRAMA ORIGINAL</w:t>
      </w:r>
    </w:p>
    <w:p w:rsidR="00C71413" w:rsidRPr="005E13A6" w:rsidRDefault="00EA21C4" w:rsidP="00BC3F25">
      <w:pPr>
        <w:jc w:val="both"/>
        <w:rPr>
          <w:rFonts w:ascii="Verdana" w:hAnsi="Verdana" w:cs="Arial"/>
          <w:b/>
          <w:bCs/>
        </w:rPr>
      </w:pPr>
      <w:r w:rsidRPr="00EA21C4">
        <w:rPr>
          <w:noProof/>
          <w:lang w:eastAsia="es-CR"/>
        </w:rPr>
        <w:drawing>
          <wp:inline distT="0" distB="0" distL="0" distR="0" wp14:anchorId="3B230705" wp14:editId="49D11692">
            <wp:extent cx="6480810" cy="339770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3397706"/>
                    </a:xfrm>
                    <a:prstGeom prst="rect">
                      <a:avLst/>
                    </a:prstGeom>
                    <a:noFill/>
                    <a:ln>
                      <a:noFill/>
                    </a:ln>
                  </pic:spPr>
                </pic:pic>
              </a:graphicData>
            </a:graphic>
          </wp:inline>
        </w:drawing>
      </w:r>
    </w:p>
    <w:p w:rsidR="00C71413" w:rsidRPr="005E13A6" w:rsidRDefault="00AE320C" w:rsidP="00BC3F25">
      <w:pPr>
        <w:jc w:val="both"/>
        <w:rPr>
          <w:rFonts w:ascii="Verdana" w:hAnsi="Verdana"/>
          <w:b/>
        </w:rPr>
      </w:pPr>
      <w:r w:rsidRPr="005E13A6">
        <w:rPr>
          <w:rFonts w:ascii="Verdana" w:hAnsi="Verdana"/>
          <w:b/>
        </w:rPr>
        <w:lastRenderedPageBreak/>
        <w:t>INCLUSIONES AL PROGRAMA DE</w:t>
      </w:r>
      <w:r w:rsidR="00561CD9" w:rsidRPr="005E13A6">
        <w:rPr>
          <w:rFonts w:ascii="Verdana" w:hAnsi="Verdana"/>
          <w:b/>
        </w:rPr>
        <w:t xml:space="preserve"> ADQUISICIONES</w:t>
      </w:r>
    </w:p>
    <w:p w:rsidR="0004625E" w:rsidRPr="005E13A6" w:rsidRDefault="00C71413" w:rsidP="00AE320C">
      <w:pPr>
        <w:spacing w:after="0"/>
        <w:jc w:val="both"/>
        <w:rPr>
          <w:rFonts w:ascii="Verdana" w:hAnsi="Verdana" w:cs="Arial"/>
          <w:b/>
          <w:bCs/>
        </w:rPr>
      </w:pPr>
      <w:r w:rsidRPr="005E13A6">
        <w:rPr>
          <w:rFonts w:ascii="Verdana" w:hAnsi="Verdana" w:cs="Arial"/>
          <w:b/>
          <w:bCs/>
        </w:rPr>
        <w:t xml:space="preserve">Primera inclusión </w:t>
      </w:r>
    </w:p>
    <w:p w:rsidR="00614B20" w:rsidRPr="005E13A6" w:rsidRDefault="00A54050" w:rsidP="00BC3F25">
      <w:pPr>
        <w:jc w:val="both"/>
        <w:rPr>
          <w:rFonts w:ascii="Verdana" w:hAnsi="Verdana" w:cs="Arial"/>
          <w:b/>
          <w:bCs/>
        </w:rPr>
      </w:pPr>
      <w:r>
        <w:rPr>
          <w:noProof/>
          <w:lang w:eastAsia="es-CR"/>
        </w:rPr>
        <w:drawing>
          <wp:inline distT="0" distB="0" distL="0" distR="0" wp14:anchorId="755BAB03" wp14:editId="58BC9956">
            <wp:extent cx="6480810" cy="1026795"/>
            <wp:effectExtent l="0" t="0" r="0" b="190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80810" cy="1026795"/>
                    </a:xfrm>
                    <a:prstGeom prst="rect">
                      <a:avLst/>
                    </a:prstGeom>
                  </pic:spPr>
                </pic:pic>
              </a:graphicData>
            </a:graphic>
          </wp:inline>
        </w:drawing>
      </w:r>
    </w:p>
    <w:p w:rsidR="005E13A6" w:rsidRDefault="005E13A6" w:rsidP="00AE320C">
      <w:pPr>
        <w:spacing w:after="0"/>
        <w:jc w:val="both"/>
        <w:rPr>
          <w:rFonts w:ascii="Verdana" w:hAnsi="Verdana" w:cs="Arial"/>
          <w:b/>
          <w:bCs/>
        </w:rPr>
      </w:pPr>
    </w:p>
    <w:p w:rsidR="00C71413" w:rsidRPr="005E13A6" w:rsidRDefault="00C71413" w:rsidP="00AE320C">
      <w:pPr>
        <w:spacing w:after="0"/>
        <w:jc w:val="both"/>
        <w:rPr>
          <w:rFonts w:ascii="Verdana" w:hAnsi="Verdana" w:cs="Arial"/>
          <w:b/>
          <w:bCs/>
        </w:rPr>
      </w:pPr>
      <w:r w:rsidRPr="005E13A6">
        <w:rPr>
          <w:rFonts w:ascii="Verdana" w:hAnsi="Verdana" w:cs="Arial"/>
          <w:b/>
          <w:bCs/>
        </w:rPr>
        <w:t xml:space="preserve">Segunda inclusión </w:t>
      </w:r>
    </w:p>
    <w:p w:rsidR="00614B20" w:rsidRDefault="0004625E" w:rsidP="00BC3F25">
      <w:pPr>
        <w:jc w:val="both"/>
        <w:rPr>
          <w:rFonts w:ascii="Verdana" w:hAnsi="Verdana" w:cs="Arial"/>
          <w:b/>
          <w:bCs/>
        </w:rPr>
      </w:pPr>
      <w:r>
        <w:rPr>
          <w:noProof/>
          <w:lang w:eastAsia="es-CR"/>
        </w:rPr>
        <w:drawing>
          <wp:inline distT="0" distB="0" distL="0" distR="0" wp14:anchorId="56534CD6" wp14:editId="54B78A5A">
            <wp:extent cx="6480810" cy="15849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80810" cy="1584960"/>
                    </a:xfrm>
                    <a:prstGeom prst="rect">
                      <a:avLst/>
                    </a:prstGeom>
                  </pic:spPr>
                </pic:pic>
              </a:graphicData>
            </a:graphic>
          </wp:inline>
        </w:drawing>
      </w:r>
    </w:p>
    <w:p w:rsidR="00C71413" w:rsidRPr="005E13A6" w:rsidRDefault="00C71413" w:rsidP="00AE320C">
      <w:pPr>
        <w:spacing w:after="0"/>
        <w:jc w:val="both"/>
        <w:rPr>
          <w:rFonts w:ascii="Verdana" w:hAnsi="Verdana" w:cs="Arial"/>
          <w:b/>
          <w:bCs/>
        </w:rPr>
      </w:pPr>
      <w:r w:rsidRPr="005E13A6">
        <w:rPr>
          <w:rFonts w:ascii="Verdana" w:hAnsi="Verdana" w:cs="Arial"/>
          <w:b/>
          <w:bCs/>
        </w:rPr>
        <w:t xml:space="preserve">Tercera inclusión </w:t>
      </w:r>
    </w:p>
    <w:p w:rsidR="00614B20" w:rsidRPr="005E13A6" w:rsidRDefault="0004625E" w:rsidP="00BC3F25">
      <w:pPr>
        <w:jc w:val="both"/>
        <w:rPr>
          <w:rFonts w:ascii="Verdana" w:hAnsi="Verdana" w:cs="Arial"/>
          <w:b/>
          <w:bCs/>
        </w:rPr>
      </w:pPr>
      <w:r>
        <w:rPr>
          <w:noProof/>
          <w:lang w:eastAsia="es-CR"/>
        </w:rPr>
        <w:drawing>
          <wp:inline distT="0" distB="0" distL="0" distR="0" wp14:anchorId="20438C05" wp14:editId="5A5F4FD1">
            <wp:extent cx="6480810" cy="760095"/>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80810" cy="760095"/>
                    </a:xfrm>
                    <a:prstGeom prst="rect">
                      <a:avLst/>
                    </a:prstGeom>
                  </pic:spPr>
                </pic:pic>
              </a:graphicData>
            </a:graphic>
          </wp:inline>
        </w:drawing>
      </w:r>
    </w:p>
    <w:p w:rsidR="00C71413" w:rsidRPr="005E13A6" w:rsidRDefault="00C71413" w:rsidP="00AE320C">
      <w:pPr>
        <w:spacing w:after="0"/>
        <w:jc w:val="both"/>
        <w:rPr>
          <w:rFonts w:ascii="Verdana" w:hAnsi="Verdana" w:cs="Arial"/>
          <w:b/>
          <w:bCs/>
        </w:rPr>
      </w:pPr>
      <w:r w:rsidRPr="005E13A6">
        <w:rPr>
          <w:rFonts w:ascii="Verdana" w:hAnsi="Verdana" w:cs="Arial"/>
          <w:b/>
          <w:bCs/>
        </w:rPr>
        <w:t xml:space="preserve">Cuarta inclusión </w:t>
      </w:r>
    </w:p>
    <w:p w:rsidR="00C71413" w:rsidRPr="005E13A6" w:rsidRDefault="0004625E" w:rsidP="00BC3F25">
      <w:pPr>
        <w:jc w:val="both"/>
        <w:rPr>
          <w:rFonts w:ascii="Verdana" w:hAnsi="Verdana" w:cs="Arial"/>
          <w:b/>
          <w:bCs/>
        </w:rPr>
      </w:pPr>
      <w:r>
        <w:rPr>
          <w:noProof/>
          <w:lang w:eastAsia="es-CR"/>
        </w:rPr>
        <w:drawing>
          <wp:inline distT="0" distB="0" distL="0" distR="0" wp14:anchorId="1585E104" wp14:editId="4C1612FF">
            <wp:extent cx="6480810" cy="60960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810" cy="609600"/>
                    </a:xfrm>
                    <a:prstGeom prst="rect">
                      <a:avLst/>
                    </a:prstGeom>
                  </pic:spPr>
                </pic:pic>
              </a:graphicData>
            </a:graphic>
          </wp:inline>
        </w:drawing>
      </w:r>
    </w:p>
    <w:p w:rsidR="00C71413" w:rsidRPr="005E13A6" w:rsidRDefault="00C71413" w:rsidP="00AE320C">
      <w:pPr>
        <w:spacing w:after="0"/>
        <w:jc w:val="both"/>
        <w:rPr>
          <w:rFonts w:ascii="Verdana" w:hAnsi="Verdana" w:cs="Arial"/>
          <w:b/>
          <w:bCs/>
        </w:rPr>
      </w:pPr>
      <w:r w:rsidRPr="005E13A6">
        <w:rPr>
          <w:rFonts w:ascii="Verdana" w:hAnsi="Verdana" w:cs="Arial"/>
          <w:b/>
          <w:bCs/>
        </w:rPr>
        <w:t xml:space="preserve">Quinta inclusión </w:t>
      </w:r>
    </w:p>
    <w:p w:rsidR="00C71413" w:rsidRDefault="0004625E" w:rsidP="00BC3F25">
      <w:pPr>
        <w:jc w:val="both"/>
        <w:rPr>
          <w:rFonts w:ascii="Verdana" w:hAnsi="Verdana"/>
          <w:noProof/>
          <w:lang w:eastAsia="es-CR"/>
        </w:rPr>
      </w:pPr>
      <w:r>
        <w:rPr>
          <w:noProof/>
          <w:lang w:eastAsia="es-CR"/>
        </w:rPr>
        <w:drawing>
          <wp:inline distT="0" distB="0" distL="0" distR="0" wp14:anchorId="05E3917D" wp14:editId="06511B84">
            <wp:extent cx="6480810" cy="72898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80810" cy="728980"/>
                    </a:xfrm>
                    <a:prstGeom prst="rect">
                      <a:avLst/>
                    </a:prstGeom>
                  </pic:spPr>
                </pic:pic>
              </a:graphicData>
            </a:graphic>
          </wp:inline>
        </w:drawing>
      </w:r>
    </w:p>
    <w:p w:rsidR="00614B20" w:rsidRPr="005E13A6" w:rsidRDefault="00C71413" w:rsidP="00AE320C">
      <w:pPr>
        <w:spacing w:after="0"/>
        <w:jc w:val="both"/>
        <w:rPr>
          <w:rFonts w:ascii="Verdana" w:hAnsi="Verdana" w:cs="Arial"/>
          <w:b/>
          <w:bCs/>
        </w:rPr>
      </w:pPr>
      <w:r w:rsidRPr="005E13A6">
        <w:rPr>
          <w:rFonts w:ascii="Verdana" w:hAnsi="Verdana" w:cs="Arial"/>
          <w:b/>
          <w:bCs/>
        </w:rPr>
        <w:t>Sexta inclusión</w:t>
      </w:r>
    </w:p>
    <w:p w:rsidR="00614B20" w:rsidRPr="005E13A6" w:rsidRDefault="0004625E" w:rsidP="00BC3F25">
      <w:pPr>
        <w:jc w:val="both"/>
        <w:rPr>
          <w:rFonts w:ascii="Verdana" w:hAnsi="Verdana" w:cs="Arial"/>
          <w:b/>
          <w:bCs/>
        </w:rPr>
      </w:pPr>
      <w:r>
        <w:rPr>
          <w:noProof/>
          <w:lang w:eastAsia="es-CR"/>
        </w:rPr>
        <w:drawing>
          <wp:inline distT="0" distB="0" distL="0" distR="0" wp14:anchorId="709945C8" wp14:editId="4316F7A7">
            <wp:extent cx="6480810" cy="603885"/>
            <wp:effectExtent l="0" t="0" r="0" b="571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480810" cy="603885"/>
                    </a:xfrm>
                    <a:prstGeom prst="rect">
                      <a:avLst/>
                    </a:prstGeom>
                  </pic:spPr>
                </pic:pic>
              </a:graphicData>
            </a:graphic>
          </wp:inline>
        </w:drawing>
      </w:r>
    </w:p>
    <w:p w:rsidR="0004625E" w:rsidRPr="005E13A6" w:rsidRDefault="009228C2" w:rsidP="0004625E">
      <w:pPr>
        <w:spacing w:after="0"/>
        <w:jc w:val="both"/>
        <w:rPr>
          <w:rFonts w:ascii="Verdana" w:hAnsi="Verdana" w:cs="Arial"/>
          <w:b/>
          <w:bCs/>
        </w:rPr>
      </w:pPr>
      <w:r>
        <w:rPr>
          <w:rFonts w:ascii="Verdana" w:hAnsi="Verdana" w:cs="Arial"/>
          <w:b/>
          <w:bCs/>
        </w:rPr>
        <w:t>Séptima</w:t>
      </w:r>
      <w:r w:rsidR="0004625E" w:rsidRPr="005E13A6">
        <w:rPr>
          <w:rFonts w:ascii="Verdana" w:hAnsi="Verdana" w:cs="Arial"/>
          <w:b/>
          <w:bCs/>
        </w:rPr>
        <w:t xml:space="preserve"> inclusión</w:t>
      </w:r>
    </w:p>
    <w:p w:rsidR="00110E9D" w:rsidRDefault="0004625E" w:rsidP="00BC3F25">
      <w:pPr>
        <w:jc w:val="both"/>
        <w:rPr>
          <w:rFonts w:ascii="Verdana" w:hAnsi="Verdana"/>
          <w:b/>
        </w:rPr>
      </w:pPr>
      <w:r>
        <w:rPr>
          <w:noProof/>
          <w:lang w:eastAsia="es-CR"/>
        </w:rPr>
        <w:drawing>
          <wp:inline distT="0" distB="0" distL="0" distR="0" wp14:anchorId="63278E05" wp14:editId="7F80332C">
            <wp:extent cx="6480810" cy="909320"/>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80810" cy="909320"/>
                    </a:xfrm>
                    <a:prstGeom prst="rect">
                      <a:avLst/>
                    </a:prstGeom>
                  </pic:spPr>
                </pic:pic>
              </a:graphicData>
            </a:graphic>
          </wp:inline>
        </w:drawing>
      </w:r>
    </w:p>
    <w:p w:rsidR="00C340C3" w:rsidRDefault="00C340C3" w:rsidP="00BC3F25">
      <w:pPr>
        <w:jc w:val="both"/>
        <w:rPr>
          <w:rFonts w:ascii="Verdana" w:hAnsi="Verdana"/>
          <w:b/>
        </w:rPr>
      </w:pPr>
    </w:p>
    <w:p w:rsidR="00AE320C" w:rsidRDefault="00AE320C" w:rsidP="00BC3F25">
      <w:pPr>
        <w:jc w:val="both"/>
        <w:rPr>
          <w:rFonts w:ascii="Verdana" w:hAnsi="Verdana"/>
          <w:b/>
        </w:rPr>
      </w:pPr>
      <w:r w:rsidRPr="005E13A6">
        <w:rPr>
          <w:rFonts w:ascii="Verdana" w:hAnsi="Verdana"/>
          <w:b/>
        </w:rPr>
        <w:t>EXCLUSIÓN</w:t>
      </w:r>
      <w:r w:rsidR="0009289F">
        <w:rPr>
          <w:rFonts w:ascii="Verdana" w:hAnsi="Verdana"/>
          <w:b/>
        </w:rPr>
        <w:t>ES</w:t>
      </w:r>
      <w:r w:rsidRPr="005E13A6">
        <w:rPr>
          <w:rFonts w:ascii="Verdana" w:hAnsi="Verdana"/>
          <w:b/>
        </w:rPr>
        <w:t xml:space="preserve"> AL PROGRAMA DE </w:t>
      </w:r>
      <w:r w:rsidR="00561CD9" w:rsidRPr="005E13A6">
        <w:rPr>
          <w:rFonts w:ascii="Verdana" w:hAnsi="Verdana"/>
          <w:b/>
        </w:rPr>
        <w:t>ADQUISICIONES</w:t>
      </w:r>
      <w:r w:rsidR="00700113">
        <w:rPr>
          <w:rFonts w:ascii="Verdana" w:hAnsi="Verdana"/>
          <w:b/>
        </w:rPr>
        <w:t>.</w:t>
      </w:r>
    </w:p>
    <w:p w:rsidR="00BC3F25" w:rsidRDefault="00863F54" w:rsidP="00863F54">
      <w:pPr>
        <w:spacing w:after="0"/>
        <w:jc w:val="both"/>
        <w:rPr>
          <w:rFonts w:ascii="Verdana" w:hAnsi="Verdana" w:cs="Arial"/>
          <w:b/>
          <w:bCs/>
        </w:rPr>
      </w:pPr>
      <w:r>
        <w:rPr>
          <w:rFonts w:ascii="Verdana" w:hAnsi="Verdana" w:cs="Arial"/>
          <w:b/>
          <w:bCs/>
        </w:rPr>
        <w:t>Primera ex</w:t>
      </w:r>
      <w:r w:rsidRPr="005E13A6">
        <w:rPr>
          <w:rFonts w:ascii="Verdana" w:hAnsi="Verdana" w:cs="Arial"/>
          <w:b/>
          <w:bCs/>
        </w:rPr>
        <w:t xml:space="preserve">clusión </w:t>
      </w:r>
    </w:p>
    <w:p w:rsidR="00863F54" w:rsidRPr="005E13A6" w:rsidRDefault="00863F54" w:rsidP="00BC3F25">
      <w:pPr>
        <w:jc w:val="both"/>
        <w:rPr>
          <w:rFonts w:ascii="Verdana" w:hAnsi="Verdana" w:cs="Arial"/>
          <w:b/>
          <w:bCs/>
        </w:rPr>
      </w:pPr>
      <w:r>
        <w:rPr>
          <w:noProof/>
          <w:lang w:eastAsia="es-CR"/>
        </w:rPr>
        <w:drawing>
          <wp:inline distT="0" distB="0" distL="0" distR="0" wp14:anchorId="74382B9F" wp14:editId="29EE70B8">
            <wp:extent cx="6480810" cy="924560"/>
            <wp:effectExtent l="0" t="0" r="0" b="889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0810" cy="924560"/>
                    </a:xfrm>
                    <a:prstGeom prst="rect">
                      <a:avLst/>
                    </a:prstGeom>
                  </pic:spPr>
                </pic:pic>
              </a:graphicData>
            </a:graphic>
          </wp:inline>
        </w:drawing>
      </w:r>
    </w:p>
    <w:p w:rsidR="00110E9D" w:rsidRDefault="00110E9D" w:rsidP="00C71413">
      <w:pPr>
        <w:spacing w:after="0" w:line="240" w:lineRule="auto"/>
        <w:jc w:val="both"/>
        <w:rPr>
          <w:rFonts w:ascii="Verdana" w:hAnsi="Verdana" w:cs="Arial"/>
          <w:bCs/>
        </w:rPr>
      </w:pPr>
    </w:p>
    <w:p w:rsidR="00110E9D" w:rsidRDefault="00863F54" w:rsidP="00863F54">
      <w:pPr>
        <w:spacing w:after="0"/>
        <w:jc w:val="both"/>
        <w:rPr>
          <w:rFonts w:ascii="Verdana" w:hAnsi="Verdana" w:cs="Arial"/>
          <w:bCs/>
        </w:rPr>
      </w:pPr>
      <w:r>
        <w:rPr>
          <w:rFonts w:ascii="Verdana" w:hAnsi="Verdana" w:cs="Arial"/>
          <w:b/>
          <w:bCs/>
        </w:rPr>
        <w:t>Segunda ex</w:t>
      </w:r>
      <w:r w:rsidRPr="005E13A6">
        <w:rPr>
          <w:rFonts w:ascii="Verdana" w:hAnsi="Verdana" w:cs="Arial"/>
          <w:b/>
          <w:bCs/>
        </w:rPr>
        <w:t xml:space="preserve">clusión </w:t>
      </w:r>
    </w:p>
    <w:p w:rsidR="00110E9D" w:rsidRDefault="00863F54" w:rsidP="00C71413">
      <w:pPr>
        <w:spacing w:after="0" w:line="240" w:lineRule="auto"/>
        <w:jc w:val="both"/>
        <w:rPr>
          <w:rFonts w:ascii="Verdana" w:hAnsi="Verdana" w:cs="Arial"/>
          <w:bCs/>
        </w:rPr>
      </w:pPr>
      <w:r>
        <w:rPr>
          <w:noProof/>
          <w:lang w:eastAsia="es-CR"/>
        </w:rPr>
        <w:drawing>
          <wp:inline distT="0" distB="0" distL="0" distR="0" wp14:anchorId="3B67035C" wp14:editId="79F8A2F4">
            <wp:extent cx="6480810" cy="108648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480810" cy="1086485"/>
                    </a:xfrm>
                    <a:prstGeom prst="rect">
                      <a:avLst/>
                    </a:prstGeom>
                  </pic:spPr>
                </pic:pic>
              </a:graphicData>
            </a:graphic>
          </wp:inline>
        </w:drawing>
      </w:r>
    </w:p>
    <w:p w:rsidR="00110E9D" w:rsidRDefault="00110E9D" w:rsidP="00C71413">
      <w:pPr>
        <w:spacing w:after="0" w:line="240" w:lineRule="auto"/>
        <w:jc w:val="both"/>
        <w:rPr>
          <w:rFonts w:ascii="Verdana" w:hAnsi="Verdana" w:cs="Arial"/>
          <w:bCs/>
        </w:rPr>
      </w:pPr>
    </w:p>
    <w:p w:rsidR="00A47A76" w:rsidRDefault="00863F54" w:rsidP="00863F54">
      <w:pPr>
        <w:spacing w:after="0"/>
        <w:jc w:val="both"/>
        <w:rPr>
          <w:rFonts w:ascii="Verdana" w:hAnsi="Verdana" w:cs="Arial"/>
          <w:bCs/>
        </w:rPr>
      </w:pPr>
      <w:r>
        <w:rPr>
          <w:rFonts w:ascii="Verdana" w:hAnsi="Verdana" w:cs="Arial"/>
          <w:b/>
          <w:bCs/>
        </w:rPr>
        <w:t>Tercera ex</w:t>
      </w:r>
      <w:r w:rsidRPr="005E13A6">
        <w:rPr>
          <w:rFonts w:ascii="Verdana" w:hAnsi="Verdana" w:cs="Arial"/>
          <w:b/>
          <w:bCs/>
        </w:rPr>
        <w:t xml:space="preserve">clusión </w:t>
      </w:r>
    </w:p>
    <w:p w:rsidR="00863F54" w:rsidRDefault="00863F54" w:rsidP="00C71413">
      <w:pPr>
        <w:spacing w:after="0" w:line="240" w:lineRule="auto"/>
        <w:jc w:val="both"/>
        <w:rPr>
          <w:rFonts w:ascii="Verdana" w:hAnsi="Verdana" w:cs="Arial"/>
          <w:bCs/>
        </w:rPr>
      </w:pPr>
      <w:r>
        <w:rPr>
          <w:noProof/>
          <w:lang w:eastAsia="es-CR"/>
        </w:rPr>
        <w:drawing>
          <wp:inline distT="0" distB="0" distL="0" distR="0" wp14:anchorId="5290763B" wp14:editId="0B149E90">
            <wp:extent cx="6480810" cy="91821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80810" cy="918210"/>
                    </a:xfrm>
                    <a:prstGeom prst="rect">
                      <a:avLst/>
                    </a:prstGeom>
                  </pic:spPr>
                </pic:pic>
              </a:graphicData>
            </a:graphic>
          </wp:inline>
        </w:drawing>
      </w:r>
    </w:p>
    <w:p w:rsidR="00863F54" w:rsidRDefault="00863F54" w:rsidP="00C71413">
      <w:pPr>
        <w:spacing w:after="0" w:line="240" w:lineRule="auto"/>
        <w:jc w:val="both"/>
        <w:rPr>
          <w:rFonts w:ascii="Verdana" w:hAnsi="Verdana" w:cs="Arial"/>
          <w:bCs/>
        </w:rPr>
      </w:pPr>
    </w:p>
    <w:p w:rsidR="00863F54" w:rsidRDefault="00863F54" w:rsidP="00863F54">
      <w:pPr>
        <w:spacing w:after="0"/>
        <w:jc w:val="both"/>
        <w:rPr>
          <w:rFonts w:ascii="Verdana" w:hAnsi="Verdana" w:cs="Arial"/>
          <w:bCs/>
        </w:rPr>
      </w:pPr>
      <w:r>
        <w:rPr>
          <w:rFonts w:ascii="Verdana" w:hAnsi="Verdana" w:cs="Arial"/>
          <w:b/>
          <w:bCs/>
        </w:rPr>
        <w:t>Cuarta ex</w:t>
      </w:r>
      <w:r w:rsidRPr="005E13A6">
        <w:rPr>
          <w:rFonts w:ascii="Verdana" w:hAnsi="Verdana" w:cs="Arial"/>
          <w:b/>
          <w:bCs/>
        </w:rPr>
        <w:t xml:space="preserve">clusión </w:t>
      </w:r>
    </w:p>
    <w:p w:rsidR="00863F54" w:rsidRDefault="00863F54" w:rsidP="00C71413">
      <w:pPr>
        <w:spacing w:after="0" w:line="240" w:lineRule="auto"/>
        <w:jc w:val="both"/>
        <w:rPr>
          <w:rFonts w:ascii="Verdana" w:hAnsi="Verdana" w:cs="Arial"/>
          <w:bCs/>
        </w:rPr>
      </w:pPr>
      <w:r>
        <w:rPr>
          <w:noProof/>
          <w:lang w:eastAsia="es-CR"/>
        </w:rPr>
        <w:drawing>
          <wp:inline distT="0" distB="0" distL="0" distR="0" wp14:anchorId="3113A7B8" wp14:editId="5A161A87">
            <wp:extent cx="6480810" cy="911225"/>
            <wp:effectExtent l="0" t="0" r="0" b="317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80810" cy="911225"/>
                    </a:xfrm>
                    <a:prstGeom prst="rect">
                      <a:avLst/>
                    </a:prstGeom>
                  </pic:spPr>
                </pic:pic>
              </a:graphicData>
            </a:graphic>
          </wp:inline>
        </w:drawing>
      </w:r>
    </w:p>
    <w:p w:rsidR="00863F54" w:rsidRDefault="00863F54" w:rsidP="00C71413">
      <w:pPr>
        <w:spacing w:after="0" w:line="240" w:lineRule="auto"/>
        <w:jc w:val="both"/>
        <w:rPr>
          <w:rFonts w:ascii="Verdana" w:hAnsi="Verdana" w:cs="Arial"/>
          <w:bCs/>
        </w:rPr>
      </w:pPr>
    </w:p>
    <w:p w:rsidR="00CC3DF1" w:rsidRDefault="00CC3DF1" w:rsidP="00C71413">
      <w:pPr>
        <w:spacing w:after="0" w:line="240" w:lineRule="auto"/>
        <w:jc w:val="both"/>
        <w:rPr>
          <w:rFonts w:ascii="Verdana" w:hAnsi="Verdana" w:cs="Arial"/>
          <w:bCs/>
        </w:rPr>
      </w:pPr>
    </w:p>
    <w:p w:rsidR="00CC3DF1" w:rsidRDefault="00CC3DF1" w:rsidP="00C71413">
      <w:pPr>
        <w:spacing w:after="0" w:line="240" w:lineRule="auto"/>
        <w:jc w:val="both"/>
        <w:rPr>
          <w:rFonts w:ascii="Verdana" w:hAnsi="Verdana" w:cs="Arial"/>
          <w:bCs/>
        </w:rPr>
      </w:pPr>
    </w:p>
    <w:p w:rsidR="00CC3DF1" w:rsidRDefault="00CC3DF1" w:rsidP="00C71413">
      <w:pPr>
        <w:spacing w:after="0" w:line="240" w:lineRule="auto"/>
        <w:jc w:val="both"/>
        <w:rPr>
          <w:rFonts w:ascii="Verdana" w:hAnsi="Verdana" w:cs="Arial"/>
          <w:bCs/>
        </w:rPr>
      </w:pPr>
    </w:p>
    <w:p w:rsidR="00CC3DF1" w:rsidRDefault="00CC3DF1" w:rsidP="00C71413">
      <w:pPr>
        <w:spacing w:after="0" w:line="240" w:lineRule="auto"/>
        <w:jc w:val="both"/>
        <w:rPr>
          <w:rFonts w:ascii="Verdana" w:hAnsi="Verdana" w:cs="Arial"/>
          <w:bCs/>
        </w:rPr>
      </w:pPr>
    </w:p>
    <w:p w:rsidR="00CC3DF1" w:rsidRDefault="00CC3DF1" w:rsidP="00C71413">
      <w:pPr>
        <w:spacing w:after="0" w:line="240" w:lineRule="auto"/>
        <w:jc w:val="both"/>
        <w:rPr>
          <w:rFonts w:ascii="Verdana" w:hAnsi="Verdana" w:cs="Arial"/>
          <w:bCs/>
        </w:rPr>
      </w:pPr>
    </w:p>
    <w:p w:rsidR="00CC3DF1" w:rsidRDefault="00CC3DF1" w:rsidP="00C71413">
      <w:pPr>
        <w:spacing w:after="0" w:line="240" w:lineRule="auto"/>
        <w:jc w:val="both"/>
        <w:rPr>
          <w:rFonts w:ascii="Verdana" w:hAnsi="Verdana" w:cs="Arial"/>
          <w:bCs/>
        </w:rPr>
      </w:pPr>
    </w:p>
    <w:p w:rsidR="00CC3DF1" w:rsidRDefault="00CC3DF1" w:rsidP="00F25E8F">
      <w:pPr>
        <w:spacing w:after="0" w:line="240" w:lineRule="auto"/>
        <w:rPr>
          <w:rFonts w:ascii="Verdana" w:hAnsi="Verdana" w:cs="Arial"/>
          <w:b/>
          <w:bCs/>
        </w:rPr>
      </w:pPr>
      <w:r w:rsidRPr="00CC3DF1">
        <w:rPr>
          <w:rFonts w:ascii="Verdana" w:hAnsi="Verdana" w:cs="Arial"/>
          <w:b/>
          <w:bCs/>
        </w:rPr>
        <w:t>PLAN FINAL</w:t>
      </w:r>
      <w:r w:rsidR="00F25E8F">
        <w:rPr>
          <w:rFonts w:ascii="Verdana" w:hAnsi="Verdana" w:cs="Arial"/>
          <w:b/>
          <w:bCs/>
        </w:rPr>
        <w:t xml:space="preserve"> </w:t>
      </w:r>
      <w:r w:rsidR="00C340C3">
        <w:rPr>
          <w:rFonts w:ascii="Verdana" w:hAnsi="Verdana" w:cs="Arial"/>
          <w:b/>
          <w:bCs/>
        </w:rPr>
        <w:t xml:space="preserve">A </w:t>
      </w:r>
      <w:r w:rsidR="00F25E8F">
        <w:rPr>
          <w:rFonts w:ascii="Verdana" w:hAnsi="Verdana" w:cs="Arial"/>
          <w:b/>
          <w:bCs/>
        </w:rPr>
        <w:t>DICIEMBRE 2019</w:t>
      </w:r>
    </w:p>
    <w:p w:rsidR="00CC3DF1" w:rsidRPr="00CC3DF1" w:rsidRDefault="00CC3DF1" w:rsidP="00C71413">
      <w:pPr>
        <w:spacing w:after="0" w:line="240" w:lineRule="auto"/>
        <w:jc w:val="both"/>
        <w:rPr>
          <w:rFonts w:ascii="Verdana" w:hAnsi="Verdana" w:cs="Arial"/>
          <w:b/>
          <w:bCs/>
        </w:rPr>
      </w:pPr>
    </w:p>
    <w:p w:rsidR="00CC3DF1" w:rsidRDefault="00CC3DF1" w:rsidP="00C71413">
      <w:pPr>
        <w:spacing w:after="0" w:line="240" w:lineRule="auto"/>
        <w:jc w:val="both"/>
        <w:rPr>
          <w:rFonts w:ascii="Verdana" w:hAnsi="Verdana" w:cs="Arial"/>
          <w:bCs/>
        </w:rPr>
      </w:pPr>
    </w:p>
    <w:p w:rsidR="00CC3DF1" w:rsidRDefault="00CC3DF1" w:rsidP="00C71413">
      <w:pPr>
        <w:spacing w:after="0" w:line="240" w:lineRule="auto"/>
        <w:jc w:val="both"/>
        <w:rPr>
          <w:rFonts w:ascii="Verdana" w:hAnsi="Verdana" w:cs="Arial"/>
          <w:bCs/>
        </w:rPr>
      </w:pPr>
      <w:r w:rsidRPr="00CC3DF1">
        <w:rPr>
          <w:noProof/>
          <w:lang w:eastAsia="es-CR"/>
        </w:rPr>
        <w:drawing>
          <wp:inline distT="0" distB="0" distL="0" distR="0" wp14:anchorId="5F2824E8" wp14:editId="5667F768">
            <wp:extent cx="6480810" cy="398758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80810" cy="3987586"/>
                    </a:xfrm>
                    <a:prstGeom prst="rect">
                      <a:avLst/>
                    </a:prstGeom>
                    <a:noFill/>
                    <a:ln>
                      <a:noFill/>
                    </a:ln>
                  </pic:spPr>
                </pic:pic>
              </a:graphicData>
            </a:graphic>
          </wp:inline>
        </w:drawing>
      </w:r>
    </w:p>
    <w:p w:rsidR="00CC3DF1" w:rsidRDefault="00CC3DF1" w:rsidP="00C71413">
      <w:pPr>
        <w:spacing w:after="0" w:line="240" w:lineRule="auto"/>
        <w:jc w:val="both"/>
        <w:rPr>
          <w:rFonts w:ascii="Verdana" w:hAnsi="Verdana" w:cs="Arial"/>
          <w:bCs/>
        </w:rPr>
      </w:pPr>
    </w:p>
    <w:p w:rsidR="00561AF3" w:rsidRDefault="00561AF3" w:rsidP="00C71413">
      <w:pPr>
        <w:spacing w:after="0" w:line="240" w:lineRule="auto"/>
        <w:jc w:val="both"/>
        <w:rPr>
          <w:rFonts w:ascii="Verdana" w:hAnsi="Verdana" w:cs="Arial"/>
          <w:bCs/>
        </w:rPr>
      </w:pPr>
    </w:p>
    <w:p w:rsidR="00CC3DF1" w:rsidRDefault="003D31C6" w:rsidP="00C71413">
      <w:pPr>
        <w:spacing w:after="0" w:line="240" w:lineRule="auto"/>
        <w:jc w:val="both"/>
        <w:rPr>
          <w:rFonts w:ascii="Verdana" w:hAnsi="Verdana" w:cs="Arial"/>
          <w:bCs/>
        </w:rPr>
      </w:pPr>
      <w:r w:rsidRPr="003D31C6">
        <w:rPr>
          <w:rFonts w:ascii="Verdana" w:hAnsi="Verdana" w:cs="Arial"/>
          <w:bCs/>
        </w:rPr>
        <w:t xml:space="preserve">Inicialmente </w:t>
      </w:r>
      <w:r w:rsidR="00C71413" w:rsidRPr="003D31C6">
        <w:rPr>
          <w:rFonts w:ascii="Verdana" w:hAnsi="Verdana" w:cs="Arial"/>
          <w:bCs/>
        </w:rPr>
        <w:t xml:space="preserve">se publicaron </w:t>
      </w:r>
      <w:r w:rsidRPr="003D31C6">
        <w:rPr>
          <w:rFonts w:ascii="Verdana" w:hAnsi="Verdana" w:cs="Arial"/>
          <w:bCs/>
        </w:rPr>
        <w:t>5</w:t>
      </w:r>
      <w:r w:rsidR="00C71413" w:rsidRPr="003D31C6">
        <w:rPr>
          <w:rFonts w:ascii="Verdana" w:hAnsi="Verdana" w:cs="Arial"/>
          <w:bCs/>
        </w:rPr>
        <w:t xml:space="preserve"> concursos</w:t>
      </w:r>
      <w:r w:rsidR="009A76E2">
        <w:rPr>
          <w:rFonts w:ascii="Verdana" w:hAnsi="Verdana" w:cs="Arial"/>
          <w:bCs/>
        </w:rPr>
        <w:t xml:space="preserve"> de adquisición</w:t>
      </w:r>
      <w:r w:rsidR="00561AF3">
        <w:rPr>
          <w:rFonts w:ascii="Verdana" w:hAnsi="Verdana" w:cs="Arial"/>
          <w:bCs/>
        </w:rPr>
        <w:t xml:space="preserve"> </w:t>
      </w:r>
      <w:r w:rsidR="003B23A9">
        <w:rPr>
          <w:rFonts w:ascii="Verdana" w:hAnsi="Verdana" w:cs="Arial"/>
          <w:bCs/>
        </w:rPr>
        <w:t>en el mes de enero 2019;</w:t>
      </w:r>
      <w:r w:rsidR="00C62E59" w:rsidRPr="003D31C6">
        <w:rPr>
          <w:rFonts w:ascii="Verdana" w:hAnsi="Verdana" w:cs="Arial"/>
          <w:bCs/>
        </w:rPr>
        <w:t xml:space="preserve"> durante</w:t>
      </w:r>
      <w:r w:rsidR="00C71413" w:rsidRPr="003D31C6">
        <w:rPr>
          <w:rFonts w:ascii="Verdana" w:hAnsi="Verdana" w:cs="Arial"/>
          <w:bCs/>
        </w:rPr>
        <w:t xml:space="preserve"> el transcurso del año se adicionaron </w:t>
      </w:r>
      <w:r w:rsidR="008E28F0">
        <w:rPr>
          <w:rFonts w:ascii="Verdana" w:hAnsi="Verdana" w:cs="Arial"/>
          <w:bCs/>
        </w:rPr>
        <w:t>10</w:t>
      </w:r>
      <w:r w:rsidR="00C71413" w:rsidRPr="003D31C6">
        <w:rPr>
          <w:rFonts w:ascii="Verdana" w:hAnsi="Verdana" w:cs="Arial"/>
          <w:bCs/>
        </w:rPr>
        <w:t xml:space="preserve"> concursos</w:t>
      </w:r>
      <w:r w:rsidR="00CC3DF1">
        <w:rPr>
          <w:rFonts w:ascii="Verdana" w:hAnsi="Verdana" w:cs="Arial"/>
          <w:bCs/>
        </w:rPr>
        <w:t xml:space="preserve"> y se excluyeron</w:t>
      </w:r>
      <w:r w:rsidR="002878BA">
        <w:rPr>
          <w:rFonts w:ascii="Verdana" w:hAnsi="Verdana" w:cs="Arial"/>
          <w:bCs/>
        </w:rPr>
        <w:t xml:space="preserve"> </w:t>
      </w:r>
      <w:r w:rsidR="008E28F0">
        <w:rPr>
          <w:rFonts w:ascii="Verdana" w:hAnsi="Verdana" w:cs="Arial"/>
          <w:bCs/>
        </w:rPr>
        <w:t>6</w:t>
      </w:r>
      <w:r w:rsidR="00CC3DF1" w:rsidRPr="003D31C6">
        <w:rPr>
          <w:rFonts w:ascii="Verdana" w:hAnsi="Verdana" w:cs="Arial"/>
          <w:bCs/>
        </w:rPr>
        <w:t xml:space="preserve"> </w:t>
      </w:r>
      <w:r w:rsidR="00C340C3">
        <w:rPr>
          <w:rFonts w:ascii="Verdana" w:hAnsi="Verdana" w:cs="Arial"/>
          <w:bCs/>
        </w:rPr>
        <w:t>quedando el P</w:t>
      </w:r>
      <w:r w:rsidR="00CC3DF1">
        <w:rPr>
          <w:rFonts w:ascii="Verdana" w:hAnsi="Verdana" w:cs="Arial"/>
          <w:bCs/>
        </w:rPr>
        <w:t>lan</w:t>
      </w:r>
      <w:r w:rsidR="009A76E2">
        <w:rPr>
          <w:rFonts w:ascii="Verdana" w:hAnsi="Verdana" w:cs="Arial"/>
          <w:bCs/>
        </w:rPr>
        <w:t xml:space="preserve"> en</w:t>
      </w:r>
      <w:r w:rsidR="00CC3DF1">
        <w:rPr>
          <w:rFonts w:ascii="Verdana" w:hAnsi="Verdana" w:cs="Arial"/>
          <w:bCs/>
        </w:rPr>
        <w:t xml:space="preserve"> 9 procedimientos de compra mediante concurso de adquisición</w:t>
      </w:r>
      <w:r w:rsidR="003B23A9">
        <w:rPr>
          <w:rFonts w:ascii="Verdana" w:hAnsi="Verdana" w:cs="Arial"/>
          <w:bCs/>
        </w:rPr>
        <w:t>;</w:t>
      </w:r>
      <w:r w:rsidR="00CC3DF1">
        <w:rPr>
          <w:rFonts w:ascii="Verdana" w:hAnsi="Verdana" w:cs="Arial"/>
          <w:bCs/>
        </w:rPr>
        <w:t xml:space="preserve"> no obstante</w:t>
      </w:r>
      <w:r w:rsidR="00C340C3">
        <w:rPr>
          <w:rFonts w:ascii="Verdana" w:hAnsi="Verdana" w:cs="Arial"/>
          <w:bCs/>
        </w:rPr>
        <w:t>,</w:t>
      </w:r>
      <w:r w:rsidR="00CC3DF1">
        <w:rPr>
          <w:rFonts w:ascii="Verdana" w:hAnsi="Verdana" w:cs="Arial"/>
          <w:bCs/>
        </w:rPr>
        <w:t xml:space="preserve"> la contratación de mano de obra para la construcción de estu</w:t>
      </w:r>
      <w:r w:rsidR="003B23A9">
        <w:rPr>
          <w:rFonts w:ascii="Verdana" w:hAnsi="Verdana" w:cs="Arial"/>
          <w:bCs/>
        </w:rPr>
        <w:t>d</w:t>
      </w:r>
      <w:r w:rsidR="00CC3DF1">
        <w:rPr>
          <w:rFonts w:ascii="Verdana" w:hAnsi="Verdana" w:cs="Arial"/>
          <w:bCs/>
        </w:rPr>
        <w:t>io</w:t>
      </w:r>
      <w:r w:rsidR="003B23A9">
        <w:rPr>
          <w:rFonts w:ascii="Verdana" w:hAnsi="Verdana" w:cs="Arial"/>
          <w:bCs/>
        </w:rPr>
        <w:t>s</w:t>
      </w:r>
      <w:r w:rsidR="00CC3DF1">
        <w:rPr>
          <w:rFonts w:ascii="Verdana" w:hAnsi="Verdana" w:cs="Arial"/>
          <w:bCs/>
        </w:rPr>
        <w:t xml:space="preserve"> de ingeniería de la unidad de Ampliaciones y Mantenimiento fue realizado mediante el procedimiento de Escasa Cuantía por </w:t>
      </w:r>
      <w:r w:rsidR="003B23A9">
        <w:rPr>
          <w:rFonts w:ascii="Verdana" w:hAnsi="Verdana" w:cs="Arial"/>
          <w:bCs/>
        </w:rPr>
        <w:t>razones</w:t>
      </w:r>
      <w:r w:rsidR="00CC3DF1">
        <w:rPr>
          <w:rFonts w:ascii="Verdana" w:hAnsi="Verdana" w:cs="Arial"/>
          <w:bCs/>
        </w:rPr>
        <w:t xml:space="preserve"> presupuestari</w:t>
      </w:r>
      <w:r w:rsidR="003B23A9">
        <w:rPr>
          <w:rFonts w:ascii="Verdana" w:hAnsi="Verdana" w:cs="Arial"/>
          <w:bCs/>
        </w:rPr>
        <w:t>as</w:t>
      </w:r>
      <w:r w:rsidR="00C340C3">
        <w:rPr>
          <w:rFonts w:ascii="Verdana" w:hAnsi="Verdana" w:cs="Arial"/>
          <w:bCs/>
        </w:rPr>
        <w:t>,</w:t>
      </w:r>
      <w:r w:rsidR="00CC3DF1">
        <w:rPr>
          <w:rFonts w:ascii="Verdana" w:hAnsi="Verdana" w:cs="Arial"/>
          <w:bCs/>
        </w:rPr>
        <w:t xml:space="preserve"> por lo que</w:t>
      </w:r>
      <w:r w:rsidR="00C340C3">
        <w:rPr>
          <w:rFonts w:ascii="Verdana" w:hAnsi="Verdana" w:cs="Arial"/>
          <w:bCs/>
        </w:rPr>
        <w:t>,</w:t>
      </w:r>
      <w:r w:rsidR="00CC3DF1">
        <w:rPr>
          <w:rFonts w:ascii="Verdana" w:hAnsi="Verdana" w:cs="Arial"/>
          <w:bCs/>
        </w:rPr>
        <w:t xml:space="preserve"> </w:t>
      </w:r>
      <w:r w:rsidR="00C340C3">
        <w:rPr>
          <w:rFonts w:ascii="Verdana" w:hAnsi="Verdana" w:cs="Arial"/>
          <w:bCs/>
        </w:rPr>
        <w:t xml:space="preserve">finalmente </w:t>
      </w:r>
      <w:r w:rsidR="00CC3DF1">
        <w:rPr>
          <w:rFonts w:ascii="Verdana" w:hAnsi="Verdana" w:cs="Arial"/>
          <w:bCs/>
        </w:rPr>
        <w:t>se gestionaron 8 procedimientos de concursos de adquisición</w:t>
      </w:r>
      <w:r w:rsidR="006D1172">
        <w:rPr>
          <w:rFonts w:ascii="Verdana" w:hAnsi="Verdana" w:cs="Arial"/>
          <w:bCs/>
        </w:rPr>
        <w:t xml:space="preserve"> durante el período</w:t>
      </w:r>
      <w:r w:rsidR="003B23A9">
        <w:rPr>
          <w:rFonts w:ascii="Verdana" w:hAnsi="Verdana" w:cs="Arial"/>
          <w:bCs/>
        </w:rPr>
        <w:t xml:space="preserve"> 2019.</w:t>
      </w:r>
    </w:p>
    <w:p w:rsidR="00DF387C" w:rsidRDefault="00DF387C" w:rsidP="00C71413">
      <w:pPr>
        <w:spacing w:after="0" w:line="240" w:lineRule="auto"/>
        <w:jc w:val="both"/>
        <w:rPr>
          <w:rFonts w:ascii="Verdana" w:hAnsi="Verdana" w:cs="Arial"/>
          <w:bCs/>
        </w:rPr>
      </w:pPr>
    </w:p>
    <w:p w:rsidR="00CC3DF1" w:rsidRDefault="00DF387C" w:rsidP="00C71413">
      <w:pPr>
        <w:spacing w:after="0" w:line="240" w:lineRule="auto"/>
        <w:jc w:val="both"/>
        <w:rPr>
          <w:rFonts w:ascii="Verdana" w:hAnsi="Verdana" w:cs="Arial"/>
          <w:bCs/>
        </w:rPr>
      </w:pPr>
      <w:r>
        <w:rPr>
          <w:rFonts w:ascii="Verdana" w:hAnsi="Verdana" w:cs="Arial"/>
          <w:bCs/>
        </w:rPr>
        <w:t xml:space="preserve">Como resultado de lo anterior </w:t>
      </w:r>
      <w:r w:rsidR="00C340C3">
        <w:rPr>
          <w:rFonts w:ascii="Verdana" w:hAnsi="Verdana" w:cs="Arial"/>
          <w:bCs/>
        </w:rPr>
        <w:t>el P</w:t>
      </w:r>
      <w:r w:rsidR="00C6530E">
        <w:rPr>
          <w:rFonts w:ascii="Verdana" w:hAnsi="Verdana" w:cs="Arial"/>
          <w:bCs/>
        </w:rPr>
        <w:t>lan publicado a principios de</w:t>
      </w:r>
      <w:r w:rsidR="006D5841">
        <w:rPr>
          <w:rFonts w:ascii="Verdana" w:hAnsi="Verdana" w:cs="Arial"/>
          <w:bCs/>
        </w:rPr>
        <w:t>l</w:t>
      </w:r>
      <w:r w:rsidR="00C6530E">
        <w:rPr>
          <w:rFonts w:ascii="Verdana" w:hAnsi="Verdana" w:cs="Arial"/>
          <w:bCs/>
        </w:rPr>
        <w:t xml:space="preserve"> año 2019 sufrió un incremento neto del 80%. </w:t>
      </w:r>
    </w:p>
    <w:p w:rsidR="00CB6E43" w:rsidRDefault="00CB6E43" w:rsidP="00C94F8D">
      <w:pPr>
        <w:spacing w:after="0" w:line="360" w:lineRule="auto"/>
        <w:rPr>
          <w:rFonts w:ascii="Verdana" w:eastAsia="Times New Roman" w:hAnsi="Verdana" w:cs="Arial"/>
          <w:b/>
          <w:i/>
          <w:lang w:val="es-ES_tradnl" w:eastAsia="es-ES"/>
        </w:rPr>
      </w:pPr>
    </w:p>
    <w:p w:rsidR="006D1172" w:rsidRDefault="006D1172" w:rsidP="00C94F8D">
      <w:pPr>
        <w:spacing w:after="0" w:line="360" w:lineRule="auto"/>
        <w:rPr>
          <w:rFonts w:ascii="Verdana" w:eastAsia="Times New Roman" w:hAnsi="Verdana" w:cs="Arial"/>
          <w:b/>
          <w:i/>
          <w:lang w:val="es-ES_tradnl" w:eastAsia="es-ES"/>
        </w:rPr>
      </w:pPr>
    </w:p>
    <w:p w:rsidR="006D1172" w:rsidRDefault="006D1172" w:rsidP="00C94F8D">
      <w:pPr>
        <w:spacing w:after="0" w:line="360" w:lineRule="auto"/>
        <w:rPr>
          <w:rFonts w:ascii="Verdana" w:eastAsia="Times New Roman" w:hAnsi="Verdana" w:cs="Arial"/>
          <w:b/>
          <w:i/>
          <w:lang w:val="es-ES_tradnl" w:eastAsia="es-ES"/>
        </w:rPr>
      </w:pPr>
    </w:p>
    <w:p w:rsidR="006D1172" w:rsidRDefault="006D1172" w:rsidP="00C94F8D">
      <w:pPr>
        <w:spacing w:after="0" w:line="360" w:lineRule="auto"/>
        <w:rPr>
          <w:rFonts w:ascii="Verdana" w:eastAsia="Times New Roman" w:hAnsi="Verdana" w:cs="Arial"/>
          <w:b/>
          <w:i/>
          <w:lang w:val="es-ES_tradnl" w:eastAsia="es-ES"/>
        </w:rPr>
      </w:pPr>
    </w:p>
    <w:p w:rsidR="006D1172" w:rsidRDefault="006D1172" w:rsidP="00C94F8D">
      <w:pPr>
        <w:spacing w:after="0" w:line="360" w:lineRule="auto"/>
        <w:rPr>
          <w:rFonts w:ascii="Verdana" w:eastAsia="Times New Roman" w:hAnsi="Verdana" w:cs="Arial"/>
          <w:b/>
          <w:i/>
          <w:lang w:val="es-ES_tradnl" w:eastAsia="es-ES"/>
        </w:rPr>
      </w:pPr>
    </w:p>
    <w:p w:rsidR="006D1172" w:rsidRDefault="006D1172" w:rsidP="00C94F8D">
      <w:pPr>
        <w:spacing w:after="0" w:line="360" w:lineRule="auto"/>
        <w:rPr>
          <w:rFonts w:ascii="Verdana" w:eastAsia="Times New Roman" w:hAnsi="Verdana" w:cs="Arial"/>
          <w:b/>
          <w:i/>
          <w:lang w:val="es-ES_tradnl" w:eastAsia="es-ES"/>
        </w:rPr>
      </w:pPr>
    </w:p>
    <w:p w:rsidR="00C340C3" w:rsidRDefault="00C340C3" w:rsidP="00C94F8D">
      <w:pPr>
        <w:spacing w:after="0" w:line="360" w:lineRule="auto"/>
        <w:rPr>
          <w:rFonts w:ascii="Verdana" w:eastAsia="Times New Roman" w:hAnsi="Verdana" w:cs="Arial"/>
          <w:b/>
          <w:i/>
          <w:lang w:val="es-ES_tradnl" w:eastAsia="es-ES"/>
        </w:rPr>
      </w:pPr>
    </w:p>
    <w:p w:rsidR="00C71413" w:rsidRDefault="00C94F8D" w:rsidP="00C94F8D">
      <w:pPr>
        <w:spacing w:after="0" w:line="360" w:lineRule="auto"/>
        <w:rPr>
          <w:rFonts w:ascii="Verdana" w:eastAsia="Times New Roman" w:hAnsi="Verdana" w:cs="Arial"/>
          <w:b/>
          <w:i/>
          <w:lang w:val="es-ES_tradnl" w:eastAsia="es-ES"/>
        </w:rPr>
      </w:pPr>
      <w:r w:rsidRPr="005E13A6">
        <w:rPr>
          <w:rFonts w:ascii="Verdana" w:eastAsia="Times New Roman" w:hAnsi="Verdana" w:cs="Arial"/>
          <w:b/>
          <w:i/>
          <w:lang w:val="es-ES_tradnl" w:eastAsia="es-ES"/>
        </w:rPr>
        <w:t>Gráfico No.1</w:t>
      </w:r>
    </w:p>
    <w:p w:rsidR="00C6530E" w:rsidRDefault="00C6530E" w:rsidP="00C94F8D">
      <w:pPr>
        <w:spacing w:after="0" w:line="360" w:lineRule="auto"/>
        <w:rPr>
          <w:rFonts w:ascii="Verdana" w:eastAsia="Times New Roman" w:hAnsi="Verdana" w:cs="Arial"/>
          <w:b/>
          <w:i/>
          <w:lang w:val="es-ES_tradnl" w:eastAsia="es-ES"/>
        </w:rPr>
      </w:pPr>
    </w:p>
    <w:p w:rsidR="00C71413" w:rsidRPr="005E13A6" w:rsidRDefault="00C6530E" w:rsidP="00C71413">
      <w:pPr>
        <w:spacing w:after="0" w:line="240" w:lineRule="auto"/>
        <w:jc w:val="center"/>
        <w:rPr>
          <w:rFonts w:ascii="Verdana" w:eastAsia="Times New Roman" w:hAnsi="Verdana" w:cs="Arial"/>
          <w:lang w:val="es-ES" w:eastAsia="es-ES"/>
        </w:rPr>
      </w:pPr>
      <w:r>
        <w:rPr>
          <w:noProof/>
          <w:lang w:eastAsia="es-CR"/>
        </w:rPr>
        <w:drawing>
          <wp:inline distT="0" distB="0" distL="0" distR="0" wp14:anchorId="15021608" wp14:editId="192144C6">
            <wp:extent cx="4572000" cy="27432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12599" w:rsidRDefault="00C12599" w:rsidP="008F6E97">
      <w:pPr>
        <w:ind w:left="-142"/>
        <w:jc w:val="both"/>
        <w:rPr>
          <w:rFonts w:ascii="Verdana" w:hAnsi="Verdana" w:cs="Arial"/>
          <w:b/>
          <w:bCs/>
        </w:rPr>
      </w:pPr>
    </w:p>
    <w:p w:rsidR="00811992" w:rsidRDefault="00811992" w:rsidP="00811992">
      <w:pPr>
        <w:spacing w:after="0" w:line="360" w:lineRule="auto"/>
        <w:rPr>
          <w:rFonts w:ascii="Verdana" w:eastAsia="Times New Roman" w:hAnsi="Verdana" w:cs="Arial"/>
          <w:b/>
          <w:i/>
          <w:lang w:val="es-ES_tradnl" w:eastAsia="es-ES"/>
        </w:rPr>
      </w:pPr>
      <w:r>
        <w:rPr>
          <w:rFonts w:ascii="Verdana" w:eastAsia="Times New Roman" w:hAnsi="Verdana" w:cs="Arial"/>
          <w:b/>
          <w:i/>
          <w:lang w:val="es-ES_tradnl" w:eastAsia="es-ES"/>
        </w:rPr>
        <w:t>Cuadro</w:t>
      </w:r>
      <w:r w:rsidRPr="005E13A6">
        <w:rPr>
          <w:rFonts w:ascii="Verdana" w:eastAsia="Times New Roman" w:hAnsi="Verdana" w:cs="Arial"/>
          <w:b/>
          <w:i/>
          <w:lang w:val="es-ES_tradnl" w:eastAsia="es-ES"/>
        </w:rPr>
        <w:t xml:space="preserve"> No.</w:t>
      </w:r>
      <w:r w:rsidR="00F25E8F">
        <w:rPr>
          <w:rFonts w:ascii="Verdana" w:eastAsia="Times New Roman" w:hAnsi="Verdana" w:cs="Arial"/>
          <w:b/>
          <w:i/>
          <w:lang w:val="es-ES_tradnl" w:eastAsia="es-ES"/>
        </w:rPr>
        <w:t>1</w:t>
      </w:r>
    </w:p>
    <w:p w:rsidR="00811992" w:rsidRDefault="00811992" w:rsidP="00811992">
      <w:pPr>
        <w:spacing w:after="0" w:line="240" w:lineRule="auto"/>
        <w:jc w:val="both"/>
        <w:rPr>
          <w:rFonts w:ascii="Verdana" w:hAnsi="Verdana" w:cs="Arial"/>
          <w:bCs/>
        </w:rPr>
      </w:pPr>
    </w:p>
    <w:p w:rsidR="00811992" w:rsidRDefault="00811992" w:rsidP="00811992">
      <w:pPr>
        <w:spacing w:after="0" w:line="240" w:lineRule="auto"/>
        <w:jc w:val="both"/>
        <w:rPr>
          <w:rFonts w:ascii="Verdana" w:hAnsi="Verdana" w:cs="Arial"/>
          <w:bCs/>
        </w:rPr>
      </w:pPr>
      <w:r w:rsidRPr="005E13A6">
        <w:rPr>
          <w:rFonts w:ascii="Verdana" w:hAnsi="Verdana" w:cs="Arial"/>
          <w:bCs/>
        </w:rPr>
        <w:t>El cuadro</w:t>
      </w:r>
      <w:r>
        <w:rPr>
          <w:rFonts w:ascii="Verdana" w:hAnsi="Verdana" w:cs="Arial"/>
          <w:bCs/>
        </w:rPr>
        <w:t xml:space="preserve"> N°</w:t>
      </w:r>
      <w:r w:rsidR="00F25E8F">
        <w:rPr>
          <w:rFonts w:ascii="Verdana" w:hAnsi="Verdana" w:cs="Arial"/>
          <w:bCs/>
        </w:rPr>
        <w:t>1</w:t>
      </w:r>
      <w:r w:rsidRPr="005E13A6">
        <w:rPr>
          <w:rFonts w:ascii="Verdana" w:hAnsi="Verdana" w:cs="Arial"/>
          <w:bCs/>
        </w:rPr>
        <w:t xml:space="preserve"> </w:t>
      </w:r>
      <w:r>
        <w:rPr>
          <w:rFonts w:ascii="Verdana" w:hAnsi="Verdana" w:cs="Arial"/>
          <w:bCs/>
        </w:rPr>
        <w:t xml:space="preserve">muestra las </w:t>
      </w:r>
      <w:r w:rsidR="00F25E8F">
        <w:rPr>
          <w:rFonts w:ascii="Verdana" w:hAnsi="Verdana" w:cs="Arial"/>
          <w:bCs/>
        </w:rPr>
        <w:t>modificaciones al P</w:t>
      </w:r>
      <w:r>
        <w:rPr>
          <w:rFonts w:ascii="Verdana" w:hAnsi="Verdana" w:cs="Arial"/>
          <w:bCs/>
        </w:rPr>
        <w:t xml:space="preserve">lan </w:t>
      </w:r>
      <w:r w:rsidR="009A76E2">
        <w:rPr>
          <w:rFonts w:ascii="Verdana" w:hAnsi="Verdana" w:cs="Arial"/>
          <w:bCs/>
        </w:rPr>
        <w:t xml:space="preserve">adquisiciones </w:t>
      </w:r>
      <w:r>
        <w:rPr>
          <w:rFonts w:ascii="Verdana" w:hAnsi="Verdana" w:cs="Arial"/>
          <w:bCs/>
        </w:rPr>
        <w:t xml:space="preserve">por </w:t>
      </w:r>
      <w:r w:rsidRPr="005E13A6">
        <w:rPr>
          <w:rFonts w:ascii="Verdana" w:hAnsi="Verdana" w:cs="Arial"/>
          <w:bCs/>
        </w:rPr>
        <w:t>dependencia.</w:t>
      </w:r>
    </w:p>
    <w:p w:rsidR="00C6530E" w:rsidRDefault="00F25E8F" w:rsidP="008F6E97">
      <w:pPr>
        <w:ind w:left="-142"/>
        <w:jc w:val="both"/>
        <w:rPr>
          <w:rFonts w:ascii="Verdana" w:hAnsi="Verdana" w:cs="Arial"/>
          <w:b/>
          <w:bCs/>
        </w:rPr>
      </w:pPr>
      <w:r w:rsidRPr="00F25E8F">
        <w:rPr>
          <w:noProof/>
          <w:lang w:eastAsia="es-CR"/>
        </w:rPr>
        <w:drawing>
          <wp:inline distT="0" distB="0" distL="0" distR="0" wp14:anchorId="7CC25E08" wp14:editId="0BD219EE">
            <wp:extent cx="6480810" cy="3779048"/>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80810" cy="3779048"/>
                    </a:xfrm>
                    <a:prstGeom prst="rect">
                      <a:avLst/>
                    </a:prstGeom>
                    <a:noFill/>
                    <a:ln>
                      <a:noFill/>
                    </a:ln>
                  </pic:spPr>
                </pic:pic>
              </a:graphicData>
            </a:graphic>
          </wp:inline>
        </w:drawing>
      </w:r>
    </w:p>
    <w:p w:rsidR="008F6E97" w:rsidRPr="005E13A6" w:rsidRDefault="00B92287" w:rsidP="00B367F1">
      <w:pPr>
        <w:pStyle w:val="Prrafodelista"/>
        <w:numPr>
          <w:ilvl w:val="0"/>
          <w:numId w:val="27"/>
        </w:numPr>
        <w:jc w:val="both"/>
        <w:rPr>
          <w:rFonts w:ascii="Verdana" w:eastAsiaTheme="minorHAnsi" w:hAnsi="Verdana" w:cs="Arial"/>
          <w:b/>
          <w:bCs/>
          <w:sz w:val="22"/>
          <w:szCs w:val="22"/>
        </w:rPr>
      </w:pPr>
      <w:r w:rsidRPr="005E13A6">
        <w:rPr>
          <w:rFonts w:ascii="Verdana" w:eastAsiaTheme="minorHAnsi" w:hAnsi="Verdana" w:cs="Arial"/>
          <w:b/>
          <w:bCs/>
          <w:sz w:val="22"/>
          <w:szCs w:val="22"/>
        </w:rPr>
        <w:t>Ejecución de</w:t>
      </w:r>
      <w:r w:rsidR="00B367F1">
        <w:rPr>
          <w:rFonts w:ascii="Verdana" w:eastAsiaTheme="minorHAnsi" w:hAnsi="Verdana" w:cs="Arial"/>
          <w:b/>
          <w:bCs/>
          <w:sz w:val="22"/>
          <w:szCs w:val="22"/>
        </w:rPr>
        <w:t>l P</w:t>
      </w:r>
      <w:r w:rsidR="00794983">
        <w:rPr>
          <w:rFonts w:ascii="Verdana" w:eastAsiaTheme="minorHAnsi" w:hAnsi="Verdana" w:cs="Arial"/>
          <w:b/>
          <w:bCs/>
          <w:sz w:val="22"/>
          <w:szCs w:val="22"/>
        </w:rPr>
        <w:t>rograma</w:t>
      </w:r>
      <w:r w:rsidR="00B367F1">
        <w:rPr>
          <w:rFonts w:ascii="Verdana" w:eastAsiaTheme="minorHAnsi" w:hAnsi="Verdana" w:cs="Arial"/>
          <w:b/>
          <w:bCs/>
          <w:sz w:val="22"/>
          <w:szCs w:val="22"/>
        </w:rPr>
        <w:t xml:space="preserve">  </w:t>
      </w:r>
    </w:p>
    <w:p w:rsidR="00B92287" w:rsidRPr="005E13A6" w:rsidRDefault="00B92287" w:rsidP="00B92287">
      <w:pPr>
        <w:pStyle w:val="Prrafodelista"/>
        <w:ind w:left="284"/>
        <w:jc w:val="both"/>
        <w:rPr>
          <w:rFonts w:ascii="Verdana" w:eastAsiaTheme="minorHAnsi" w:hAnsi="Verdana" w:cs="Arial"/>
          <w:b/>
          <w:bCs/>
          <w:sz w:val="22"/>
          <w:szCs w:val="22"/>
        </w:rPr>
      </w:pPr>
    </w:p>
    <w:p w:rsidR="00C12599" w:rsidRDefault="00C12599" w:rsidP="00FE7D79">
      <w:pPr>
        <w:spacing w:after="0" w:line="240" w:lineRule="auto"/>
        <w:jc w:val="both"/>
        <w:rPr>
          <w:rFonts w:ascii="Verdana" w:hAnsi="Verdana" w:cs="Arial"/>
          <w:bCs/>
        </w:rPr>
      </w:pPr>
    </w:p>
    <w:p w:rsidR="00EE71B9" w:rsidRPr="00EE71B9" w:rsidRDefault="00EE71B9" w:rsidP="00EE71B9">
      <w:pPr>
        <w:pStyle w:val="Prrafodelista"/>
        <w:numPr>
          <w:ilvl w:val="0"/>
          <w:numId w:val="28"/>
        </w:numPr>
        <w:jc w:val="both"/>
        <w:rPr>
          <w:rFonts w:ascii="Verdana" w:hAnsi="Verdana" w:cs="Arial"/>
          <w:bCs/>
        </w:rPr>
      </w:pPr>
      <w:r w:rsidRPr="00EE71B9">
        <w:rPr>
          <w:rFonts w:ascii="Verdana" w:hAnsi="Verdana" w:cs="Arial"/>
          <w:bCs/>
        </w:rPr>
        <w:t xml:space="preserve">Concursos de Adquisición </w:t>
      </w:r>
      <w:r w:rsidR="00FC64EE">
        <w:rPr>
          <w:rFonts w:ascii="Verdana" w:hAnsi="Verdana" w:cs="Arial"/>
          <w:bCs/>
        </w:rPr>
        <w:t>excluidos</w:t>
      </w:r>
    </w:p>
    <w:p w:rsidR="00EE71B9" w:rsidRDefault="00EE71B9" w:rsidP="00FE7D79">
      <w:pPr>
        <w:spacing w:after="0" w:line="240" w:lineRule="auto"/>
        <w:jc w:val="both"/>
        <w:rPr>
          <w:rFonts w:ascii="Verdana" w:hAnsi="Verdana" w:cs="Arial"/>
          <w:bCs/>
        </w:rPr>
      </w:pPr>
    </w:p>
    <w:p w:rsidR="000259DD" w:rsidRDefault="000259DD" w:rsidP="00FE7D79">
      <w:pPr>
        <w:spacing w:after="0" w:line="240" w:lineRule="auto"/>
        <w:jc w:val="both"/>
        <w:rPr>
          <w:rFonts w:ascii="Verdana" w:hAnsi="Verdana" w:cs="Arial"/>
          <w:bCs/>
        </w:rPr>
      </w:pPr>
      <w:r>
        <w:rPr>
          <w:rFonts w:ascii="Verdana" w:hAnsi="Verdana" w:cs="Arial"/>
          <w:bCs/>
        </w:rPr>
        <w:t xml:space="preserve">El total de concursos publicados en el Plan </w:t>
      </w:r>
      <w:r w:rsidR="00F25E8F">
        <w:rPr>
          <w:rFonts w:ascii="Verdana" w:hAnsi="Verdana" w:cs="Arial"/>
          <w:bCs/>
        </w:rPr>
        <w:t xml:space="preserve">de adquisiciones </w:t>
      </w:r>
      <w:r>
        <w:rPr>
          <w:rFonts w:ascii="Verdana" w:hAnsi="Verdana" w:cs="Arial"/>
          <w:bCs/>
        </w:rPr>
        <w:t xml:space="preserve">alcanzó </w:t>
      </w:r>
      <w:r w:rsidR="00DB6117">
        <w:rPr>
          <w:rFonts w:ascii="Verdana" w:hAnsi="Verdana" w:cs="Arial"/>
          <w:bCs/>
        </w:rPr>
        <w:t>la suma</w:t>
      </w:r>
      <w:r w:rsidR="00F25E8F">
        <w:rPr>
          <w:rFonts w:ascii="Verdana" w:hAnsi="Verdana" w:cs="Arial"/>
          <w:bCs/>
        </w:rPr>
        <w:t xml:space="preserve"> </w:t>
      </w:r>
      <w:r>
        <w:rPr>
          <w:rFonts w:ascii="Verdana" w:hAnsi="Verdana" w:cs="Arial"/>
          <w:bCs/>
        </w:rPr>
        <w:t xml:space="preserve">de </w:t>
      </w:r>
      <w:r w:rsidR="00F25E8F">
        <w:rPr>
          <w:rFonts w:ascii="Verdana" w:hAnsi="Verdana" w:cs="Arial"/>
          <w:bCs/>
        </w:rPr>
        <w:t>quince procedimientos de contratación</w:t>
      </w:r>
      <w:r>
        <w:rPr>
          <w:rFonts w:ascii="Verdana" w:hAnsi="Verdana" w:cs="Arial"/>
          <w:bCs/>
        </w:rPr>
        <w:t xml:space="preserve"> de los cuales </w:t>
      </w:r>
      <w:r w:rsidR="00DB6117">
        <w:rPr>
          <w:rFonts w:ascii="Verdana" w:hAnsi="Verdana" w:cs="Arial"/>
          <w:bCs/>
        </w:rPr>
        <w:t>seis fueron excluidos</w:t>
      </w:r>
      <w:r>
        <w:rPr>
          <w:rFonts w:ascii="Verdana" w:hAnsi="Verdana" w:cs="Arial"/>
          <w:bCs/>
        </w:rPr>
        <w:t xml:space="preserve"> por los siguientes motivos:</w:t>
      </w:r>
    </w:p>
    <w:p w:rsidR="00F25E8F" w:rsidRPr="00590279" w:rsidRDefault="00F25E8F" w:rsidP="00FE7D79">
      <w:pPr>
        <w:spacing w:after="0" w:line="240" w:lineRule="auto"/>
        <w:jc w:val="both"/>
        <w:rPr>
          <w:rFonts w:ascii="Verdana" w:hAnsi="Verdana" w:cs="Arial"/>
          <w:bCs/>
        </w:rPr>
      </w:pPr>
    </w:p>
    <w:p w:rsidR="004A7E29" w:rsidRPr="008907A7" w:rsidRDefault="008907A7" w:rsidP="008907A7">
      <w:pPr>
        <w:pStyle w:val="Prrafodelista"/>
        <w:numPr>
          <w:ilvl w:val="0"/>
          <w:numId w:val="30"/>
        </w:numPr>
        <w:jc w:val="both"/>
        <w:rPr>
          <w:rFonts w:ascii="Verdana" w:hAnsi="Verdana" w:cs="Arial"/>
          <w:b/>
          <w:bCs/>
          <w:sz w:val="22"/>
          <w:szCs w:val="22"/>
        </w:rPr>
      </w:pPr>
      <w:r w:rsidRPr="008907A7">
        <w:rPr>
          <w:rFonts w:ascii="Verdana" w:hAnsi="Verdana" w:cs="Arial"/>
          <w:b/>
          <w:bCs/>
          <w:sz w:val="22"/>
          <w:szCs w:val="22"/>
        </w:rPr>
        <w:t xml:space="preserve">Elevadores aéreo articuladas y telescópicas para líneas energizadas </w:t>
      </w:r>
    </w:p>
    <w:p w:rsidR="008907A7" w:rsidRDefault="008907A7" w:rsidP="008907A7">
      <w:pPr>
        <w:pStyle w:val="Prrafodelista"/>
        <w:numPr>
          <w:ilvl w:val="0"/>
          <w:numId w:val="30"/>
        </w:numPr>
        <w:jc w:val="both"/>
        <w:rPr>
          <w:rFonts w:ascii="Verdana" w:hAnsi="Verdana" w:cs="Arial"/>
          <w:bCs/>
          <w:sz w:val="22"/>
          <w:szCs w:val="22"/>
        </w:rPr>
      </w:pPr>
      <w:r w:rsidRPr="008907A7">
        <w:rPr>
          <w:rFonts w:ascii="Verdana" w:hAnsi="Verdana" w:cs="Arial"/>
          <w:b/>
          <w:bCs/>
          <w:sz w:val="22"/>
          <w:szCs w:val="22"/>
        </w:rPr>
        <w:t>Grúa Siembra postes</w:t>
      </w:r>
      <w:r>
        <w:rPr>
          <w:rFonts w:ascii="Verdana" w:hAnsi="Verdana" w:cs="Arial"/>
          <w:b/>
          <w:bCs/>
          <w:sz w:val="22"/>
          <w:szCs w:val="22"/>
        </w:rPr>
        <w:t xml:space="preserve">: </w:t>
      </w:r>
      <w:r>
        <w:rPr>
          <w:rFonts w:ascii="Verdana" w:hAnsi="Verdana" w:cs="Arial"/>
          <w:bCs/>
          <w:sz w:val="22"/>
          <w:szCs w:val="22"/>
        </w:rPr>
        <w:t>Se excluyen ambas contrataciones para mejorar el objeto del contrato y el monto estimado de la contratación incluyéndolo nuevamente en el plan de la siguiente forma:</w:t>
      </w:r>
      <w:r w:rsidRPr="008907A7">
        <w:t xml:space="preserve"> </w:t>
      </w:r>
      <w:r w:rsidRPr="008907A7">
        <w:rPr>
          <w:rFonts w:ascii="Verdana" w:hAnsi="Verdana" w:cs="Arial"/>
          <w:bCs/>
          <w:sz w:val="22"/>
          <w:szCs w:val="22"/>
        </w:rPr>
        <w:t>Camión con grúa siembra postes, camiones con elevadores hidráulicos, brazo elevador hidráulico</w:t>
      </w:r>
      <w:r>
        <w:rPr>
          <w:rFonts w:ascii="Verdana" w:hAnsi="Verdana" w:cs="Arial"/>
          <w:bCs/>
          <w:sz w:val="22"/>
          <w:szCs w:val="22"/>
        </w:rPr>
        <w:t>.</w:t>
      </w:r>
    </w:p>
    <w:p w:rsidR="008907A7" w:rsidRPr="004A7E29" w:rsidRDefault="008907A7" w:rsidP="008907A7">
      <w:pPr>
        <w:pStyle w:val="Prrafodelista"/>
        <w:ind w:left="1440"/>
        <w:jc w:val="both"/>
        <w:rPr>
          <w:rFonts w:ascii="Verdana" w:hAnsi="Verdana" w:cs="Arial"/>
          <w:bCs/>
          <w:sz w:val="22"/>
          <w:szCs w:val="22"/>
        </w:rPr>
      </w:pPr>
    </w:p>
    <w:p w:rsidR="00F25E8F" w:rsidRPr="00590279" w:rsidRDefault="00DB6117" w:rsidP="00DB6117">
      <w:pPr>
        <w:pStyle w:val="Prrafodelista"/>
        <w:numPr>
          <w:ilvl w:val="0"/>
          <w:numId w:val="30"/>
        </w:numPr>
        <w:jc w:val="both"/>
        <w:rPr>
          <w:rFonts w:ascii="Verdana" w:hAnsi="Verdana" w:cs="Arial"/>
          <w:bCs/>
          <w:sz w:val="22"/>
          <w:szCs w:val="22"/>
        </w:rPr>
      </w:pPr>
      <w:r w:rsidRPr="00590279">
        <w:rPr>
          <w:rFonts w:ascii="Verdana" w:hAnsi="Verdana" w:cs="Arial"/>
          <w:b/>
          <w:bCs/>
          <w:sz w:val="22"/>
          <w:szCs w:val="22"/>
        </w:rPr>
        <w:t>Mano de obra para ejecución de desconexiones por falta de pago y reconexiones</w:t>
      </w:r>
      <w:r w:rsidRPr="00590279">
        <w:rPr>
          <w:rFonts w:ascii="Verdana" w:hAnsi="Verdana" w:cs="Arial"/>
          <w:bCs/>
          <w:sz w:val="22"/>
          <w:szCs w:val="22"/>
        </w:rPr>
        <w:t>:</w:t>
      </w:r>
      <w:r>
        <w:rPr>
          <w:rFonts w:ascii="Verdana" w:hAnsi="Verdana" w:cs="Arial"/>
          <w:bCs/>
        </w:rPr>
        <w:t xml:space="preserve"> </w:t>
      </w:r>
      <w:r w:rsidRPr="00DB6117">
        <w:rPr>
          <w:rFonts w:ascii="Verdana" w:hAnsi="Verdana"/>
          <w:sz w:val="22"/>
          <w:szCs w:val="22"/>
        </w:rPr>
        <w:t>Según oficio N° 4001-0359-2019 de la Dirección Comercialización: “una vez efectuado el análisis sobre dicha adquisición y tomando en cuenta el contenido presupuestario de la empresa, se nos recomendó que esta contratación no se ejecute durante este año”</w:t>
      </w:r>
      <w:r w:rsidR="00590279">
        <w:rPr>
          <w:rFonts w:ascii="Verdana" w:hAnsi="Verdana"/>
          <w:sz w:val="22"/>
          <w:szCs w:val="22"/>
        </w:rPr>
        <w:t>.</w:t>
      </w:r>
    </w:p>
    <w:p w:rsidR="00590279" w:rsidRPr="00590279" w:rsidRDefault="00590279" w:rsidP="00590279">
      <w:pPr>
        <w:pStyle w:val="Prrafodelista"/>
        <w:ind w:left="1440"/>
        <w:jc w:val="both"/>
        <w:rPr>
          <w:rFonts w:ascii="Verdana" w:hAnsi="Verdana" w:cs="Arial"/>
          <w:bCs/>
          <w:sz w:val="22"/>
          <w:szCs w:val="22"/>
        </w:rPr>
      </w:pPr>
    </w:p>
    <w:p w:rsidR="00590279" w:rsidRPr="0050472E" w:rsidRDefault="00590279" w:rsidP="00590279">
      <w:pPr>
        <w:pStyle w:val="Prrafodelista"/>
        <w:numPr>
          <w:ilvl w:val="0"/>
          <w:numId w:val="30"/>
        </w:numPr>
        <w:jc w:val="both"/>
        <w:rPr>
          <w:rFonts w:ascii="Verdana" w:hAnsi="Verdana" w:cs="Arial"/>
          <w:bCs/>
          <w:sz w:val="22"/>
          <w:szCs w:val="22"/>
        </w:rPr>
      </w:pPr>
      <w:r w:rsidRPr="00590279">
        <w:rPr>
          <w:rFonts w:ascii="Verdana" w:hAnsi="Verdana"/>
          <w:b/>
          <w:sz w:val="22"/>
          <w:szCs w:val="22"/>
        </w:rPr>
        <w:t>Contratación de servicios para poda de árboles que afectan el sistema de distribución:</w:t>
      </w:r>
      <w:r w:rsidRPr="00590279">
        <w:rPr>
          <w:rFonts w:ascii="Verdana" w:hAnsi="Verdana"/>
          <w:sz w:val="22"/>
          <w:szCs w:val="22"/>
        </w:rPr>
        <w:t xml:space="preserve"> Según oficio N° 6229-00100-2019 del Proceso Control de Vegetación: “después de analizar la ejecución de la contratación vigente 2016PP-00002 se decidió mantenerla por un año más considerando que la contratación se desarrolla cumpliendo los requisitos solicitados y que la variación del precio en el mercado se mantiene por debajo del 20% que se estipula en el cartel. En vista de esto y considerando que el precio de oferta en una contratación por demanda se supone que un poco mayor se decidió trasladar el proceso de contratación hasta el próximo año, ya que lo que originalmente motivo esta inclusión era buscar un precio menor al ofertado”</w:t>
      </w:r>
    </w:p>
    <w:p w:rsidR="0050472E" w:rsidRPr="0050472E" w:rsidRDefault="0050472E" w:rsidP="0050472E">
      <w:pPr>
        <w:pStyle w:val="Prrafodelista"/>
        <w:rPr>
          <w:rFonts w:ascii="Verdana" w:hAnsi="Verdana" w:cs="Arial"/>
          <w:bCs/>
          <w:sz w:val="22"/>
          <w:szCs w:val="22"/>
        </w:rPr>
      </w:pPr>
    </w:p>
    <w:p w:rsidR="0050472E" w:rsidRPr="0050472E" w:rsidRDefault="0050472E" w:rsidP="0050472E">
      <w:pPr>
        <w:pStyle w:val="Prrafodelista"/>
        <w:numPr>
          <w:ilvl w:val="0"/>
          <w:numId w:val="30"/>
        </w:numPr>
        <w:jc w:val="both"/>
        <w:rPr>
          <w:rFonts w:ascii="Verdana" w:hAnsi="Verdana"/>
          <w:sz w:val="22"/>
          <w:szCs w:val="22"/>
        </w:rPr>
      </w:pPr>
      <w:r w:rsidRPr="0050472E">
        <w:rPr>
          <w:rFonts w:ascii="Verdana" w:hAnsi="Verdana" w:cs="Arial"/>
          <w:b/>
          <w:bCs/>
          <w:sz w:val="22"/>
          <w:szCs w:val="22"/>
        </w:rPr>
        <w:t xml:space="preserve">Luminarias con tecnología LED requeridas para el proyecto de ampliación y renovación del alumbrado del Túnel Zurquí: </w:t>
      </w:r>
      <w:r w:rsidRPr="0050472E">
        <w:rPr>
          <w:rFonts w:ascii="Verdana" w:hAnsi="Verdana"/>
          <w:sz w:val="22"/>
          <w:szCs w:val="22"/>
        </w:rPr>
        <w:t>En oficio N°</w:t>
      </w:r>
      <w:r w:rsidRPr="0050472E">
        <w:rPr>
          <w:rFonts w:ascii="Verdana" w:eastAsia="MS Mincho" w:hAnsi="Verdana"/>
          <w:sz w:val="22"/>
          <w:szCs w:val="22"/>
        </w:rPr>
        <w:t>6223-0210-2019</w:t>
      </w:r>
      <w:r w:rsidRPr="0050472E">
        <w:rPr>
          <w:rFonts w:ascii="Verdana" w:hAnsi="Verdana"/>
          <w:sz w:val="22"/>
          <w:szCs w:val="22"/>
        </w:rPr>
        <w:t xml:space="preserve"> del Área Diseño y Construcción de Alumbrado el señor Mario Marín Artavia, Jefe del Área, indica:</w:t>
      </w:r>
    </w:p>
    <w:p w:rsidR="0050472E" w:rsidRPr="0050472E" w:rsidRDefault="0050472E" w:rsidP="0050472E">
      <w:pPr>
        <w:pStyle w:val="Prrafodelista"/>
        <w:autoSpaceDE w:val="0"/>
        <w:autoSpaceDN w:val="0"/>
        <w:adjustRightInd w:val="0"/>
        <w:ind w:left="1440"/>
        <w:jc w:val="both"/>
        <w:rPr>
          <w:rFonts w:ascii="Verdana" w:hAnsi="Verdana" w:cs="Segoe UI"/>
          <w:color w:val="000000"/>
          <w:sz w:val="22"/>
          <w:szCs w:val="22"/>
        </w:rPr>
      </w:pPr>
      <w:r w:rsidRPr="0050472E">
        <w:rPr>
          <w:rFonts w:ascii="Verdana" w:hAnsi="Verdana" w:cs="Segoe UI"/>
          <w:color w:val="000000"/>
          <w:sz w:val="22"/>
          <w:szCs w:val="22"/>
        </w:rPr>
        <w:t xml:space="preserve"> </w:t>
      </w:r>
    </w:p>
    <w:p w:rsidR="0050472E" w:rsidRPr="0050472E" w:rsidRDefault="0050472E" w:rsidP="0050472E">
      <w:pPr>
        <w:pStyle w:val="Prrafodelista"/>
        <w:autoSpaceDE w:val="0"/>
        <w:autoSpaceDN w:val="0"/>
        <w:adjustRightInd w:val="0"/>
        <w:ind w:left="1440"/>
        <w:jc w:val="both"/>
        <w:rPr>
          <w:rFonts w:ascii="Verdana" w:hAnsi="Verdana" w:cs="Segoe UI"/>
          <w:color w:val="000000"/>
          <w:sz w:val="22"/>
          <w:szCs w:val="22"/>
        </w:rPr>
      </w:pPr>
      <w:r w:rsidRPr="0050472E">
        <w:rPr>
          <w:rFonts w:ascii="Verdana" w:hAnsi="Verdana" w:cs="Segoe UI"/>
          <w:b/>
          <w:bCs/>
          <w:color w:val="000000"/>
          <w:sz w:val="22"/>
          <w:szCs w:val="22"/>
        </w:rPr>
        <w:t xml:space="preserve">1. Asignación de recursos: </w:t>
      </w:r>
    </w:p>
    <w:p w:rsidR="0050472E" w:rsidRPr="0050472E" w:rsidRDefault="0050472E" w:rsidP="0050472E">
      <w:pPr>
        <w:pStyle w:val="Prrafodelista"/>
        <w:autoSpaceDE w:val="0"/>
        <w:autoSpaceDN w:val="0"/>
        <w:adjustRightInd w:val="0"/>
        <w:ind w:left="1440"/>
        <w:jc w:val="both"/>
        <w:rPr>
          <w:rFonts w:ascii="Verdana" w:hAnsi="Verdana" w:cs="Segoe UI"/>
          <w:color w:val="000000"/>
          <w:sz w:val="22"/>
          <w:szCs w:val="22"/>
        </w:rPr>
      </w:pPr>
    </w:p>
    <w:p w:rsidR="0050472E" w:rsidRPr="0050472E" w:rsidRDefault="0050472E" w:rsidP="0050472E">
      <w:pPr>
        <w:autoSpaceDE w:val="0"/>
        <w:autoSpaceDN w:val="0"/>
        <w:adjustRightInd w:val="0"/>
        <w:ind w:left="1416"/>
        <w:jc w:val="both"/>
        <w:rPr>
          <w:rFonts w:ascii="Verdana" w:hAnsi="Verdana" w:cs="Segoe UI"/>
          <w:color w:val="000000"/>
        </w:rPr>
      </w:pPr>
      <w:r w:rsidRPr="0050472E">
        <w:rPr>
          <w:rFonts w:ascii="Verdana" w:hAnsi="Verdana" w:cs="Segoe UI"/>
          <w:color w:val="000000"/>
        </w:rPr>
        <w:t xml:space="preserve">Para la adquisición de las luminarias del Túnel Zurquí se asignó el respectivo presupuesto de inversión en este año 2019 de acuerdo a lo siguiente: </w:t>
      </w:r>
    </w:p>
    <w:p w:rsidR="0050472E" w:rsidRPr="0050472E" w:rsidRDefault="0050472E" w:rsidP="0050472E">
      <w:pPr>
        <w:autoSpaceDE w:val="0"/>
        <w:autoSpaceDN w:val="0"/>
        <w:adjustRightInd w:val="0"/>
        <w:ind w:left="720" w:firstLine="696"/>
        <w:jc w:val="both"/>
        <w:rPr>
          <w:rFonts w:ascii="Verdana" w:hAnsi="Verdana" w:cs="Segoe UI"/>
          <w:color w:val="000000"/>
        </w:rPr>
      </w:pPr>
      <w:r w:rsidRPr="0050472E">
        <w:rPr>
          <w:rFonts w:ascii="Verdana" w:hAnsi="Verdana" w:cs="Segoe UI"/>
          <w:color w:val="000000"/>
        </w:rPr>
        <w:t xml:space="preserve">Programa Inversión </w:t>
      </w:r>
    </w:p>
    <w:p w:rsidR="0050472E" w:rsidRPr="0050472E" w:rsidRDefault="0050472E" w:rsidP="0050472E">
      <w:pPr>
        <w:autoSpaceDE w:val="0"/>
        <w:autoSpaceDN w:val="0"/>
        <w:adjustRightInd w:val="0"/>
        <w:ind w:left="1416"/>
        <w:jc w:val="both"/>
        <w:rPr>
          <w:rFonts w:ascii="Verdana" w:hAnsi="Verdana" w:cs="Segoe UI"/>
          <w:color w:val="000000"/>
        </w:rPr>
      </w:pPr>
      <w:r w:rsidRPr="0050472E">
        <w:rPr>
          <w:rFonts w:ascii="Verdana" w:hAnsi="Verdana" w:cs="Segoe UI"/>
          <w:color w:val="000000"/>
        </w:rPr>
        <w:t xml:space="preserve">Proyecto 181= </w:t>
      </w:r>
      <w:r w:rsidRPr="0050472E">
        <w:rPr>
          <w:rFonts w:ascii="Verdana" w:hAnsi="Verdana" w:cs="Calibri"/>
          <w:color w:val="000000"/>
        </w:rPr>
        <w:t>¢</w:t>
      </w:r>
      <w:r w:rsidRPr="0050472E">
        <w:rPr>
          <w:rFonts w:ascii="Verdana" w:hAnsi="Verdana" w:cs="Segoe UI"/>
          <w:color w:val="000000"/>
        </w:rPr>
        <w:t xml:space="preserve">160.000.000,00 colones, por ampliación del alumbrado del Túnel </w:t>
      </w:r>
    </w:p>
    <w:p w:rsidR="0050472E" w:rsidRPr="0050472E" w:rsidRDefault="0050472E" w:rsidP="0050472E">
      <w:pPr>
        <w:autoSpaceDE w:val="0"/>
        <w:autoSpaceDN w:val="0"/>
        <w:adjustRightInd w:val="0"/>
        <w:ind w:left="1416"/>
        <w:jc w:val="both"/>
        <w:rPr>
          <w:rFonts w:ascii="Verdana" w:hAnsi="Verdana" w:cs="Segoe UI"/>
          <w:color w:val="000000"/>
        </w:rPr>
      </w:pPr>
      <w:r w:rsidRPr="0050472E">
        <w:rPr>
          <w:rFonts w:ascii="Verdana" w:hAnsi="Verdana" w:cs="Segoe UI"/>
          <w:color w:val="000000"/>
        </w:rPr>
        <w:t xml:space="preserve">Proyecto 182= </w:t>
      </w:r>
      <w:r w:rsidRPr="0050472E">
        <w:rPr>
          <w:rFonts w:ascii="Verdana" w:hAnsi="Verdana" w:cs="Calibri"/>
          <w:color w:val="000000"/>
        </w:rPr>
        <w:t>¢</w:t>
      </w:r>
      <w:r w:rsidRPr="0050472E">
        <w:rPr>
          <w:rFonts w:ascii="Verdana" w:hAnsi="Verdana" w:cs="Segoe UI"/>
          <w:color w:val="000000"/>
        </w:rPr>
        <w:t xml:space="preserve">104.166.500,00 colones, por renovación del alumbrado del Túnel </w:t>
      </w:r>
    </w:p>
    <w:p w:rsidR="0050472E" w:rsidRPr="0050472E" w:rsidRDefault="0050472E" w:rsidP="0050472E">
      <w:pPr>
        <w:autoSpaceDE w:val="0"/>
        <w:autoSpaceDN w:val="0"/>
        <w:adjustRightInd w:val="0"/>
        <w:ind w:left="720" w:firstLine="696"/>
        <w:jc w:val="both"/>
        <w:rPr>
          <w:rFonts w:ascii="Verdana" w:hAnsi="Verdana" w:cs="Segoe UI"/>
          <w:color w:val="000000"/>
        </w:rPr>
      </w:pPr>
      <w:r w:rsidRPr="0050472E">
        <w:rPr>
          <w:rFonts w:ascii="Verdana" w:hAnsi="Verdana" w:cs="Segoe UI"/>
          <w:color w:val="000000"/>
        </w:rPr>
        <w:t xml:space="preserve">Monto total: </w:t>
      </w:r>
      <w:r w:rsidRPr="0050472E">
        <w:rPr>
          <w:rFonts w:ascii="Verdana" w:hAnsi="Verdana" w:cs="Calibri"/>
          <w:color w:val="000000"/>
        </w:rPr>
        <w:t>¢</w:t>
      </w:r>
      <w:r w:rsidRPr="0050472E">
        <w:rPr>
          <w:rFonts w:ascii="Verdana" w:hAnsi="Verdana" w:cs="Segoe UI"/>
          <w:color w:val="000000"/>
        </w:rPr>
        <w:t xml:space="preserve">264.166.500,00 colones </w:t>
      </w:r>
    </w:p>
    <w:p w:rsidR="0050472E" w:rsidRPr="0050472E" w:rsidRDefault="0050472E" w:rsidP="008907A7">
      <w:pPr>
        <w:autoSpaceDE w:val="0"/>
        <w:autoSpaceDN w:val="0"/>
        <w:adjustRightInd w:val="0"/>
        <w:ind w:left="1416"/>
        <w:jc w:val="both"/>
        <w:rPr>
          <w:rFonts w:ascii="Verdana" w:hAnsi="Verdana" w:cs="Segoe UI"/>
          <w:color w:val="000000"/>
        </w:rPr>
      </w:pPr>
      <w:r w:rsidRPr="0050472E">
        <w:rPr>
          <w:rFonts w:ascii="Verdana" w:hAnsi="Verdana" w:cs="Segoe UI"/>
          <w:color w:val="000000"/>
        </w:rPr>
        <w:t xml:space="preserve">Ambos en el Objeto de gasto 307: LÁMPARAS (FOTOCELDAS, CABEZOTES, ETC). </w:t>
      </w:r>
    </w:p>
    <w:p w:rsidR="0050472E" w:rsidRPr="0050472E" w:rsidRDefault="0050472E" w:rsidP="008907A7">
      <w:pPr>
        <w:autoSpaceDE w:val="0"/>
        <w:autoSpaceDN w:val="0"/>
        <w:adjustRightInd w:val="0"/>
        <w:ind w:left="1416"/>
        <w:jc w:val="both"/>
        <w:rPr>
          <w:rFonts w:ascii="Verdana" w:hAnsi="Verdana" w:cs="Segoe UI"/>
          <w:color w:val="000000"/>
        </w:rPr>
      </w:pPr>
      <w:r w:rsidRPr="0050472E">
        <w:rPr>
          <w:rFonts w:ascii="Verdana" w:hAnsi="Verdana" w:cs="Segoe UI"/>
          <w:color w:val="000000"/>
        </w:rPr>
        <w:t xml:space="preserve">Debido a que el monto total asignado para la compra de estas luminarias es de 264 millones de colones, se debe realizar el proceso de compra por Licitación. </w:t>
      </w:r>
    </w:p>
    <w:p w:rsidR="0050472E" w:rsidRPr="0050472E" w:rsidRDefault="0050472E" w:rsidP="008907A7">
      <w:pPr>
        <w:autoSpaceDE w:val="0"/>
        <w:autoSpaceDN w:val="0"/>
        <w:adjustRightInd w:val="0"/>
        <w:ind w:left="1416"/>
        <w:jc w:val="both"/>
        <w:rPr>
          <w:rFonts w:ascii="Verdana" w:hAnsi="Verdana" w:cs="Segoe UI"/>
          <w:color w:val="000000"/>
        </w:rPr>
      </w:pPr>
      <w:r w:rsidRPr="0050472E">
        <w:rPr>
          <w:rFonts w:ascii="Verdana" w:hAnsi="Verdana" w:cs="Segoe UI"/>
          <w:b/>
          <w:bCs/>
          <w:color w:val="000000"/>
        </w:rPr>
        <w:t xml:space="preserve">2. Justificación del tiempo y los plazos para contratar la compra de luminarias del Túnel Zurquí </w:t>
      </w:r>
    </w:p>
    <w:p w:rsidR="0050472E" w:rsidRPr="0050472E" w:rsidRDefault="0050472E" w:rsidP="008907A7">
      <w:pPr>
        <w:autoSpaceDE w:val="0"/>
        <w:autoSpaceDN w:val="0"/>
        <w:adjustRightInd w:val="0"/>
        <w:ind w:left="1416"/>
        <w:jc w:val="both"/>
        <w:rPr>
          <w:rFonts w:ascii="Verdana" w:hAnsi="Verdana" w:cs="Segoe UI"/>
          <w:color w:val="000000"/>
        </w:rPr>
      </w:pPr>
      <w:r w:rsidRPr="0050472E">
        <w:rPr>
          <w:rFonts w:ascii="Verdana" w:hAnsi="Verdana" w:cs="Segoe UI"/>
          <w:color w:val="000000"/>
        </w:rPr>
        <w:t xml:space="preserve">Para el uso de los recursos presupuestarios destinados a la compra de luminarias del Túnel Zurquí, por razones de plazos no fue posible realizar la oportuna gestión de compra de estas luminarias debido a diferentes factores los cuales se indican a continuación: </w:t>
      </w:r>
    </w:p>
    <w:p w:rsidR="0050472E" w:rsidRPr="0050472E" w:rsidRDefault="0050472E" w:rsidP="008907A7">
      <w:pPr>
        <w:autoSpaceDE w:val="0"/>
        <w:autoSpaceDN w:val="0"/>
        <w:adjustRightInd w:val="0"/>
        <w:ind w:left="1416"/>
        <w:jc w:val="both"/>
        <w:rPr>
          <w:rFonts w:ascii="Verdana" w:hAnsi="Verdana" w:cs="Segoe UI"/>
          <w:color w:val="000000"/>
        </w:rPr>
      </w:pPr>
      <w:r w:rsidRPr="0050472E">
        <w:rPr>
          <w:rFonts w:ascii="Verdana" w:hAnsi="Verdana" w:cs="Segoe UI"/>
          <w:color w:val="000000"/>
        </w:rPr>
        <w:t xml:space="preserve">i. En diciembre de 2018 se inició el proceso para realizar el estudio técnico de 45 Ofertas recibidas mediante el SICOP para el Concurso Nº 2018PP-000708-0000200001 destinado a la Adquisición de Luminarias LED de Alumbrado Público, compra promovida por el Área de Almacén para abastecer la bodega de estos equipos que son de uso diario y aprovisionamiento para diferentes proyectos de ampliación y renovación del alumbrado público como el RIDE, proyectos propios de la Unidad Alumbrado Público y sus Áreas y las obras a ejecutar por la Unidad de Ampliaciones del Sistema de Distribución. </w:t>
      </w:r>
    </w:p>
    <w:p w:rsidR="0050472E" w:rsidRPr="0050472E" w:rsidRDefault="0050472E" w:rsidP="008907A7">
      <w:pPr>
        <w:autoSpaceDE w:val="0"/>
        <w:autoSpaceDN w:val="0"/>
        <w:adjustRightInd w:val="0"/>
        <w:ind w:left="1416"/>
        <w:jc w:val="both"/>
        <w:rPr>
          <w:rFonts w:ascii="Verdana" w:hAnsi="Verdana" w:cs="Segoe UI"/>
          <w:color w:val="000000"/>
        </w:rPr>
      </w:pPr>
      <w:r w:rsidRPr="0050472E">
        <w:rPr>
          <w:rFonts w:ascii="Verdana" w:hAnsi="Verdana" w:cs="Segoe UI"/>
          <w:color w:val="000000"/>
        </w:rPr>
        <w:t xml:space="preserve">Debido a la gran cantidad de ofertas y de información por analizar y verificar para el Concurso 2018PP – 000708, cuyo volumen superó en alrededor de 400% la cantidad de ofertas que se atienden por año para este tipo de compras, y debido a la importancia que tiene para los objetivos de la CNFL, se destinó prácticamente todo el recurso profesional de esta Área para atender la evaluación y el estudio de estas ofertas. </w:t>
      </w:r>
    </w:p>
    <w:p w:rsidR="0050472E" w:rsidRPr="0050472E" w:rsidRDefault="0050472E" w:rsidP="008907A7">
      <w:pPr>
        <w:autoSpaceDE w:val="0"/>
        <w:autoSpaceDN w:val="0"/>
        <w:adjustRightInd w:val="0"/>
        <w:ind w:left="1416"/>
        <w:jc w:val="both"/>
        <w:rPr>
          <w:rFonts w:ascii="Verdana" w:hAnsi="Verdana" w:cs="Segoe UI"/>
          <w:color w:val="000000"/>
        </w:rPr>
      </w:pPr>
      <w:r w:rsidRPr="0050472E">
        <w:rPr>
          <w:rFonts w:ascii="Verdana" w:hAnsi="Verdana" w:cs="Segoe UI"/>
          <w:color w:val="000000"/>
        </w:rPr>
        <w:t xml:space="preserve">El 30 de abril de 2019 se finaliza el proceso de Estudio de Ofertas del Concurso Nº 2018PP-000708-0000200001 para la compra de luminarias para uso en Carreteras y se liberan los recursos profesionales para atender los demás proyectos y trabajos asignados. Esta actividad afectó la disponibilidad del recurso humano para poder atender con celeridad todo la planeación del proceso de compra de luminarias del Túnel Zurquí. Como se observa, entre los meses de enero y abril de 2019 se tuvo una limitación importante en el recurso humano no obstante si se avanzó en la revisión del requerimiento para el Túnel. </w:t>
      </w:r>
    </w:p>
    <w:p w:rsidR="0050472E" w:rsidRPr="0050472E" w:rsidRDefault="0050472E" w:rsidP="008907A7">
      <w:pPr>
        <w:autoSpaceDE w:val="0"/>
        <w:autoSpaceDN w:val="0"/>
        <w:adjustRightInd w:val="0"/>
        <w:ind w:left="1416"/>
        <w:jc w:val="both"/>
        <w:rPr>
          <w:rFonts w:ascii="Verdana" w:hAnsi="Verdana" w:cs="Segoe UI"/>
          <w:color w:val="000000"/>
        </w:rPr>
      </w:pPr>
      <w:r w:rsidRPr="0050472E">
        <w:rPr>
          <w:rFonts w:ascii="Verdana" w:hAnsi="Verdana" w:cs="Segoe UI"/>
          <w:color w:val="000000"/>
        </w:rPr>
        <w:t xml:space="preserve">ii. En los primeros meses del 2019, como Administradores de Contrato, se continuó con un largo proceso administrativo para poder definir la cláusula penal para la Contratación 2018PP-000487-0000200001 relacionada a las obras de renovación y ampliación del alumbrado del Parque Central de Moravia lo cual requirió de muchas horas profesional, afectando parcialmente la capacidad y disponibilidad para atender el proceso de compra de luminarias del Túnel Zurquí. </w:t>
      </w:r>
    </w:p>
    <w:p w:rsidR="0050472E" w:rsidRPr="004A7E29" w:rsidRDefault="0050472E" w:rsidP="008907A7">
      <w:pPr>
        <w:autoSpaceDE w:val="0"/>
        <w:autoSpaceDN w:val="0"/>
        <w:adjustRightInd w:val="0"/>
        <w:ind w:left="1416"/>
        <w:jc w:val="both"/>
        <w:rPr>
          <w:rFonts w:ascii="Verdana" w:hAnsi="Verdana" w:cs="Segoe UI"/>
          <w:color w:val="000000"/>
        </w:rPr>
      </w:pPr>
      <w:r w:rsidRPr="004A7E29">
        <w:rPr>
          <w:rFonts w:ascii="Verdana" w:hAnsi="Verdana" w:cs="Segoe UI"/>
          <w:color w:val="000000"/>
        </w:rPr>
        <w:t xml:space="preserve">iii. Para el año 2019 los recursos profesionales del Área también se enfocan en atender y planificar los proyectos de Inversión en ejecución y por ejecutar en este periodo y asumir la administración de los contratos vigentes para atender los trabajos tales como: la Renovación del Parque Nuestro Amo, la Renovación del Sistema de Alumbrado Público del Cantón de Santa Bárbara de Heredia, el proyecto de ampliación del sistema de alumbrado público en varios sectores del área servida ; estos además de dar atención inmediata a los requerimientos del CONAVI en relación a los Proyectos de Ruta 39 Circunvalación Norte, Garantías Sociales, y OBIS de Ruta 1. Este es otro factor que afectó parcialmente la disponibilidad del recurso para atender el proceso de compra de las luminarias del Túnel Zurquí. </w:t>
      </w:r>
    </w:p>
    <w:p w:rsidR="0050472E" w:rsidRPr="004A7E29" w:rsidRDefault="0050472E" w:rsidP="008907A7">
      <w:pPr>
        <w:autoSpaceDE w:val="0"/>
        <w:autoSpaceDN w:val="0"/>
        <w:adjustRightInd w:val="0"/>
        <w:ind w:left="1416"/>
        <w:jc w:val="both"/>
        <w:rPr>
          <w:rFonts w:ascii="Verdana" w:hAnsi="Verdana" w:cs="Segoe UI"/>
          <w:color w:val="000000"/>
        </w:rPr>
      </w:pPr>
      <w:r w:rsidRPr="004A7E29">
        <w:rPr>
          <w:rFonts w:ascii="Verdana" w:hAnsi="Verdana" w:cs="Segoe UI"/>
          <w:color w:val="000000"/>
        </w:rPr>
        <w:t>iv. Para ampliar el punto anterior, para todo el periodo 2019 se destina un recurso profesional técnico y un recurso profesional administrativo del área, para atender el proyecto de Renovación del cantón de Santa Bárbara de Heredia; y por otra parte otro recurso profesional técnico para atender todos los proyectos solicitados por el CONAVI. De esta forma se dispone solamente de un recurso profesional técnico para atender las obras de renovación del Parque Nuestro Amo (Diseño, presupuesto, especificaciones y Administración del contrato para</w:t>
      </w:r>
      <w:r w:rsidR="004A7E29">
        <w:rPr>
          <w:rFonts w:ascii="Verdana" w:hAnsi="Verdana" w:cs="Segoe UI"/>
          <w:color w:val="000000"/>
        </w:rPr>
        <w:t xml:space="preserve"> </w:t>
      </w:r>
      <w:r w:rsidRPr="004A7E29">
        <w:rPr>
          <w:rFonts w:ascii="Verdana" w:hAnsi="Verdana" w:cs="Segoe UI"/>
          <w:color w:val="000000"/>
        </w:rPr>
        <w:t xml:space="preserve">compras de materiales del proyecto y contratación de la mano de obra), quien además asume todo el proceso de compra de luminarias del Túnel Zurquí. </w:t>
      </w:r>
    </w:p>
    <w:p w:rsidR="0050472E" w:rsidRPr="004A7E29" w:rsidRDefault="0050472E" w:rsidP="008907A7">
      <w:pPr>
        <w:autoSpaceDE w:val="0"/>
        <w:autoSpaceDN w:val="0"/>
        <w:adjustRightInd w:val="0"/>
        <w:ind w:left="1416"/>
        <w:jc w:val="both"/>
        <w:rPr>
          <w:rFonts w:ascii="Verdana" w:hAnsi="Verdana" w:cs="Segoe UI"/>
          <w:color w:val="000000"/>
        </w:rPr>
      </w:pPr>
      <w:r w:rsidRPr="004A7E29">
        <w:rPr>
          <w:rFonts w:ascii="Verdana" w:hAnsi="Verdana" w:cs="Segoe UI"/>
          <w:color w:val="000000"/>
        </w:rPr>
        <w:t xml:space="preserve">v. Con los recursos disponibles en forma parcial, en los primeros meses del año se realiza la revisión técnica de especificaciones y las evaluaciones fotométricas para definir claramente el requerimiento de las luminarias del Túnel Zurquí bajo el concepto de utilizar tecnología LED, ya que un estudio anterior del año 2007 se realizó con tecnología de vapor de sodio. Se atiende parcialmente el proceso de compra de luminarias para el Túnel en función de la disponibilidad del recurso. </w:t>
      </w:r>
    </w:p>
    <w:p w:rsidR="0050472E" w:rsidRPr="004A7E29" w:rsidRDefault="0050472E" w:rsidP="008907A7">
      <w:pPr>
        <w:autoSpaceDE w:val="0"/>
        <w:autoSpaceDN w:val="0"/>
        <w:adjustRightInd w:val="0"/>
        <w:ind w:left="1416"/>
        <w:jc w:val="both"/>
        <w:rPr>
          <w:rFonts w:ascii="Verdana" w:hAnsi="Verdana" w:cs="Segoe UI"/>
          <w:color w:val="000000"/>
        </w:rPr>
      </w:pPr>
      <w:r w:rsidRPr="004A7E29">
        <w:rPr>
          <w:rFonts w:ascii="Verdana" w:hAnsi="Verdana" w:cs="Segoe UI"/>
          <w:color w:val="000000"/>
        </w:rPr>
        <w:t xml:space="preserve">vi. Debido a la necesidad de aclarar aspectos técnicos asociados a la compra de luminarias para el Túnel Zurquí, por ser un equipo que no se ha adquirido desde hace más de 15 años y por ser de nueva tecnología, para mediados del mes de mayo de 2019 se inicia la coordinación con el Área Proveeduría Empresarial para realizar una Audiencia Pública previa al Cartel con potenciales oferentes y a la vez establecer los contactos para realizar el estudio de mercado que requiere este tipo de compras. Luego de la asesoría de la Proveeduría, la solicitud formal se realiza el 24 de mayo 2019 y se fija la fecha de la audiencia para el 7 de junio de 2019. </w:t>
      </w:r>
    </w:p>
    <w:p w:rsidR="0050472E" w:rsidRPr="004A7E29" w:rsidRDefault="0050472E" w:rsidP="008907A7">
      <w:pPr>
        <w:autoSpaceDE w:val="0"/>
        <w:autoSpaceDN w:val="0"/>
        <w:adjustRightInd w:val="0"/>
        <w:ind w:left="1416"/>
        <w:jc w:val="both"/>
        <w:rPr>
          <w:rFonts w:ascii="Verdana" w:hAnsi="Verdana" w:cs="Segoe UI"/>
          <w:color w:val="000000"/>
        </w:rPr>
      </w:pPr>
      <w:r w:rsidRPr="004A7E29">
        <w:rPr>
          <w:rFonts w:ascii="Verdana" w:hAnsi="Verdana" w:cs="Segoe UI"/>
          <w:color w:val="000000"/>
        </w:rPr>
        <w:t xml:space="preserve">vii. A partir de la Audiencia Pública los potenciales oferentes hacen observaciones técnicas de peso con relación a las luminarias por adquirir y esto nos lleva a realizar ajustes a las especificaciones técnicas del requerimiento; luego de este ajuste durante el mes de junio se solicitó a los potenciales oferentes los precios de mercado y en algunos casos se pidió mayor información técnica de los productos que ofrece el mercado para esta aplicación particular, no obstante las respuestas se recibieron hasta un mes después de haberlo solicitado. Por lo tanto se puede notar que el tiempo entre la coordinación de la Audiencia Pública y los resultados del Estudio de Mercado tomó aproximadamente entre un mes y medio y dos meses. </w:t>
      </w:r>
    </w:p>
    <w:p w:rsidR="0050472E" w:rsidRPr="004A7E29" w:rsidRDefault="0050472E" w:rsidP="008907A7">
      <w:pPr>
        <w:autoSpaceDE w:val="0"/>
        <w:autoSpaceDN w:val="0"/>
        <w:adjustRightInd w:val="0"/>
        <w:ind w:left="1416"/>
        <w:jc w:val="both"/>
        <w:rPr>
          <w:rFonts w:ascii="Verdana" w:hAnsi="Verdana" w:cs="Segoe UI"/>
          <w:color w:val="000000"/>
        </w:rPr>
      </w:pPr>
      <w:r w:rsidRPr="004A7E29">
        <w:rPr>
          <w:rFonts w:ascii="Verdana" w:hAnsi="Verdana" w:cs="Segoe UI"/>
          <w:color w:val="000000"/>
        </w:rPr>
        <w:t xml:space="preserve">viii. En relación a los plazos de contratación lo que ha expresado el Área Proveeduría Empresarial es lo siguiente: </w:t>
      </w:r>
    </w:p>
    <w:p w:rsidR="0050472E" w:rsidRPr="004A7E29" w:rsidRDefault="0050472E" w:rsidP="008907A7">
      <w:pPr>
        <w:autoSpaceDE w:val="0"/>
        <w:autoSpaceDN w:val="0"/>
        <w:adjustRightInd w:val="0"/>
        <w:ind w:left="1416"/>
        <w:jc w:val="both"/>
        <w:rPr>
          <w:rFonts w:ascii="Verdana" w:hAnsi="Verdana" w:cs="Arial"/>
          <w:color w:val="000000"/>
        </w:rPr>
      </w:pPr>
      <w:r w:rsidRPr="004A7E29">
        <w:rPr>
          <w:rFonts w:ascii="Verdana" w:hAnsi="Verdana" w:cs="Arial"/>
          <w:color w:val="000000"/>
        </w:rPr>
        <w:t xml:space="preserve">“El tiempo de los concursos desde su publicación hasta la entrega de la orden de compra o servicios es de 90 días hábiles si no se presentan recursos. Aumentando hasta en 60 días hábiles con recursos más el tiempo de entrega o ejecución del servicio que puede superar los 60 días hábiles. Ante este panorama los concursos pueden tardar 10, 12 y hasta más meses en su trámite y recepción final lo que puede ocasionar sub- ejecución presupuestaria como ha ocurrido en años anteriores y atrasos en su plan de trabajo.” </w:t>
      </w:r>
    </w:p>
    <w:p w:rsidR="0050472E" w:rsidRDefault="0050472E" w:rsidP="008907A7">
      <w:pPr>
        <w:autoSpaceDE w:val="0"/>
        <w:autoSpaceDN w:val="0"/>
        <w:adjustRightInd w:val="0"/>
        <w:ind w:left="1416"/>
        <w:jc w:val="both"/>
        <w:rPr>
          <w:rFonts w:ascii="Verdana" w:hAnsi="Verdana" w:cs="Segoe UI"/>
          <w:color w:val="000000"/>
        </w:rPr>
      </w:pPr>
      <w:r w:rsidRPr="004A7E29">
        <w:rPr>
          <w:rFonts w:ascii="Verdana" w:hAnsi="Verdana" w:cs="Segoe UI"/>
          <w:color w:val="000000"/>
        </w:rPr>
        <w:t xml:space="preserve">Bajo esa observación resultaba demasiado riesgoso sacar a concurso la compra de luminarias LED a finales del mes de Julio de 2019 con presupuesto de este mismo año, debido a los tiempos de contratación y la gran probabilidad de no contar a tiempo con las luminarias en las bodegas de la CNFL para antes de finalizar el año 2019 y poder pagar con presupuesto de este año. </w:t>
      </w:r>
    </w:p>
    <w:p w:rsidR="0050472E" w:rsidRPr="004A7E29" w:rsidRDefault="0050472E" w:rsidP="008907A7">
      <w:pPr>
        <w:autoSpaceDE w:val="0"/>
        <w:autoSpaceDN w:val="0"/>
        <w:adjustRightInd w:val="0"/>
        <w:ind w:left="1416"/>
        <w:jc w:val="both"/>
        <w:rPr>
          <w:rFonts w:ascii="Verdana" w:hAnsi="Verdana" w:cs="Segoe UI"/>
          <w:color w:val="000000"/>
        </w:rPr>
      </w:pPr>
      <w:r w:rsidRPr="004A7E29">
        <w:rPr>
          <w:rFonts w:ascii="Verdana" w:hAnsi="Verdana" w:cs="Segoe UI"/>
          <w:b/>
          <w:bCs/>
          <w:color w:val="000000"/>
        </w:rPr>
        <w:t xml:space="preserve">3. Presupuesto requerido para la compra de luminarias del Túnel Zurquí. </w:t>
      </w:r>
    </w:p>
    <w:p w:rsidR="0050472E" w:rsidRPr="004A7E29" w:rsidRDefault="0050472E" w:rsidP="008907A7">
      <w:pPr>
        <w:autoSpaceDE w:val="0"/>
        <w:autoSpaceDN w:val="0"/>
        <w:adjustRightInd w:val="0"/>
        <w:ind w:left="1416"/>
        <w:jc w:val="both"/>
        <w:rPr>
          <w:rFonts w:ascii="Verdana" w:hAnsi="Verdana" w:cs="Segoe UI"/>
          <w:color w:val="000000"/>
        </w:rPr>
      </w:pPr>
      <w:r w:rsidRPr="004A7E29">
        <w:rPr>
          <w:rFonts w:ascii="Verdana" w:hAnsi="Verdana" w:cs="Segoe UI"/>
          <w:color w:val="000000"/>
        </w:rPr>
        <w:t xml:space="preserve">Según el Estudio de Mercado que se adjunta a este documento, se observa que los potenciales proveedores de equipos de iluminación (luminarias con tecnología LED, diseñadas especialmente para la aplicación en Túneles) cotizan precios que sobrepasan el monto del presupuesto disponible estimado en más de 183 millones de colones en promedio, siendo el monto de menor diferencia de 93 millones y el de mayor diferencia de 300 millones. </w:t>
      </w:r>
    </w:p>
    <w:p w:rsidR="0050472E" w:rsidRDefault="0050472E" w:rsidP="008907A7">
      <w:pPr>
        <w:pStyle w:val="Default"/>
        <w:ind w:left="1416"/>
        <w:jc w:val="both"/>
        <w:rPr>
          <w:rFonts w:ascii="Verdana" w:hAnsi="Verdana" w:cs="Segoe UI"/>
          <w:sz w:val="22"/>
          <w:szCs w:val="22"/>
        </w:rPr>
      </w:pPr>
      <w:r w:rsidRPr="0050472E">
        <w:rPr>
          <w:rFonts w:ascii="Verdana" w:hAnsi="Verdana" w:cs="Segoe UI"/>
          <w:sz w:val="22"/>
          <w:szCs w:val="22"/>
        </w:rPr>
        <w:t>Por lo tanto al no contar con los recursos suficientes, además de la limitación del tiempo de los concursos y lo que implicaría extender más el tiempo necesario para solicitar el presupuesto adicional, no se recomienda para este año la ejecución del presupuesto para la compra de luminarias LED para el Túnel Zurquí y en su lugar aprovechar los recursos para la compra de luminarias LED para el alumbrado público de carreteras.</w:t>
      </w:r>
    </w:p>
    <w:p w:rsidR="008907A7" w:rsidRDefault="008907A7" w:rsidP="004A7E29">
      <w:pPr>
        <w:pStyle w:val="Default"/>
        <w:ind w:left="720"/>
        <w:jc w:val="both"/>
        <w:rPr>
          <w:rFonts w:ascii="Verdana" w:hAnsi="Verdana" w:cs="Segoe UI"/>
          <w:sz w:val="22"/>
          <w:szCs w:val="22"/>
        </w:rPr>
      </w:pPr>
    </w:p>
    <w:p w:rsidR="00DE7AD1" w:rsidRPr="00DE7AD1" w:rsidRDefault="00DE7AD1" w:rsidP="00087313">
      <w:pPr>
        <w:pStyle w:val="Default"/>
        <w:numPr>
          <w:ilvl w:val="0"/>
          <w:numId w:val="33"/>
        </w:numPr>
        <w:jc w:val="both"/>
        <w:rPr>
          <w:rFonts w:ascii="Verdana" w:hAnsi="Verdana"/>
          <w:b/>
          <w:i/>
          <w:sz w:val="22"/>
          <w:szCs w:val="22"/>
        </w:rPr>
      </w:pPr>
      <w:r w:rsidRPr="00DE7AD1">
        <w:rPr>
          <w:rFonts w:ascii="Verdana" w:eastAsia="Times New Roman" w:hAnsi="Verdana" w:cs="Arial"/>
          <w:b/>
          <w:bCs/>
          <w:color w:val="auto"/>
          <w:sz w:val="22"/>
          <w:szCs w:val="22"/>
          <w:lang w:val="es-ES" w:eastAsia="es-ES"/>
        </w:rPr>
        <w:t>Construcción de las Obras de Estabilización de los sitios 2 y 3 del Plantel Anonos de la Compañía Nacional de Fuerza y Luz, S.A:</w:t>
      </w:r>
      <w:r w:rsidRPr="00DE7AD1">
        <w:rPr>
          <w:sz w:val="20"/>
          <w:szCs w:val="20"/>
        </w:rPr>
        <w:t xml:space="preserve"> </w:t>
      </w:r>
      <w:r w:rsidRPr="00DE7AD1">
        <w:rPr>
          <w:rFonts w:ascii="Verdana" w:hAnsi="Verdana"/>
          <w:sz w:val="22"/>
          <w:szCs w:val="22"/>
        </w:rPr>
        <w:t>En oficio N° 7210-0028-2019 del 17 de diciembre 2019 del Proceso Arquitectura y Desarrollo de edificaciones la señora Cinthia Hernández, Coordinadora de Proceso, indica:</w:t>
      </w:r>
      <w:r>
        <w:rPr>
          <w:rFonts w:ascii="Verdana" w:hAnsi="Verdana"/>
          <w:sz w:val="22"/>
          <w:szCs w:val="22"/>
        </w:rPr>
        <w:t xml:space="preserve"> “</w:t>
      </w:r>
      <w:r w:rsidRPr="00DE7AD1">
        <w:rPr>
          <w:rFonts w:ascii="Verdana" w:hAnsi="Verdana" w:cs="Verdana"/>
          <w:sz w:val="22"/>
          <w:szCs w:val="22"/>
        </w:rPr>
        <w:t>Se solicita la exclusión de la contratación “construcción de estructuras de soporte tipo muro como elementos de contención en zonas que presentan deslizamiento en la unidad Taller Electromecánico y Subestación Plantel Anonos” del plan de adquisiciones del 2019 debido a que tomando en consideración los plazos establecidos para atender consultas, aclaraciones para la presentación de ofertas o en caso de un recurso de objeción, así como que se cuente con el personal técnico, administrativo y profesional para resolver en tiempo y forma se trasladó la fecha de la publicación del cartel para enero del 2020</w:t>
      </w:r>
      <w:r>
        <w:rPr>
          <w:rFonts w:ascii="Verdana" w:hAnsi="Verdana" w:cs="Verdana"/>
          <w:sz w:val="22"/>
          <w:szCs w:val="22"/>
        </w:rPr>
        <w:t>”</w:t>
      </w:r>
    </w:p>
    <w:p w:rsidR="008907A7" w:rsidRPr="0050472E" w:rsidRDefault="008907A7" w:rsidP="00DE7AD1">
      <w:pPr>
        <w:pStyle w:val="Default"/>
        <w:ind w:left="720"/>
        <w:jc w:val="both"/>
        <w:rPr>
          <w:rFonts w:ascii="Verdana" w:hAnsi="Verdana"/>
          <w:sz w:val="22"/>
          <w:szCs w:val="22"/>
        </w:rPr>
      </w:pPr>
    </w:p>
    <w:p w:rsidR="000259DD" w:rsidRDefault="000259DD" w:rsidP="00FE7D79">
      <w:pPr>
        <w:spacing w:after="0" w:line="240" w:lineRule="auto"/>
        <w:jc w:val="both"/>
        <w:rPr>
          <w:rFonts w:ascii="Verdana" w:hAnsi="Verdana" w:cs="Arial"/>
          <w:bCs/>
        </w:rPr>
      </w:pPr>
    </w:p>
    <w:p w:rsidR="000259DD" w:rsidRDefault="00811992" w:rsidP="00811992">
      <w:pPr>
        <w:pStyle w:val="Prrafodelista"/>
        <w:numPr>
          <w:ilvl w:val="0"/>
          <w:numId w:val="28"/>
        </w:numPr>
        <w:jc w:val="both"/>
        <w:rPr>
          <w:rFonts w:ascii="Verdana" w:hAnsi="Verdana" w:cs="Arial"/>
          <w:bCs/>
        </w:rPr>
      </w:pPr>
      <w:r>
        <w:rPr>
          <w:rFonts w:ascii="Verdana" w:hAnsi="Verdana" w:cs="Arial"/>
          <w:bCs/>
        </w:rPr>
        <w:t>Concursos iniciados</w:t>
      </w:r>
    </w:p>
    <w:p w:rsidR="00811992" w:rsidRDefault="00811992" w:rsidP="00811992">
      <w:pPr>
        <w:jc w:val="both"/>
        <w:rPr>
          <w:rFonts w:ascii="Verdana" w:hAnsi="Verdana" w:cs="Arial"/>
          <w:bCs/>
        </w:rPr>
      </w:pPr>
    </w:p>
    <w:p w:rsidR="00811992" w:rsidRPr="00811992" w:rsidRDefault="00811992" w:rsidP="00811992">
      <w:pPr>
        <w:jc w:val="both"/>
        <w:rPr>
          <w:rFonts w:ascii="Verdana" w:hAnsi="Verdana" w:cs="Arial"/>
          <w:bCs/>
        </w:rPr>
      </w:pPr>
      <w:r>
        <w:rPr>
          <w:rFonts w:ascii="Verdana" w:hAnsi="Verdana" w:cs="Arial"/>
          <w:bCs/>
        </w:rPr>
        <w:t xml:space="preserve">El 100% de los </w:t>
      </w:r>
      <w:r w:rsidR="00F25E8F">
        <w:rPr>
          <w:rFonts w:ascii="Verdana" w:hAnsi="Verdana" w:cs="Arial"/>
          <w:bCs/>
        </w:rPr>
        <w:t>nueve</w:t>
      </w:r>
      <w:r>
        <w:rPr>
          <w:rFonts w:ascii="Verdana" w:hAnsi="Verdana" w:cs="Arial"/>
          <w:bCs/>
        </w:rPr>
        <w:t xml:space="preserve"> procedimientos de contratación restantes fueron publicados durante el a</w:t>
      </w:r>
      <w:r w:rsidR="00F25E8F">
        <w:rPr>
          <w:rFonts w:ascii="Verdana" w:hAnsi="Verdana" w:cs="Arial"/>
          <w:bCs/>
        </w:rPr>
        <w:t>ñ</w:t>
      </w:r>
      <w:r>
        <w:rPr>
          <w:rFonts w:ascii="Verdana" w:hAnsi="Verdana" w:cs="Arial"/>
          <w:bCs/>
        </w:rPr>
        <w:t>o en el sistema de compras públicas SICOP</w:t>
      </w:r>
      <w:r w:rsidR="009A76E2">
        <w:rPr>
          <w:rFonts w:ascii="Verdana" w:hAnsi="Verdana" w:cs="Arial"/>
          <w:bCs/>
        </w:rPr>
        <w:t>,</w:t>
      </w:r>
      <w:r>
        <w:rPr>
          <w:rFonts w:ascii="Verdana" w:hAnsi="Verdana" w:cs="Arial"/>
          <w:bCs/>
        </w:rPr>
        <w:t xml:space="preserve"> </w:t>
      </w:r>
      <w:r w:rsidR="00FC64EE">
        <w:rPr>
          <w:rFonts w:ascii="Verdana" w:hAnsi="Verdana" w:cs="Arial"/>
          <w:bCs/>
        </w:rPr>
        <w:t>conforme la directriz del Ministerio de Hacienda e</w:t>
      </w:r>
      <w:r>
        <w:rPr>
          <w:rFonts w:ascii="Verdana" w:hAnsi="Verdana" w:cs="Arial"/>
          <w:bCs/>
        </w:rPr>
        <w:t xml:space="preserve"> inicia</w:t>
      </w:r>
      <w:r w:rsidR="00FC64EE">
        <w:rPr>
          <w:rFonts w:ascii="Verdana" w:hAnsi="Verdana" w:cs="Arial"/>
          <w:bCs/>
        </w:rPr>
        <w:t>do</w:t>
      </w:r>
      <w:r>
        <w:rPr>
          <w:rFonts w:ascii="Verdana" w:hAnsi="Verdana" w:cs="Arial"/>
          <w:bCs/>
        </w:rPr>
        <w:t xml:space="preserve"> el proceso de adquisición.</w:t>
      </w:r>
    </w:p>
    <w:p w:rsidR="00F25E8F" w:rsidRDefault="008F6E97" w:rsidP="00FE7D79">
      <w:pPr>
        <w:spacing w:after="0" w:line="240" w:lineRule="auto"/>
        <w:jc w:val="both"/>
        <w:rPr>
          <w:rFonts w:ascii="Verdana" w:hAnsi="Verdana" w:cs="Arial"/>
          <w:bCs/>
        </w:rPr>
      </w:pPr>
      <w:r w:rsidRPr="005E13A6">
        <w:rPr>
          <w:rFonts w:ascii="Verdana" w:hAnsi="Verdana" w:cs="Arial"/>
          <w:bCs/>
        </w:rPr>
        <w:t>De lo</w:t>
      </w:r>
      <w:r w:rsidR="00C94F8D" w:rsidRPr="005E13A6">
        <w:rPr>
          <w:rFonts w:ascii="Verdana" w:hAnsi="Verdana" w:cs="Arial"/>
          <w:bCs/>
        </w:rPr>
        <w:t xml:space="preserve">s </w:t>
      </w:r>
      <w:r w:rsidR="0097766D">
        <w:rPr>
          <w:rFonts w:ascii="Verdana" w:hAnsi="Verdana" w:cs="Arial"/>
          <w:bCs/>
        </w:rPr>
        <w:t>nueve</w:t>
      </w:r>
      <w:r w:rsidR="00C94F8D" w:rsidRPr="005E13A6">
        <w:rPr>
          <w:rFonts w:ascii="Verdana" w:hAnsi="Verdana" w:cs="Arial"/>
          <w:bCs/>
        </w:rPr>
        <w:t xml:space="preserve"> </w:t>
      </w:r>
      <w:r w:rsidR="0097766D">
        <w:rPr>
          <w:rFonts w:ascii="Verdana" w:hAnsi="Verdana" w:cs="Arial"/>
          <w:bCs/>
        </w:rPr>
        <w:t>procedimientos de compra</w:t>
      </w:r>
      <w:r w:rsidRPr="005E13A6">
        <w:rPr>
          <w:rFonts w:ascii="Verdana" w:hAnsi="Verdana" w:cs="Arial"/>
          <w:bCs/>
        </w:rPr>
        <w:t xml:space="preserve"> publicados</w:t>
      </w:r>
      <w:r w:rsidR="0097766D">
        <w:rPr>
          <w:rFonts w:ascii="Verdana" w:hAnsi="Verdana" w:cs="Arial"/>
          <w:bCs/>
        </w:rPr>
        <w:t>;</w:t>
      </w:r>
      <w:r w:rsidR="00C94F8D" w:rsidRPr="005E13A6">
        <w:rPr>
          <w:rFonts w:ascii="Verdana" w:hAnsi="Verdana" w:cs="Arial"/>
          <w:bCs/>
        </w:rPr>
        <w:t xml:space="preserve"> </w:t>
      </w:r>
      <w:r w:rsidR="0097766D">
        <w:rPr>
          <w:rFonts w:ascii="Verdana" w:hAnsi="Verdana" w:cs="Arial"/>
          <w:bCs/>
        </w:rPr>
        <w:t>uno</w:t>
      </w:r>
      <w:r w:rsidR="00F25E8F">
        <w:rPr>
          <w:rFonts w:ascii="Verdana" w:hAnsi="Verdana" w:cs="Arial"/>
          <w:bCs/>
        </w:rPr>
        <w:t xml:space="preserve"> se realizó mediante el procedimiento de escasa cuantía por motivo de </w:t>
      </w:r>
      <w:r w:rsidR="0097766D">
        <w:rPr>
          <w:rFonts w:ascii="Verdana" w:hAnsi="Verdana" w:cs="Arial"/>
          <w:bCs/>
        </w:rPr>
        <w:t xml:space="preserve">disminución del </w:t>
      </w:r>
      <w:r w:rsidR="00F25E8F">
        <w:rPr>
          <w:rFonts w:ascii="Verdana" w:hAnsi="Verdana" w:cs="Arial"/>
          <w:bCs/>
        </w:rPr>
        <w:t xml:space="preserve">contenido presupuestario, </w:t>
      </w:r>
      <w:r w:rsidR="0097766D">
        <w:rPr>
          <w:rFonts w:ascii="Verdana" w:hAnsi="Verdana" w:cs="Arial"/>
          <w:bCs/>
        </w:rPr>
        <w:t xml:space="preserve">quedando un total de </w:t>
      </w:r>
      <w:r w:rsidR="00F25E8F">
        <w:rPr>
          <w:rFonts w:ascii="Verdana" w:hAnsi="Verdana" w:cs="Arial"/>
          <w:bCs/>
        </w:rPr>
        <w:t xml:space="preserve">ocho </w:t>
      </w:r>
      <w:r w:rsidR="00CD4161">
        <w:rPr>
          <w:rFonts w:ascii="Verdana" w:hAnsi="Verdana" w:cs="Arial"/>
          <w:bCs/>
        </w:rPr>
        <w:t>contrataciones</w:t>
      </w:r>
      <w:r w:rsidR="0097766D">
        <w:rPr>
          <w:rFonts w:ascii="Verdana" w:hAnsi="Verdana" w:cs="Arial"/>
          <w:bCs/>
        </w:rPr>
        <w:t xml:space="preserve"> </w:t>
      </w:r>
      <w:r w:rsidR="00CD4161">
        <w:rPr>
          <w:rFonts w:ascii="Verdana" w:hAnsi="Verdana" w:cs="Arial"/>
          <w:bCs/>
        </w:rPr>
        <w:t>conducida</w:t>
      </w:r>
      <w:r w:rsidR="00F25E8F">
        <w:rPr>
          <w:rFonts w:ascii="Verdana" w:hAnsi="Verdana" w:cs="Arial"/>
          <w:bCs/>
        </w:rPr>
        <w:t>s mediante el procedimiento ordinario de concurso de adquisición</w:t>
      </w:r>
      <w:r w:rsidR="00FC64EE">
        <w:rPr>
          <w:rFonts w:ascii="Verdana" w:hAnsi="Verdana" w:cs="Arial"/>
          <w:bCs/>
        </w:rPr>
        <w:t xml:space="preserve"> durante </w:t>
      </w:r>
      <w:r w:rsidR="00CD4161">
        <w:rPr>
          <w:rFonts w:ascii="Verdana" w:hAnsi="Verdana" w:cs="Arial"/>
          <w:bCs/>
        </w:rPr>
        <w:t>el año 2019.</w:t>
      </w:r>
    </w:p>
    <w:p w:rsidR="0097766D" w:rsidRDefault="0097766D" w:rsidP="00FE7D79">
      <w:pPr>
        <w:spacing w:after="0" w:line="240" w:lineRule="auto"/>
        <w:jc w:val="both"/>
        <w:rPr>
          <w:rFonts w:ascii="Verdana" w:hAnsi="Verdana" w:cs="Arial"/>
          <w:bCs/>
        </w:rPr>
      </w:pPr>
    </w:p>
    <w:p w:rsidR="00F25E8F" w:rsidRDefault="00F25E8F" w:rsidP="00FE7D79">
      <w:pPr>
        <w:spacing w:after="0" w:line="240" w:lineRule="auto"/>
        <w:jc w:val="both"/>
        <w:rPr>
          <w:rFonts w:ascii="Verdana" w:hAnsi="Verdana" w:cs="Arial"/>
          <w:bCs/>
        </w:rPr>
      </w:pPr>
    </w:p>
    <w:p w:rsidR="0097766D" w:rsidRDefault="0097766D" w:rsidP="0097766D">
      <w:pPr>
        <w:pStyle w:val="Prrafodelista"/>
        <w:numPr>
          <w:ilvl w:val="0"/>
          <w:numId w:val="28"/>
        </w:numPr>
        <w:jc w:val="both"/>
        <w:rPr>
          <w:rFonts w:ascii="Verdana" w:hAnsi="Verdana" w:cs="Arial"/>
          <w:bCs/>
        </w:rPr>
      </w:pPr>
      <w:r>
        <w:rPr>
          <w:rFonts w:ascii="Verdana" w:hAnsi="Verdana" w:cs="Arial"/>
          <w:bCs/>
        </w:rPr>
        <w:t>Estado de los concursos de adquisición al cierre de año</w:t>
      </w:r>
      <w:r w:rsidR="00FC64EE">
        <w:rPr>
          <w:rFonts w:ascii="Verdana" w:hAnsi="Verdana" w:cs="Arial"/>
          <w:bCs/>
        </w:rPr>
        <w:t xml:space="preserve"> 2019</w:t>
      </w:r>
      <w:r>
        <w:rPr>
          <w:rFonts w:ascii="Verdana" w:hAnsi="Verdana" w:cs="Arial"/>
          <w:bCs/>
        </w:rPr>
        <w:t xml:space="preserve"> </w:t>
      </w:r>
    </w:p>
    <w:p w:rsidR="0097766D" w:rsidRDefault="0097766D" w:rsidP="0097766D">
      <w:pPr>
        <w:pStyle w:val="Prrafodelista"/>
        <w:ind w:left="1080"/>
        <w:jc w:val="both"/>
        <w:rPr>
          <w:rFonts w:ascii="Verdana" w:hAnsi="Verdana" w:cs="Arial"/>
          <w:bCs/>
        </w:rPr>
      </w:pPr>
    </w:p>
    <w:p w:rsidR="0097766D" w:rsidRDefault="0097766D" w:rsidP="0097766D">
      <w:pPr>
        <w:pStyle w:val="Prrafodelista"/>
        <w:ind w:left="1080"/>
        <w:jc w:val="both"/>
        <w:rPr>
          <w:rFonts w:ascii="Verdana" w:hAnsi="Verdana" w:cs="Arial"/>
          <w:bCs/>
        </w:rPr>
      </w:pPr>
    </w:p>
    <w:p w:rsidR="00FE7D79" w:rsidRPr="0097766D" w:rsidRDefault="00CD4161" w:rsidP="0097766D">
      <w:pPr>
        <w:jc w:val="both"/>
        <w:rPr>
          <w:rFonts w:ascii="Verdana" w:hAnsi="Verdana" w:cs="Arial"/>
          <w:bCs/>
        </w:rPr>
      </w:pPr>
      <w:r>
        <w:rPr>
          <w:rFonts w:ascii="Verdana" w:hAnsi="Verdana" w:cs="Arial"/>
          <w:bCs/>
        </w:rPr>
        <w:t>De los ocho procedimientos de concursos de adquisición</w:t>
      </w:r>
      <w:r w:rsidR="009A76E2">
        <w:rPr>
          <w:rFonts w:ascii="Verdana" w:hAnsi="Verdana" w:cs="Arial"/>
          <w:bCs/>
        </w:rPr>
        <w:t>,</w:t>
      </w:r>
      <w:r>
        <w:rPr>
          <w:rFonts w:ascii="Verdana" w:hAnsi="Verdana" w:cs="Arial"/>
          <w:bCs/>
        </w:rPr>
        <w:t xml:space="preserve"> </w:t>
      </w:r>
      <w:r w:rsidR="00EC0F9A">
        <w:rPr>
          <w:rFonts w:ascii="Verdana" w:hAnsi="Verdana" w:cs="Arial"/>
          <w:bCs/>
        </w:rPr>
        <w:t>cinco</w:t>
      </w:r>
      <w:r w:rsidR="00811992" w:rsidRPr="0097766D">
        <w:rPr>
          <w:rFonts w:ascii="Verdana" w:hAnsi="Verdana" w:cs="Arial"/>
          <w:bCs/>
        </w:rPr>
        <w:t xml:space="preserve"> fueron adjudicados en firme </w:t>
      </w:r>
      <w:r>
        <w:rPr>
          <w:rFonts w:ascii="Verdana" w:hAnsi="Verdana" w:cs="Arial"/>
          <w:bCs/>
        </w:rPr>
        <w:t>antes de finalizar el año</w:t>
      </w:r>
      <w:r w:rsidR="00EC0F9A">
        <w:rPr>
          <w:rFonts w:ascii="Verdana" w:hAnsi="Verdana" w:cs="Arial"/>
          <w:bCs/>
        </w:rPr>
        <w:t>,</w:t>
      </w:r>
      <w:r w:rsidR="00745BC5" w:rsidRPr="0097766D">
        <w:rPr>
          <w:rFonts w:ascii="Verdana" w:hAnsi="Verdana" w:cs="Arial"/>
          <w:bCs/>
        </w:rPr>
        <w:t xml:space="preserve"> </w:t>
      </w:r>
      <w:r w:rsidR="00EC0F9A">
        <w:rPr>
          <w:rFonts w:ascii="Verdana" w:hAnsi="Verdana" w:cs="Arial"/>
          <w:bCs/>
        </w:rPr>
        <w:t>dos</w:t>
      </w:r>
      <w:r w:rsidR="008E59FD" w:rsidRPr="0097766D">
        <w:rPr>
          <w:rFonts w:ascii="Verdana" w:hAnsi="Verdana" w:cs="Arial"/>
          <w:bCs/>
        </w:rPr>
        <w:t xml:space="preserve"> </w:t>
      </w:r>
      <w:r w:rsidR="00811992" w:rsidRPr="0097766D">
        <w:rPr>
          <w:rFonts w:ascii="Verdana" w:hAnsi="Verdana" w:cs="Arial"/>
          <w:bCs/>
        </w:rPr>
        <w:t>se mantenían en etapas previas a la firmeza del acto de adjudicación o al cumplimiento de requisitos para la eficacia del contrato</w:t>
      </w:r>
      <w:r w:rsidR="00EC0F9A">
        <w:rPr>
          <w:rFonts w:ascii="Verdana" w:hAnsi="Verdana" w:cs="Arial"/>
          <w:bCs/>
        </w:rPr>
        <w:t xml:space="preserve"> y uno fue declarado infructuoso,</w:t>
      </w:r>
      <w:r w:rsidR="00811992" w:rsidRPr="0097766D">
        <w:rPr>
          <w:rFonts w:ascii="Verdana" w:hAnsi="Verdana" w:cs="Arial"/>
          <w:bCs/>
        </w:rPr>
        <w:t xml:space="preserve"> según se detalla: </w:t>
      </w:r>
      <w:r w:rsidR="008E59FD" w:rsidRPr="0097766D">
        <w:rPr>
          <w:rFonts w:ascii="Verdana" w:hAnsi="Verdana" w:cs="Arial"/>
          <w:bCs/>
        </w:rPr>
        <w:t xml:space="preserve"> </w:t>
      </w:r>
      <w:r w:rsidR="009228C2" w:rsidRPr="0097766D">
        <w:rPr>
          <w:rFonts w:ascii="Verdana" w:hAnsi="Verdana" w:cs="Arial"/>
          <w:bCs/>
        </w:rPr>
        <w:t xml:space="preserve"> </w:t>
      </w:r>
    </w:p>
    <w:p w:rsidR="002313F7" w:rsidRDefault="002313F7"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9A76E2" w:rsidRDefault="009A76E2" w:rsidP="00FE7D79">
      <w:pPr>
        <w:spacing w:after="0" w:line="240" w:lineRule="auto"/>
        <w:jc w:val="both"/>
        <w:rPr>
          <w:rFonts w:ascii="Verdana" w:hAnsi="Verdana" w:cs="Arial"/>
          <w:bCs/>
        </w:rPr>
      </w:pPr>
    </w:p>
    <w:p w:rsidR="008E59FD" w:rsidRDefault="002313F7" w:rsidP="008E59FD">
      <w:pPr>
        <w:spacing w:after="0" w:line="360" w:lineRule="auto"/>
        <w:rPr>
          <w:rFonts w:ascii="Verdana" w:eastAsia="Times New Roman" w:hAnsi="Verdana" w:cs="Arial"/>
          <w:b/>
          <w:i/>
          <w:lang w:val="es-ES_tradnl" w:eastAsia="es-ES"/>
        </w:rPr>
      </w:pPr>
      <w:r>
        <w:rPr>
          <w:rFonts w:ascii="Verdana" w:eastAsia="Times New Roman" w:hAnsi="Verdana" w:cs="Arial"/>
          <w:b/>
          <w:i/>
          <w:lang w:val="es-ES_tradnl" w:eastAsia="es-ES"/>
        </w:rPr>
        <w:t>Cuadro N°</w:t>
      </w:r>
      <w:r w:rsidR="00811992">
        <w:rPr>
          <w:rFonts w:ascii="Verdana" w:eastAsia="Times New Roman" w:hAnsi="Verdana" w:cs="Arial"/>
          <w:b/>
          <w:i/>
          <w:lang w:val="es-ES_tradnl" w:eastAsia="es-ES"/>
        </w:rPr>
        <w:t>2</w:t>
      </w:r>
    </w:p>
    <w:p w:rsidR="008E59FD" w:rsidRDefault="008E59FD" w:rsidP="002313F7">
      <w:pPr>
        <w:spacing w:after="0" w:line="360" w:lineRule="auto"/>
        <w:jc w:val="center"/>
        <w:rPr>
          <w:rFonts w:ascii="Verdana" w:eastAsia="Times New Roman" w:hAnsi="Verdana" w:cs="Arial"/>
          <w:b/>
          <w:i/>
          <w:lang w:val="es-ES_tradnl" w:eastAsia="es-ES"/>
        </w:rPr>
      </w:pPr>
    </w:p>
    <w:p w:rsidR="002313F7" w:rsidRDefault="00526687" w:rsidP="002313F7">
      <w:pPr>
        <w:spacing w:after="0" w:line="360" w:lineRule="auto"/>
        <w:jc w:val="center"/>
        <w:rPr>
          <w:rFonts w:ascii="Verdana" w:hAnsi="Verdana" w:cs="Arial"/>
          <w:bCs/>
        </w:rPr>
      </w:pPr>
      <w:r>
        <w:rPr>
          <w:rFonts w:ascii="Verdana" w:eastAsia="Times New Roman" w:hAnsi="Verdana" w:cs="Arial"/>
          <w:b/>
          <w:i/>
          <w:lang w:val="es-ES_tradnl" w:eastAsia="es-ES"/>
        </w:rPr>
        <w:t>Total</w:t>
      </w:r>
      <w:r w:rsidR="002313F7">
        <w:rPr>
          <w:rFonts w:ascii="Verdana" w:eastAsia="Times New Roman" w:hAnsi="Verdana" w:cs="Arial"/>
          <w:b/>
          <w:i/>
          <w:lang w:val="es-ES_tradnl" w:eastAsia="es-ES"/>
        </w:rPr>
        <w:t xml:space="preserve"> de </w:t>
      </w:r>
      <w:r w:rsidR="009A76E2">
        <w:rPr>
          <w:rFonts w:ascii="Verdana" w:eastAsia="Times New Roman" w:hAnsi="Verdana" w:cs="Arial"/>
          <w:b/>
          <w:i/>
          <w:lang w:val="es-ES_tradnl" w:eastAsia="es-ES"/>
        </w:rPr>
        <w:t xml:space="preserve">concursos de adquisición </w:t>
      </w:r>
      <w:r w:rsidR="008E59FD">
        <w:rPr>
          <w:rFonts w:ascii="Verdana" w:eastAsia="Times New Roman" w:hAnsi="Verdana" w:cs="Arial"/>
          <w:b/>
          <w:i/>
          <w:lang w:val="es-ES_tradnl" w:eastAsia="es-ES"/>
        </w:rPr>
        <w:t>en proceso</w:t>
      </w:r>
      <w:r w:rsidR="00FC64EE">
        <w:rPr>
          <w:rFonts w:ascii="Verdana" w:eastAsia="Times New Roman" w:hAnsi="Verdana" w:cs="Arial"/>
          <w:b/>
          <w:i/>
          <w:lang w:val="es-ES_tradnl" w:eastAsia="es-ES"/>
        </w:rPr>
        <w:t xml:space="preserve"> del perí</w:t>
      </w:r>
      <w:r w:rsidR="002313F7">
        <w:rPr>
          <w:rFonts w:ascii="Verdana" w:eastAsia="Times New Roman" w:hAnsi="Verdana" w:cs="Arial"/>
          <w:b/>
          <w:i/>
          <w:lang w:val="es-ES_tradnl" w:eastAsia="es-ES"/>
        </w:rPr>
        <w:t>odo 2019.</w:t>
      </w:r>
    </w:p>
    <w:p w:rsidR="002313F7" w:rsidRDefault="002C41BA" w:rsidP="00FE7D79">
      <w:pPr>
        <w:spacing w:after="0" w:line="240" w:lineRule="auto"/>
        <w:jc w:val="both"/>
        <w:rPr>
          <w:rFonts w:ascii="Verdana" w:hAnsi="Verdana" w:cs="Arial"/>
          <w:bCs/>
        </w:rPr>
      </w:pPr>
      <w:r>
        <w:rPr>
          <w:noProof/>
          <w:lang w:eastAsia="es-CR"/>
        </w:rPr>
        <w:drawing>
          <wp:inline distT="0" distB="0" distL="0" distR="0" wp14:anchorId="11AD51BA" wp14:editId="41250597">
            <wp:extent cx="6480810" cy="14160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480810" cy="1416050"/>
                    </a:xfrm>
                    <a:prstGeom prst="rect">
                      <a:avLst/>
                    </a:prstGeom>
                  </pic:spPr>
                </pic:pic>
              </a:graphicData>
            </a:graphic>
          </wp:inline>
        </w:drawing>
      </w:r>
    </w:p>
    <w:p w:rsidR="00811992" w:rsidRDefault="00811992" w:rsidP="00FE7D79">
      <w:pPr>
        <w:spacing w:after="0" w:line="240" w:lineRule="auto"/>
        <w:jc w:val="both"/>
        <w:rPr>
          <w:rFonts w:ascii="Verdana" w:hAnsi="Verdana" w:cs="Arial"/>
          <w:bCs/>
          <w:sz w:val="20"/>
          <w:szCs w:val="20"/>
        </w:rPr>
      </w:pPr>
    </w:p>
    <w:p w:rsidR="002313F7" w:rsidRDefault="00526687" w:rsidP="00FE7D79">
      <w:pPr>
        <w:spacing w:after="0" w:line="240" w:lineRule="auto"/>
        <w:jc w:val="both"/>
        <w:rPr>
          <w:rFonts w:ascii="Verdana" w:hAnsi="Verdana" w:cs="Arial"/>
          <w:bCs/>
          <w:sz w:val="20"/>
          <w:szCs w:val="20"/>
        </w:rPr>
      </w:pPr>
      <w:r w:rsidRPr="00FC64EE">
        <w:rPr>
          <w:rFonts w:ascii="Verdana" w:hAnsi="Verdana" w:cs="Arial"/>
          <w:b/>
          <w:bCs/>
          <w:sz w:val="20"/>
          <w:szCs w:val="20"/>
        </w:rPr>
        <w:t>Fuente:</w:t>
      </w:r>
      <w:r w:rsidRPr="00526687">
        <w:rPr>
          <w:rFonts w:ascii="Verdana" w:hAnsi="Verdana" w:cs="Arial"/>
          <w:bCs/>
          <w:sz w:val="20"/>
          <w:szCs w:val="20"/>
        </w:rPr>
        <w:t xml:space="preserve"> Elaboración propia. </w:t>
      </w:r>
    </w:p>
    <w:p w:rsidR="00E16990" w:rsidRPr="00526687" w:rsidRDefault="00E16990" w:rsidP="00FE7D79">
      <w:pPr>
        <w:spacing w:after="0" w:line="240" w:lineRule="auto"/>
        <w:jc w:val="both"/>
        <w:rPr>
          <w:rFonts w:ascii="Verdana" w:hAnsi="Verdana" w:cs="Arial"/>
          <w:bCs/>
          <w:sz w:val="20"/>
          <w:szCs w:val="20"/>
        </w:rPr>
      </w:pPr>
    </w:p>
    <w:p w:rsidR="002313F7" w:rsidRPr="009A76E2" w:rsidRDefault="002313F7" w:rsidP="00FE7D79">
      <w:pPr>
        <w:spacing w:after="0" w:line="240" w:lineRule="auto"/>
        <w:jc w:val="both"/>
        <w:rPr>
          <w:rFonts w:ascii="Verdana" w:hAnsi="Verdana" w:cs="Arial"/>
          <w:bCs/>
        </w:rPr>
      </w:pPr>
    </w:p>
    <w:p w:rsidR="00B92287" w:rsidRPr="009A76E2" w:rsidRDefault="00075C05" w:rsidP="004A1CDD">
      <w:pPr>
        <w:pStyle w:val="Prrafodelista"/>
        <w:numPr>
          <w:ilvl w:val="0"/>
          <w:numId w:val="28"/>
        </w:numPr>
        <w:jc w:val="both"/>
        <w:rPr>
          <w:rFonts w:ascii="Verdana" w:hAnsi="Verdana" w:cs="Arial"/>
          <w:bCs/>
          <w:sz w:val="22"/>
          <w:szCs w:val="22"/>
        </w:rPr>
      </w:pPr>
      <w:r w:rsidRPr="009A76E2">
        <w:rPr>
          <w:rFonts w:ascii="Verdana" w:hAnsi="Verdana" w:cs="Arial"/>
          <w:bCs/>
          <w:sz w:val="22"/>
          <w:szCs w:val="22"/>
        </w:rPr>
        <w:t>Concursos infructuosos</w:t>
      </w:r>
      <w:r w:rsidR="00B92287" w:rsidRPr="009A76E2">
        <w:rPr>
          <w:rFonts w:ascii="Verdana" w:hAnsi="Verdana" w:cs="Arial"/>
          <w:bCs/>
          <w:sz w:val="22"/>
          <w:szCs w:val="22"/>
        </w:rPr>
        <w:t>, desiertos o anulados</w:t>
      </w:r>
    </w:p>
    <w:p w:rsidR="00AA50D0" w:rsidRPr="009A76E2" w:rsidRDefault="00AA50D0" w:rsidP="00AA50D0">
      <w:pPr>
        <w:spacing w:after="0" w:line="240" w:lineRule="auto"/>
        <w:jc w:val="both"/>
        <w:rPr>
          <w:rFonts w:ascii="Verdana" w:hAnsi="Verdana" w:cs="Arial"/>
          <w:bCs/>
        </w:rPr>
      </w:pPr>
    </w:p>
    <w:p w:rsidR="00526687" w:rsidRPr="009A76E2" w:rsidRDefault="00E5321E" w:rsidP="00AA50D0">
      <w:pPr>
        <w:spacing w:after="0" w:line="240" w:lineRule="auto"/>
        <w:jc w:val="both"/>
        <w:rPr>
          <w:rFonts w:ascii="Verdana" w:hAnsi="Verdana" w:cs="Arial"/>
          <w:bCs/>
        </w:rPr>
      </w:pPr>
      <w:r w:rsidRPr="009A76E2">
        <w:rPr>
          <w:rFonts w:ascii="Verdana" w:hAnsi="Verdana" w:cs="Arial"/>
          <w:bCs/>
        </w:rPr>
        <w:t>Durante el año 2019</w:t>
      </w:r>
      <w:r w:rsidR="00B92287" w:rsidRPr="009A76E2">
        <w:rPr>
          <w:rFonts w:ascii="Verdana" w:hAnsi="Verdana" w:cs="Arial"/>
          <w:bCs/>
        </w:rPr>
        <w:t xml:space="preserve"> </w:t>
      </w:r>
      <w:r w:rsidR="00EC0F9A" w:rsidRPr="009A76E2">
        <w:rPr>
          <w:rFonts w:ascii="Verdana" w:hAnsi="Verdana" w:cs="Arial"/>
          <w:bCs/>
        </w:rPr>
        <w:t>un concurso fue declarado infructuoso por cuánto la única oferta recibida no se ajust</w:t>
      </w:r>
      <w:r w:rsidRPr="009A76E2">
        <w:rPr>
          <w:rFonts w:ascii="Verdana" w:hAnsi="Verdana" w:cs="Arial"/>
          <w:bCs/>
        </w:rPr>
        <w:t>ó</w:t>
      </w:r>
      <w:r w:rsidR="00EC0F9A" w:rsidRPr="009A76E2">
        <w:rPr>
          <w:rFonts w:ascii="Verdana" w:hAnsi="Verdana" w:cs="Arial"/>
          <w:bCs/>
        </w:rPr>
        <w:t xml:space="preserve"> a</w:t>
      </w:r>
      <w:r w:rsidR="00FC64EE" w:rsidRPr="009A76E2">
        <w:rPr>
          <w:rFonts w:ascii="Verdana" w:hAnsi="Verdana" w:cs="Arial"/>
          <w:bCs/>
        </w:rPr>
        <w:t xml:space="preserve"> los </w:t>
      </w:r>
      <w:r w:rsidR="00EC0F9A" w:rsidRPr="009A76E2">
        <w:rPr>
          <w:rFonts w:ascii="Verdana" w:hAnsi="Verdana" w:cs="Arial"/>
          <w:bCs/>
        </w:rPr>
        <w:t>requerimiento</w:t>
      </w:r>
      <w:r w:rsidR="00FC64EE" w:rsidRPr="009A76E2">
        <w:rPr>
          <w:rFonts w:ascii="Verdana" w:hAnsi="Verdana" w:cs="Arial"/>
          <w:bCs/>
        </w:rPr>
        <w:t>s</w:t>
      </w:r>
      <w:r w:rsidR="00EC0F9A" w:rsidRPr="009A76E2">
        <w:rPr>
          <w:rFonts w:ascii="Verdana" w:hAnsi="Verdana" w:cs="Arial"/>
          <w:bCs/>
        </w:rPr>
        <w:t xml:space="preserve"> técnico</w:t>
      </w:r>
      <w:r w:rsidR="00FC64EE" w:rsidRPr="009A76E2">
        <w:rPr>
          <w:rFonts w:ascii="Verdana" w:hAnsi="Verdana" w:cs="Arial"/>
          <w:bCs/>
        </w:rPr>
        <w:t>s</w:t>
      </w:r>
      <w:r w:rsidR="00EC0F9A" w:rsidRPr="009A76E2">
        <w:rPr>
          <w:rFonts w:ascii="Verdana" w:hAnsi="Verdana" w:cs="Arial"/>
          <w:bCs/>
        </w:rPr>
        <w:t>.</w:t>
      </w:r>
      <w:r w:rsidRPr="009A76E2">
        <w:rPr>
          <w:rFonts w:ascii="Verdana" w:hAnsi="Verdana" w:cs="Arial"/>
          <w:bCs/>
        </w:rPr>
        <w:t xml:space="preserve"> </w:t>
      </w:r>
    </w:p>
    <w:p w:rsidR="00093DFD" w:rsidRPr="009A76E2" w:rsidRDefault="00093DFD" w:rsidP="00093DFD">
      <w:pPr>
        <w:pStyle w:val="Prrafodelista"/>
        <w:ind w:left="284"/>
        <w:jc w:val="both"/>
        <w:rPr>
          <w:rFonts w:ascii="Verdana" w:eastAsiaTheme="minorHAnsi" w:hAnsi="Verdana" w:cs="Arial"/>
          <w:b/>
          <w:bCs/>
          <w:sz w:val="22"/>
          <w:szCs w:val="22"/>
        </w:rPr>
      </w:pPr>
    </w:p>
    <w:p w:rsidR="009D58FD" w:rsidRPr="009A76E2" w:rsidRDefault="009D58FD" w:rsidP="00E2207E">
      <w:pPr>
        <w:pStyle w:val="Prrafodelista"/>
        <w:numPr>
          <w:ilvl w:val="0"/>
          <w:numId w:val="28"/>
        </w:numPr>
        <w:jc w:val="both"/>
        <w:rPr>
          <w:rFonts w:ascii="Verdana" w:hAnsi="Verdana" w:cs="Arial"/>
          <w:bCs/>
          <w:sz w:val="22"/>
          <w:szCs w:val="22"/>
        </w:rPr>
      </w:pPr>
      <w:r w:rsidRPr="009A76E2">
        <w:rPr>
          <w:rFonts w:ascii="Verdana" w:hAnsi="Verdana" w:cs="Arial"/>
          <w:bCs/>
          <w:sz w:val="22"/>
          <w:szCs w:val="22"/>
        </w:rPr>
        <w:t xml:space="preserve">Duración </w:t>
      </w:r>
      <w:r w:rsidR="009A76E2">
        <w:rPr>
          <w:rFonts w:ascii="Verdana" w:hAnsi="Verdana" w:cs="Arial"/>
          <w:bCs/>
          <w:sz w:val="22"/>
          <w:szCs w:val="22"/>
        </w:rPr>
        <w:t xml:space="preserve">real </w:t>
      </w:r>
      <w:r w:rsidRPr="009A76E2">
        <w:rPr>
          <w:rFonts w:ascii="Verdana" w:hAnsi="Verdana" w:cs="Arial"/>
          <w:bCs/>
          <w:sz w:val="22"/>
          <w:szCs w:val="22"/>
        </w:rPr>
        <w:t xml:space="preserve">de los </w:t>
      </w:r>
      <w:r w:rsidR="00D81E73" w:rsidRPr="009A76E2">
        <w:rPr>
          <w:rFonts w:ascii="Verdana" w:hAnsi="Verdana" w:cs="Arial"/>
          <w:bCs/>
          <w:sz w:val="22"/>
          <w:szCs w:val="22"/>
        </w:rPr>
        <w:t>procedimientos de contratación mediante concursos de adquisición.</w:t>
      </w:r>
      <w:r w:rsidR="00E16990" w:rsidRPr="009A76E2">
        <w:rPr>
          <w:rFonts w:ascii="Verdana" w:hAnsi="Verdana" w:cs="Arial"/>
          <w:bCs/>
          <w:sz w:val="22"/>
          <w:szCs w:val="22"/>
        </w:rPr>
        <w:t xml:space="preserve"> </w:t>
      </w:r>
      <w:r w:rsidR="009A76E2">
        <w:rPr>
          <w:rFonts w:ascii="Verdana" w:hAnsi="Verdana" w:cs="Arial"/>
          <w:bCs/>
          <w:sz w:val="22"/>
          <w:szCs w:val="22"/>
        </w:rPr>
        <w:t>(</w:t>
      </w:r>
      <w:r w:rsidR="00E16990" w:rsidRPr="009A76E2">
        <w:rPr>
          <w:rFonts w:ascii="Verdana" w:hAnsi="Verdana" w:cs="Arial"/>
          <w:bCs/>
          <w:sz w:val="22"/>
          <w:szCs w:val="22"/>
        </w:rPr>
        <w:t>El tiempo total estima</w:t>
      </w:r>
      <w:r w:rsidR="00FC64EE" w:rsidRPr="009A76E2">
        <w:rPr>
          <w:rFonts w:ascii="Verdana" w:hAnsi="Verdana" w:cs="Arial"/>
          <w:bCs/>
          <w:sz w:val="22"/>
          <w:szCs w:val="22"/>
        </w:rPr>
        <w:t>do es de</w:t>
      </w:r>
      <w:r w:rsidR="00E16990" w:rsidRPr="009A76E2">
        <w:rPr>
          <w:rFonts w:ascii="Verdana" w:hAnsi="Verdana" w:cs="Arial"/>
          <w:bCs/>
          <w:sz w:val="22"/>
          <w:szCs w:val="22"/>
        </w:rPr>
        <w:t xml:space="preserve"> 90 días hábiles</w:t>
      </w:r>
      <w:r w:rsidR="009A76E2">
        <w:rPr>
          <w:rFonts w:ascii="Verdana" w:hAnsi="Verdana" w:cs="Arial"/>
          <w:bCs/>
          <w:sz w:val="22"/>
          <w:szCs w:val="22"/>
        </w:rPr>
        <w:t>)</w:t>
      </w:r>
      <w:r w:rsidR="00E16990" w:rsidRPr="009A76E2">
        <w:rPr>
          <w:rFonts w:ascii="Verdana" w:hAnsi="Verdana" w:cs="Arial"/>
          <w:bCs/>
          <w:sz w:val="22"/>
          <w:szCs w:val="22"/>
        </w:rPr>
        <w:t>.</w:t>
      </w:r>
    </w:p>
    <w:p w:rsidR="009D58FD" w:rsidRPr="005E13A6" w:rsidRDefault="009D58FD" w:rsidP="009D58FD">
      <w:pPr>
        <w:spacing w:after="0" w:line="240" w:lineRule="auto"/>
        <w:jc w:val="both"/>
        <w:rPr>
          <w:rFonts w:ascii="Verdana" w:hAnsi="Verdana" w:cs="Arial"/>
          <w:bCs/>
        </w:rPr>
      </w:pPr>
    </w:p>
    <w:p w:rsidR="00F623AB" w:rsidRPr="00E16990" w:rsidRDefault="00F623AB" w:rsidP="009D58FD">
      <w:pPr>
        <w:spacing w:after="0" w:line="240" w:lineRule="auto"/>
        <w:jc w:val="both"/>
        <w:rPr>
          <w:rFonts w:ascii="Verdana" w:hAnsi="Verdana" w:cs="Arial"/>
          <w:bCs/>
        </w:rPr>
      </w:pPr>
    </w:p>
    <w:p w:rsidR="005625A3" w:rsidRPr="00E16990" w:rsidRDefault="00EF600D" w:rsidP="009D58FD">
      <w:pPr>
        <w:spacing w:after="0" w:line="240" w:lineRule="auto"/>
        <w:jc w:val="both"/>
        <w:rPr>
          <w:rFonts w:ascii="Verdana" w:hAnsi="Verdana" w:cs="Arial"/>
          <w:bCs/>
        </w:rPr>
      </w:pPr>
      <w:r w:rsidRPr="00E16990">
        <w:rPr>
          <w:rFonts w:ascii="Verdana" w:hAnsi="Verdana" w:cs="Arial"/>
          <w:bCs/>
        </w:rPr>
        <w:t>El gráfico N</w:t>
      </w:r>
      <w:r w:rsidRPr="00E16990">
        <w:rPr>
          <w:rFonts w:ascii="Verdana" w:hAnsi="Verdana" w:cs="Arial"/>
          <w:bCs/>
          <w:lang w:eastAsia="ja-JP"/>
        </w:rPr>
        <w:t>°</w:t>
      </w:r>
      <w:r w:rsidR="00FC64EE">
        <w:rPr>
          <w:rFonts w:ascii="Verdana" w:hAnsi="Verdana" w:cs="Arial"/>
          <w:bCs/>
          <w:lang w:eastAsia="ja-JP"/>
        </w:rPr>
        <w:t xml:space="preserve"> </w:t>
      </w:r>
      <w:r w:rsidR="00AC5790" w:rsidRPr="00E16990">
        <w:rPr>
          <w:rFonts w:ascii="Verdana" w:hAnsi="Verdana" w:cs="Arial"/>
          <w:bCs/>
          <w:lang w:eastAsia="ja-JP"/>
        </w:rPr>
        <w:t>2</w:t>
      </w:r>
      <w:r w:rsidRPr="00E16990">
        <w:rPr>
          <w:rFonts w:ascii="Verdana" w:hAnsi="Verdana" w:cs="Arial"/>
          <w:bCs/>
          <w:lang w:eastAsia="ja-JP"/>
        </w:rPr>
        <w:t xml:space="preserve"> muestra la duración de cada uno de los concursos de adquisición que se iniciaron y lograron finalizar </w:t>
      </w:r>
      <w:r w:rsidR="009D58FD" w:rsidRPr="00E16990">
        <w:rPr>
          <w:rFonts w:ascii="Verdana" w:hAnsi="Verdana" w:cs="Arial"/>
          <w:bCs/>
        </w:rPr>
        <w:t>al 3</w:t>
      </w:r>
      <w:r w:rsidRPr="00E16990">
        <w:rPr>
          <w:rFonts w:ascii="Verdana" w:hAnsi="Verdana" w:cs="Arial"/>
          <w:bCs/>
        </w:rPr>
        <w:t>1</w:t>
      </w:r>
      <w:r w:rsidR="00AC5790" w:rsidRPr="00E16990">
        <w:rPr>
          <w:rFonts w:ascii="Verdana" w:hAnsi="Verdana" w:cs="Arial"/>
          <w:bCs/>
        </w:rPr>
        <w:t xml:space="preserve"> de diciembre de 2019</w:t>
      </w:r>
      <w:r w:rsidR="009D58FD" w:rsidRPr="00E16990">
        <w:rPr>
          <w:rFonts w:ascii="Verdana" w:hAnsi="Verdana" w:cs="Arial"/>
          <w:bCs/>
        </w:rPr>
        <w:t>.</w:t>
      </w:r>
      <w:r w:rsidR="005625A3" w:rsidRPr="00E16990">
        <w:rPr>
          <w:rFonts w:ascii="Verdana" w:hAnsi="Verdana" w:cs="Arial"/>
          <w:bCs/>
        </w:rPr>
        <w:t xml:space="preserve"> </w:t>
      </w:r>
      <w:r w:rsidR="009D58FD" w:rsidRPr="00E16990">
        <w:rPr>
          <w:rFonts w:ascii="Verdana" w:hAnsi="Verdana" w:cs="Arial"/>
          <w:bCs/>
        </w:rPr>
        <w:t xml:space="preserve">De los </w:t>
      </w:r>
      <w:r w:rsidR="00404073" w:rsidRPr="00E16990">
        <w:rPr>
          <w:rFonts w:ascii="Verdana" w:hAnsi="Verdana" w:cs="Arial"/>
          <w:bCs/>
        </w:rPr>
        <w:t>8</w:t>
      </w:r>
      <w:r w:rsidR="009D58FD" w:rsidRPr="00E16990">
        <w:rPr>
          <w:rFonts w:ascii="Verdana" w:hAnsi="Verdana" w:cs="Arial"/>
          <w:bCs/>
        </w:rPr>
        <w:t xml:space="preserve"> concursos tramitados en el per</w:t>
      </w:r>
      <w:r w:rsidR="00336D16" w:rsidRPr="00E16990">
        <w:rPr>
          <w:rFonts w:ascii="Verdana" w:hAnsi="Verdana" w:cs="Arial"/>
          <w:bCs/>
        </w:rPr>
        <w:t>í</w:t>
      </w:r>
      <w:r w:rsidR="00AC5790" w:rsidRPr="00E16990">
        <w:rPr>
          <w:rFonts w:ascii="Verdana" w:hAnsi="Verdana" w:cs="Arial"/>
          <w:bCs/>
        </w:rPr>
        <w:t>odo 2019</w:t>
      </w:r>
      <w:r w:rsidR="009D58FD" w:rsidRPr="00E16990">
        <w:rPr>
          <w:rFonts w:ascii="Verdana" w:hAnsi="Verdana" w:cs="Arial"/>
          <w:bCs/>
        </w:rPr>
        <w:t xml:space="preserve">, se finalizaron un total de </w:t>
      </w:r>
      <w:r w:rsidR="00AC5790" w:rsidRPr="00E16990">
        <w:rPr>
          <w:rFonts w:ascii="Verdana" w:hAnsi="Verdana" w:cs="Arial"/>
          <w:bCs/>
        </w:rPr>
        <w:t>5 concursos</w:t>
      </w:r>
      <w:r w:rsidR="00CB38FF" w:rsidRPr="00E16990">
        <w:rPr>
          <w:rFonts w:ascii="Verdana" w:hAnsi="Verdana" w:cs="Arial"/>
          <w:bCs/>
        </w:rPr>
        <w:t xml:space="preserve"> de </w:t>
      </w:r>
      <w:r w:rsidR="00404073" w:rsidRPr="00E16990">
        <w:rPr>
          <w:rFonts w:ascii="Verdana" w:hAnsi="Verdana" w:cs="Arial"/>
          <w:bCs/>
        </w:rPr>
        <w:t xml:space="preserve">adquisición </w:t>
      </w:r>
      <w:r w:rsidR="009D58FD" w:rsidRPr="00E16990">
        <w:rPr>
          <w:rFonts w:ascii="Verdana" w:hAnsi="Verdana" w:cs="Arial"/>
          <w:bCs/>
        </w:rPr>
        <w:t>con una duración promed</w:t>
      </w:r>
      <w:r w:rsidR="005625A3" w:rsidRPr="00E16990">
        <w:rPr>
          <w:rFonts w:ascii="Verdana" w:hAnsi="Verdana" w:cs="Arial"/>
          <w:bCs/>
        </w:rPr>
        <w:t xml:space="preserve">io de </w:t>
      </w:r>
      <w:r w:rsidR="00AC5790" w:rsidRPr="00E16990">
        <w:rPr>
          <w:rFonts w:ascii="Verdana" w:hAnsi="Verdana" w:cs="Arial"/>
          <w:bCs/>
        </w:rPr>
        <w:t>86,4</w:t>
      </w:r>
      <w:r w:rsidR="009D58FD" w:rsidRPr="00E16990">
        <w:rPr>
          <w:rFonts w:ascii="Verdana" w:hAnsi="Verdana" w:cs="Arial"/>
          <w:bCs/>
        </w:rPr>
        <w:t xml:space="preserve"> </w:t>
      </w:r>
      <w:r w:rsidR="009D58FD" w:rsidRPr="00FC64EE">
        <w:rPr>
          <w:rFonts w:ascii="Verdana" w:hAnsi="Verdana" w:cs="Arial"/>
          <w:bCs/>
        </w:rPr>
        <w:t>días</w:t>
      </w:r>
      <w:r w:rsidR="00E16990" w:rsidRPr="00FC64EE">
        <w:rPr>
          <w:rFonts w:ascii="Verdana" w:hAnsi="Verdana" w:cs="Arial"/>
          <w:bCs/>
        </w:rPr>
        <w:t xml:space="preserve"> hábiles</w:t>
      </w:r>
      <w:r w:rsidR="009D58FD" w:rsidRPr="00FC64EE">
        <w:rPr>
          <w:rFonts w:ascii="Verdana" w:hAnsi="Verdana" w:cs="Arial"/>
          <w:bCs/>
        </w:rPr>
        <w:t>.</w:t>
      </w:r>
      <w:r w:rsidR="005C293A" w:rsidRPr="00FC64EE">
        <w:rPr>
          <w:rFonts w:ascii="Verdana" w:hAnsi="Verdana" w:cs="Arial"/>
          <w:bCs/>
        </w:rPr>
        <w:t xml:space="preserve"> </w:t>
      </w:r>
    </w:p>
    <w:p w:rsidR="0067594B" w:rsidRDefault="0067594B" w:rsidP="009D58FD">
      <w:pPr>
        <w:spacing w:after="0" w:line="240" w:lineRule="auto"/>
        <w:jc w:val="both"/>
        <w:rPr>
          <w:rFonts w:ascii="Verdana" w:hAnsi="Verdana" w:cs="Arial"/>
          <w:bCs/>
        </w:rPr>
      </w:pPr>
    </w:p>
    <w:p w:rsidR="0067594B" w:rsidRDefault="0067594B" w:rsidP="009D58FD">
      <w:pPr>
        <w:spacing w:after="0" w:line="240" w:lineRule="auto"/>
        <w:jc w:val="both"/>
        <w:rPr>
          <w:rFonts w:ascii="Verdana" w:hAnsi="Verdana" w:cs="Arial"/>
          <w:bCs/>
        </w:rPr>
      </w:pPr>
    </w:p>
    <w:p w:rsidR="005625A3" w:rsidRDefault="005625A3" w:rsidP="005625A3">
      <w:pPr>
        <w:spacing w:after="0" w:line="360" w:lineRule="auto"/>
        <w:rPr>
          <w:rFonts w:ascii="Verdana" w:eastAsia="Times New Roman" w:hAnsi="Verdana" w:cs="Arial"/>
          <w:b/>
          <w:i/>
          <w:lang w:val="es-ES_tradnl" w:eastAsia="es-ES"/>
        </w:rPr>
      </w:pPr>
      <w:r w:rsidRPr="005E13A6">
        <w:rPr>
          <w:rFonts w:ascii="Verdana" w:eastAsia="Times New Roman" w:hAnsi="Verdana" w:cs="Arial"/>
          <w:b/>
          <w:i/>
          <w:lang w:val="es-ES_tradnl" w:eastAsia="es-ES"/>
        </w:rPr>
        <w:t>Gráfico No.</w:t>
      </w:r>
      <w:r w:rsidR="00AC5790">
        <w:rPr>
          <w:rFonts w:ascii="Verdana" w:eastAsia="Times New Roman" w:hAnsi="Verdana" w:cs="Arial"/>
          <w:b/>
          <w:i/>
          <w:lang w:val="es-ES_tradnl" w:eastAsia="es-ES"/>
        </w:rPr>
        <w:t>2</w:t>
      </w:r>
    </w:p>
    <w:p w:rsidR="000F3EDA" w:rsidRPr="005E13A6" w:rsidRDefault="00AC5790" w:rsidP="004B1146">
      <w:pPr>
        <w:spacing w:after="0" w:line="360" w:lineRule="auto"/>
        <w:jc w:val="center"/>
        <w:rPr>
          <w:rFonts w:ascii="Verdana" w:eastAsia="Times New Roman" w:hAnsi="Verdana" w:cs="Arial"/>
          <w:lang w:val="es-ES" w:eastAsia="es-ES"/>
        </w:rPr>
      </w:pPr>
      <w:r>
        <w:rPr>
          <w:noProof/>
          <w:lang w:eastAsia="es-CR"/>
        </w:rPr>
        <w:drawing>
          <wp:inline distT="0" distB="0" distL="0" distR="0" wp14:anchorId="11E2CAD8" wp14:editId="448C6DF3">
            <wp:extent cx="5709920" cy="2552700"/>
            <wp:effectExtent l="0" t="0" r="508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0159D" w:rsidRDefault="00C0159D" w:rsidP="00DD4408">
      <w:pPr>
        <w:spacing w:after="0" w:line="240" w:lineRule="auto"/>
        <w:jc w:val="both"/>
        <w:rPr>
          <w:rFonts w:ascii="Verdana" w:hAnsi="Verdana" w:cs="Arial"/>
          <w:bCs/>
        </w:rPr>
      </w:pPr>
    </w:p>
    <w:p w:rsidR="00C0159D" w:rsidRDefault="00C0159D" w:rsidP="00DD4408">
      <w:pPr>
        <w:spacing w:after="0" w:line="240" w:lineRule="auto"/>
        <w:jc w:val="both"/>
        <w:rPr>
          <w:rFonts w:ascii="Verdana" w:hAnsi="Verdana" w:cs="Arial"/>
          <w:bCs/>
        </w:rPr>
      </w:pPr>
    </w:p>
    <w:p w:rsidR="001C0FFD" w:rsidRDefault="004755C7" w:rsidP="00DD4408">
      <w:pPr>
        <w:spacing w:after="0" w:line="240" w:lineRule="auto"/>
        <w:jc w:val="both"/>
        <w:rPr>
          <w:rFonts w:ascii="Verdana" w:hAnsi="Verdana" w:cs="Arial"/>
          <w:bCs/>
        </w:rPr>
      </w:pPr>
      <w:r>
        <w:rPr>
          <w:rFonts w:ascii="Verdana" w:hAnsi="Verdana" w:cs="Arial"/>
          <w:bCs/>
        </w:rPr>
        <w:t xml:space="preserve">El seguimiento </w:t>
      </w:r>
      <w:r w:rsidR="00FC64EE">
        <w:rPr>
          <w:rFonts w:ascii="Verdana" w:hAnsi="Verdana" w:cs="Arial"/>
          <w:bCs/>
        </w:rPr>
        <w:t xml:space="preserve">y control </w:t>
      </w:r>
      <w:r>
        <w:rPr>
          <w:rFonts w:ascii="Verdana" w:hAnsi="Verdana" w:cs="Arial"/>
          <w:bCs/>
        </w:rPr>
        <w:t>de las diferentes etapas que conforman el procedimiento de concurso de adquisición ha permitido identificar que las etapas</w:t>
      </w:r>
      <w:r w:rsidR="009A76E2">
        <w:rPr>
          <w:rFonts w:ascii="Verdana" w:hAnsi="Verdana" w:cs="Arial"/>
          <w:bCs/>
        </w:rPr>
        <w:t xml:space="preserve"> en</w:t>
      </w:r>
      <w:r>
        <w:rPr>
          <w:rFonts w:ascii="Verdana" w:hAnsi="Verdana" w:cs="Arial"/>
          <w:bCs/>
        </w:rPr>
        <w:t xml:space="preserve"> donde interviene la parte técnica</w:t>
      </w:r>
      <w:r w:rsidR="00F623AB">
        <w:rPr>
          <w:rFonts w:ascii="Verdana" w:hAnsi="Verdana" w:cs="Arial"/>
          <w:bCs/>
        </w:rPr>
        <w:t>, el adjudicatario</w:t>
      </w:r>
      <w:r>
        <w:rPr>
          <w:rFonts w:ascii="Verdana" w:hAnsi="Verdana" w:cs="Arial"/>
          <w:bCs/>
        </w:rPr>
        <w:t xml:space="preserve"> </w:t>
      </w:r>
      <w:r w:rsidR="00F623AB">
        <w:rPr>
          <w:rFonts w:ascii="Verdana" w:hAnsi="Verdana" w:cs="Arial"/>
          <w:bCs/>
        </w:rPr>
        <w:t>y</w:t>
      </w:r>
      <w:r w:rsidR="00DE7AD1">
        <w:rPr>
          <w:rFonts w:ascii="Verdana" w:hAnsi="Verdana" w:cs="Arial"/>
          <w:bCs/>
        </w:rPr>
        <w:t xml:space="preserve"> ocasionalmente</w:t>
      </w:r>
      <w:r w:rsidR="00F623AB">
        <w:rPr>
          <w:rFonts w:ascii="Verdana" w:hAnsi="Verdana" w:cs="Arial"/>
          <w:bCs/>
        </w:rPr>
        <w:t xml:space="preserve"> la aprobación interna (refrendo), constituyen las áreas </w:t>
      </w:r>
      <w:r w:rsidR="00530EE2">
        <w:rPr>
          <w:rFonts w:ascii="Verdana" w:hAnsi="Verdana" w:cs="Arial"/>
          <w:bCs/>
        </w:rPr>
        <w:t xml:space="preserve">con mayor </w:t>
      </w:r>
      <w:r w:rsidR="00F623AB">
        <w:rPr>
          <w:rFonts w:ascii="Verdana" w:hAnsi="Verdana" w:cs="Arial"/>
          <w:bCs/>
        </w:rPr>
        <w:t>demanda de tiempo para cumplir a cabalidad con lo re</w:t>
      </w:r>
      <w:r w:rsidR="00530EE2">
        <w:rPr>
          <w:rFonts w:ascii="Verdana" w:hAnsi="Verdana" w:cs="Arial"/>
          <w:bCs/>
        </w:rPr>
        <w:t>querido para continuar el proceso</w:t>
      </w:r>
      <w:r w:rsidR="00F623AB">
        <w:rPr>
          <w:rFonts w:ascii="Verdana" w:hAnsi="Verdana" w:cs="Arial"/>
          <w:bCs/>
        </w:rPr>
        <w:t xml:space="preserve"> de compra. </w:t>
      </w:r>
      <w:r>
        <w:rPr>
          <w:rFonts w:ascii="Verdana" w:hAnsi="Verdana" w:cs="Arial"/>
          <w:bCs/>
        </w:rPr>
        <w:t xml:space="preserve"> </w:t>
      </w:r>
      <w:r w:rsidR="00F623AB">
        <w:rPr>
          <w:rFonts w:ascii="Verdana" w:hAnsi="Verdana" w:cs="Arial"/>
          <w:bCs/>
        </w:rPr>
        <w:t>En el cuadro N°3 se muestra los tiempos óptimos para que los concursos de adquisici</w:t>
      </w:r>
      <w:r w:rsidR="004628A7">
        <w:rPr>
          <w:rFonts w:ascii="Verdana" w:hAnsi="Verdana" w:cs="Arial"/>
          <w:bCs/>
        </w:rPr>
        <w:t>ón se realicen en menor</w:t>
      </w:r>
      <w:r w:rsidR="00AC159A">
        <w:rPr>
          <w:rFonts w:ascii="Verdana" w:hAnsi="Verdana" w:cs="Arial"/>
          <w:bCs/>
        </w:rPr>
        <w:t xml:space="preserve"> tiempo</w:t>
      </w:r>
      <w:r w:rsidR="00F623AB">
        <w:rPr>
          <w:rFonts w:ascii="Verdana" w:hAnsi="Verdana" w:cs="Arial"/>
          <w:bCs/>
        </w:rPr>
        <w:t xml:space="preserve"> y lo requ</w:t>
      </w:r>
      <w:r w:rsidR="005B2C66">
        <w:rPr>
          <w:rFonts w:ascii="Verdana" w:hAnsi="Verdana" w:cs="Arial"/>
          <w:bCs/>
        </w:rPr>
        <w:t>erido por</w:t>
      </w:r>
      <w:r w:rsidR="00F623AB">
        <w:rPr>
          <w:rFonts w:ascii="Verdana" w:hAnsi="Verdana" w:cs="Arial"/>
          <w:bCs/>
        </w:rPr>
        <w:t xml:space="preserve"> las partes involucradas. </w:t>
      </w:r>
    </w:p>
    <w:p w:rsidR="00F623AB" w:rsidRDefault="00F623AB" w:rsidP="00DD4408">
      <w:pPr>
        <w:spacing w:after="0" w:line="240" w:lineRule="auto"/>
        <w:jc w:val="both"/>
        <w:rPr>
          <w:rFonts w:ascii="Verdana" w:hAnsi="Verdana" w:cs="Arial"/>
          <w:bCs/>
        </w:rPr>
      </w:pPr>
    </w:p>
    <w:p w:rsidR="00F623AB" w:rsidRDefault="00F623AB" w:rsidP="00DD4408">
      <w:pPr>
        <w:spacing w:after="0" w:line="240" w:lineRule="auto"/>
        <w:jc w:val="both"/>
        <w:rPr>
          <w:rFonts w:ascii="Verdana" w:hAnsi="Verdana" w:cs="Arial"/>
          <w:bCs/>
        </w:rPr>
      </w:pPr>
    </w:p>
    <w:p w:rsidR="00F623AB" w:rsidRDefault="00F623AB" w:rsidP="00F623AB">
      <w:pPr>
        <w:spacing w:after="0" w:line="360" w:lineRule="auto"/>
        <w:rPr>
          <w:rFonts w:ascii="Verdana" w:eastAsia="Times New Roman" w:hAnsi="Verdana" w:cs="Arial"/>
          <w:b/>
          <w:i/>
          <w:lang w:val="es-ES_tradnl" w:eastAsia="es-ES"/>
        </w:rPr>
      </w:pPr>
      <w:r>
        <w:rPr>
          <w:rFonts w:ascii="Verdana" w:eastAsia="Times New Roman" w:hAnsi="Verdana" w:cs="Arial"/>
          <w:b/>
          <w:i/>
          <w:lang w:val="es-ES_tradnl" w:eastAsia="es-ES"/>
        </w:rPr>
        <w:t>Cuadro N°3</w:t>
      </w:r>
    </w:p>
    <w:p w:rsidR="00FC64EE" w:rsidRDefault="00FC64EE" w:rsidP="00F623AB">
      <w:pPr>
        <w:spacing w:after="0" w:line="360" w:lineRule="auto"/>
        <w:rPr>
          <w:rFonts w:ascii="Verdana" w:eastAsia="Times New Roman" w:hAnsi="Verdana" w:cs="Arial"/>
          <w:b/>
          <w:i/>
          <w:lang w:val="es-ES_tradnl" w:eastAsia="es-ES"/>
        </w:rPr>
      </w:pPr>
    </w:p>
    <w:p w:rsidR="00F623AB" w:rsidRDefault="00F623AB" w:rsidP="00F623AB">
      <w:pPr>
        <w:spacing w:after="0" w:line="360" w:lineRule="auto"/>
        <w:rPr>
          <w:rFonts w:ascii="Verdana" w:eastAsia="Times New Roman" w:hAnsi="Verdana" w:cs="Arial"/>
          <w:b/>
          <w:i/>
          <w:lang w:val="es-ES_tradnl" w:eastAsia="es-ES"/>
        </w:rPr>
      </w:pPr>
      <w:r>
        <w:rPr>
          <w:rFonts w:ascii="Verdana" w:eastAsia="Times New Roman" w:hAnsi="Verdana" w:cs="Arial"/>
          <w:b/>
          <w:i/>
          <w:lang w:val="es-ES_tradnl" w:eastAsia="es-ES"/>
        </w:rPr>
        <w:t>Etapas de los concursos de adquisición con mayor demanda de tiempo</w:t>
      </w:r>
    </w:p>
    <w:p w:rsidR="001C0FFD" w:rsidRDefault="001C0FFD" w:rsidP="00DD4408">
      <w:pPr>
        <w:spacing w:after="0" w:line="240" w:lineRule="auto"/>
        <w:jc w:val="both"/>
        <w:rPr>
          <w:rFonts w:ascii="Verdana" w:hAnsi="Verdana" w:cs="Arial"/>
          <w:bCs/>
        </w:rPr>
      </w:pPr>
    </w:p>
    <w:p w:rsidR="00F623AB" w:rsidRDefault="00D7364E" w:rsidP="00DD4408">
      <w:pPr>
        <w:spacing w:after="0" w:line="240" w:lineRule="auto"/>
        <w:jc w:val="both"/>
        <w:rPr>
          <w:rFonts w:ascii="Verdana" w:hAnsi="Verdana" w:cs="Arial"/>
          <w:bCs/>
        </w:rPr>
      </w:pPr>
      <w:r w:rsidRPr="00D7364E">
        <w:rPr>
          <w:noProof/>
          <w:lang w:eastAsia="es-CR"/>
        </w:rPr>
        <w:drawing>
          <wp:inline distT="0" distB="0" distL="0" distR="0" wp14:anchorId="69B33563" wp14:editId="5208A7C1">
            <wp:extent cx="6480810" cy="2722863"/>
            <wp:effectExtent l="0" t="0" r="0"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80810" cy="2722863"/>
                    </a:xfrm>
                    <a:prstGeom prst="rect">
                      <a:avLst/>
                    </a:prstGeom>
                    <a:noFill/>
                    <a:ln>
                      <a:noFill/>
                    </a:ln>
                  </pic:spPr>
                </pic:pic>
              </a:graphicData>
            </a:graphic>
          </wp:inline>
        </w:drawing>
      </w:r>
    </w:p>
    <w:p w:rsidR="004628A7" w:rsidRDefault="004628A7" w:rsidP="00DD4408">
      <w:pPr>
        <w:spacing w:after="0" w:line="240" w:lineRule="auto"/>
        <w:jc w:val="both"/>
        <w:rPr>
          <w:rFonts w:ascii="Verdana" w:hAnsi="Verdana" w:cs="Arial"/>
          <w:bCs/>
        </w:rPr>
      </w:pPr>
    </w:p>
    <w:p w:rsidR="004628A7" w:rsidRDefault="00FC64EE" w:rsidP="00DD4408">
      <w:pPr>
        <w:spacing w:after="0" w:line="240" w:lineRule="auto"/>
        <w:jc w:val="both"/>
        <w:rPr>
          <w:rFonts w:ascii="Verdana" w:hAnsi="Verdana" w:cs="Arial"/>
          <w:bCs/>
        </w:rPr>
      </w:pPr>
      <w:r>
        <w:rPr>
          <w:rFonts w:ascii="Verdana" w:hAnsi="Verdana" w:cs="Arial"/>
          <w:bCs/>
        </w:rPr>
        <w:t>Adicionalmente durante el 2019</w:t>
      </w:r>
      <w:r w:rsidR="004628A7">
        <w:rPr>
          <w:rFonts w:ascii="Verdana" w:hAnsi="Verdana" w:cs="Arial"/>
          <w:bCs/>
        </w:rPr>
        <w:t xml:space="preserve">, varios procesos de contratación sufrieron demoras </w:t>
      </w:r>
      <w:r>
        <w:rPr>
          <w:rFonts w:ascii="Verdana" w:hAnsi="Verdana" w:cs="Arial"/>
          <w:bCs/>
        </w:rPr>
        <w:t>debido a que</w:t>
      </w:r>
      <w:r w:rsidR="004628A7">
        <w:rPr>
          <w:rFonts w:ascii="Verdana" w:hAnsi="Verdana" w:cs="Arial"/>
          <w:bCs/>
        </w:rPr>
        <w:t xml:space="preserve"> el adjudicatario no se encontraba al día con Tributación Directa, lo que implicó esperar hasta que normalizaran su situación, </w:t>
      </w:r>
      <w:r w:rsidR="00AC159A">
        <w:rPr>
          <w:rFonts w:ascii="Verdana" w:hAnsi="Verdana" w:cs="Arial"/>
          <w:bCs/>
        </w:rPr>
        <w:t>tal</w:t>
      </w:r>
      <w:r w:rsidR="004628A7">
        <w:rPr>
          <w:rFonts w:ascii="Verdana" w:hAnsi="Verdana" w:cs="Arial"/>
          <w:bCs/>
        </w:rPr>
        <w:t xml:space="preserve"> fue el caso de la adquisición del equipo hidráulico y el sistema de protección contra incendio.</w:t>
      </w:r>
    </w:p>
    <w:p w:rsidR="004628A7" w:rsidRDefault="004628A7" w:rsidP="00DD4408">
      <w:pPr>
        <w:spacing w:after="0" w:line="240" w:lineRule="auto"/>
        <w:jc w:val="both"/>
        <w:rPr>
          <w:rFonts w:ascii="Verdana" w:hAnsi="Verdana" w:cs="Arial"/>
          <w:bCs/>
        </w:rPr>
      </w:pPr>
    </w:p>
    <w:p w:rsidR="003F6222" w:rsidRDefault="003F6222" w:rsidP="00DD4408">
      <w:pPr>
        <w:spacing w:after="0" w:line="240" w:lineRule="auto"/>
        <w:jc w:val="both"/>
        <w:rPr>
          <w:rFonts w:ascii="Verdana" w:hAnsi="Verdana" w:cs="Arial"/>
          <w:bCs/>
        </w:rPr>
      </w:pPr>
    </w:p>
    <w:p w:rsidR="00F917D2" w:rsidRPr="00F917D2" w:rsidRDefault="00404073" w:rsidP="00F917D2">
      <w:pPr>
        <w:pStyle w:val="Prrafodelista"/>
        <w:numPr>
          <w:ilvl w:val="0"/>
          <w:numId w:val="27"/>
        </w:numPr>
        <w:jc w:val="both"/>
        <w:rPr>
          <w:rFonts w:ascii="Verdana" w:eastAsiaTheme="minorHAnsi" w:hAnsi="Verdana" w:cs="Arial"/>
          <w:b/>
          <w:bCs/>
        </w:rPr>
      </w:pPr>
      <w:r>
        <w:rPr>
          <w:rFonts w:ascii="Verdana" w:eastAsiaTheme="minorHAnsi" w:hAnsi="Verdana" w:cs="Arial"/>
          <w:b/>
          <w:bCs/>
        </w:rPr>
        <w:t>Contrataciones por procedimiento</w:t>
      </w:r>
      <w:r w:rsidR="00F917D2">
        <w:rPr>
          <w:rFonts w:ascii="Verdana" w:eastAsiaTheme="minorHAnsi" w:hAnsi="Verdana" w:cs="Arial"/>
          <w:b/>
          <w:bCs/>
        </w:rPr>
        <w:t xml:space="preserve"> de escasa cuantía. </w:t>
      </w:r>
    </w:p>
    <w:p w:rsidR="003F6222" w:rsidRDefault="003F6222" w:rsidP="00DD4408">
      <w:pPr>
        <w:spacing w:after="0" w:line="240" w:lineRule="auto"/>
        <w:jc w:val="both"/>
        <w:rPr>
          <w:rFonts w:ascii="Verdana" w:hAnsi="Verdana" w:cs="Arial"/>
          <w:bCs/>
        </w:rPr>
      </w:pPr>
    </w:p>
    <w:p w:rsidR="004B1146" w:rsidRDefault="00005149" w:rsidP="00DD4408">
      <w:pPr>
        <w:spacing w:after="0" w:line="240" w:lineRule="auto"/>
        <w:jc w:val="both"/>
        <w:rPr>
          <w:rFonts w:ascii="Verdana" w:hAnsi="Verdana" w:cs="Arial"/>
          <w:bCs/>
        </w:rPr>
      </w:pPr>
      <w:r>
        <w:rPr>
          <w:rFonts w:ascii="Verdana" w:hAnsi="Verdana" w:cs="Arial"/>
          <w:bCs/>
        </w:rPr>
        <w:t xml:space="preserve">En relación con las </w:t>
      </w:r>
      <w:r w:rsidR="00AC159A">
        <w:rPr>
          <w:rFonts w:ascii="Verdana" w:hAnsi="Verdana" w:cs="Arial"/>
          <w:bCs/>
        </w:rPr>
        <w:t>recomendaciones</w:t>
      </w:r>
      <w:r>
        <w:rPr>
          <w:rFonts w:ascii="Verdana" w:hAnsi="Verdana" w:cs="Arial"/>
          <w:bCs/>
        </w:rPr>
        <w:t xml:space="preserve"> de este informe, es importante mencionar que como parte del proceso de contratación de bienes y servicios la Proveeduría </w:t>
      </w:r>
      <w:r w:rsidR="005B2C66">
        <w:rPr>
          <w:rFonts w:ascii="Verdana" w:hAnsi="Verdana" w:cs="Arial"/>
          <w:bCs/>
        </w:rPr>
        <w:t xml:space="preserve">inicio y </w:t>
      </w:r>
      <w:r>
        <w:rPr>
          <w:rFonts w:ascii="Verdana" w:hAnsi="Verdana" w:cs="Arial"/>
          <w:bCs/>
        </w:rPr>
        <w:t xml:space="preserve">condujo 498 contrataciones por el procedimiento de </w:t>
      </w:r>
      <w:r w:rsidR="005E7144">
        <w:rPr>
          <w:rFonts w:ascii="Verdana" w:hAnsi="Verdana" w:cs="Arial"/>
          <w:bCs/>
        </w:rPr>
        <w:t>escasa cuantía</w:t>
      </w:r>
      <w:r>
        <w:rPr>
          <w:rFonts w:ascii="Verdana" w:hAnsi="Verdana" w:cs="Arial"/>
          <w:bCs/>
        </w:rPr>
        <w:t xml:space="preserve">, lo cual refleja que a nivel institucional el procedimiento de escasa cuantía </w:t>
      </w:r>
      <w:r w:rsidR="005E7144">
        <w:rPr>
          <w:rFonts w:ascii="Verdana" w:hAnsi="Verdana" w:cs="Arial"/>
          <w:bCs/>
        </w:rPr>
        <w:t xml:space="preserve">continúa siendo el procedimiento más utilizado, </w:t>
      </w:r>
      <w:r w:rsidR="00F917D2">
        <w:rPr>
          <w:rFonts w:ascii="Verdana" w:hAnsi="Verdana" w:cs="Arial"/>
          <w:bCs/>
        </w:rPr>
        <w:t>para</w:t>
      </w:r>
      <w:r>
        <w:rPr>
          <w:rFonts w:ascii="Verdana" w:hAnsi="Verdana" w:cs="Arial"/>
          <w:bCs/>
        </w:rPr>
        <w:t xml:space="preserve"> la adquisición de bienes y servicios.</w:t>
      </w:r>
      <w:r w:rsidR="005E7144">
        <w:rPr>
          <w:rFonts w:ascii="Verdana" w:hAnsi="Verdana" w:cs="Arial"/>
          <w:bCs/>
        </w:rPr>
        <w:t xml:space="preserve"> </w:t>
      </w:r>
    </w:p>
    <w:p w:rsidR="00005149" w:rsidRDefault="00005149" w:rsidP="00DD4408">
      <w:pPr>
        <w:spacing w:after="0" w:line="240" w:lineRule="auto"/>
        <w:jc w:val="both"/>
        <w:rPr>
          <w:rFonts w:ascii="Verdana" w:hAnsi="Verdana" w:cs="Arial"/>
          <w:bCs/>
        </w:rPr>
      </w:pPr>
    </w:p>
    <w:p w:rsidR="004B1146" w:rsidRPr="005E13A6" w:rsidRDefault="004B1146" w:rsidP="00DD4408">
      <w:pPr>
        <w:spacing w:after="0" w:line="240" w:lineRule="auto"/>
        <w:jc w:val="both"/>
        <w:rPr>
          <w:rFonts w:ascii="Verdana" w:hAnsi="Verdana" w:cs="Arial"/>
          <w:bCs/>
        </w:rPr>
      </w:pPr>
    </w:p>
    <w:p w:rsidR="000F3EDA" w:rsidRPr="005E13A6" w:rsidRDefault="000F3EDA" w:rsidP="000F3EDA">
      <w:pPr>
        <w:pStyle w:val="Prrafodelista"/>
        <w:ind w:left="284"/>
        <w:jc w:val="both"/>
        <w:rPr>
          <w:rFonts w:ascii="Verdana" w:eastAsiaTheme="minorHAnsi" w:hAnsi="Verdana" w:cs="Arial"/>
          <w:b/>
          <w:bCs/>
          <w:sz w:val="22"/>
          <w:szCs w:val="22"/>
        </w:rPr>
      </w:pPr>
    </w:p>
    <w:p w:rsidR="00B33F1A" w:rsidRPr="00DE7AD1" w:rsidRDefault="00B33F1A" w:rsidP="00F917D2">
      <w:pPr>
        <w:pStyle w:val="Prrafodelista"/>
        <w:numPr>
          <w:ilvl w:val="0"/>
          <w:numId w:val="27"/>
        </w:numPr>
        <w:jc w:val="both"/>
        <w:rPr>
          <w:rFonts w:ascii="Verdana" w:eastAsiaTheme="minorHAnsi" w:hAnsi="Verdana" w:cs="Arial"/>
          <w:b/>
          <w:bCs/>
        </w:rPr>
      </w:pPr>
      <w:r w:rsidRPr="00DE7AD1">
        <w:rPr>
          <w:rFonts w:ascii="Verdana" w:eastAsiaTheme="minorHAnsi" w:hAnsi="Verdana" w:cs="Arial"/>
          <w:b/>
          <w:bCs/>
        </w:rPr>
        <w:t>Recomendaciones de la Proveeduría:</w:t>
      </w:r>
    </w:p>
    <w:p w:rsidR="004B1146" w:rsidRPr="005E13A6" w:rsidRDefault="004B1146" w:rsidP="004B1146">
      <w:pPr>
        <w:pStyle w:val="Prrafodelista"/>
        <w:ind w:left="1080"/>
        <w:jc w:val="both"/>
        <w:rPr>
          <w:rFonts w:ascii="Verdana" w:eastAsiaTheme="minorHAnsi" w:hAnsi="Verdana" w:cs="Arial"/>
          <w:b/>
          <w:bCs/>
          <w:sz w:val="22"/>
          <w:szCs w:val="22"/>
        </w:rPr>
      </w:pPr>
    </w:p>
    <w:p w:rsidR="00BF75FE" w:rsidRPr="005E13A6" w:rsidRDefault="00BF75FE" w:rsidP="00BF75FE">
      <w:pPr>
        <w:pStyle w:val="Prrafodelista"/>
        <w:ind w:left="284"/>
        <w:jc w:val="both"/>
        <w:rPr>
          <w:rFonts w:ascii="Verdana" w:eastAsiaTheme="minorHAnsi" w:hAnsi="Verdana" w:cs="Arial"/>
          <w:b/>
          <w:bCs/>
          <w:sz w:val="22"/>
          <w:szCs w:val="22"/>
        </w:rPr>
      </w:pPr>
    </w:p>
    <w:p w:rsidR="00AC159A" w:rsidRPr="00465B0B" w:rsidRDefault="00AC159A" w:rsidP="0050472E">
      <w:pPr>
        <w:pStyle w:val="Prrafodelista"/>
        <w:numPr>
          <w:ilvl w:val="0"/>
          <w:numId w:val="25"/>
        </w:numPr>
        <w:ind w:left="426" w:hanging="142"/>
        <w:jc w:val="both"/>
        <w:rPr>
          <w:rFonts w:ascii="Verdana" w:hAnsi="Verdana" w:cs="Arial"/>
          <w:bCs/>
          <w:sz w:val="22"/>
          <w:szCs w:val="22"/>
        </w:rPr>
      </w:pPr>
      <w:r w:rsidRPr="00465B0B">
        <w:rPr>
          <w:rFonts w:ascii="Verdana" w:hAnsi="Verdana" w:cs="Arial"/>
          <w:bCs/>
          <w:sz w:val="22"/>
          <w:szCs w:val="22"/>
        </w:rPr>
        <w:t xml:space="preserve">El objetivo de la preparación del programa de adquisiciones es mostrar las necesidades de bienes y servicios que previamente han sido identificadas por las diferentes </w:t>
      </w:r>
      <w:r w:rsidR="00465B0B" w:rsidRPr="00465B0B">
        <w:rPr>
          <w:rFonts w:ascii="Verdana" w:hAnsi="Verdana" w:cs="Arial"/>
          <w:bCs/>
          <w:sz w:val="22"/>
          <w:szCs w:val="22"/>
        </w:rPr>
        <w:t>dependencias</w:t>
      </w:r>
      <w:r w:rsidRPr="00465B0B">
        <w:rPr>
          <w:rFonts w:ascii="Verdana" w:hAnsi="Verdana" w:cs="Arial"/>
          <w:bCs/>
          <w:sz w:val="22"/>
          <w:szCs w:val="22"/>
        </w:rPr>
        <w:t xml:space="preserve"> de la CNFL mediante un proceso de planificación detallado y alineado al </w:t>
      </w:r>
      <w:r w:rsidR="00DE7AD1">
        <w:rPr>
          <w:rFonts w:ascii="Verdana" w:hAnsi="Verdana" w:cs="Arial"/>
          <w:bCs/>
          <w:sz w:val="22"/>
          <w:szCs w:val="22"/>
        </w:rPr>
        <w:t>P</w:t>
      </w:r>
      <w:r w:rsidRPr="00465B0B">
        <w:rPr>
          <w:rFonts w:ascii="Verdana" w:hAnsi="Verdana" w:cs="Arial"/>
          <w:bCs/>
          <w:sz w:val="22"/>
          <w:szCs w:val="22"/>
        </w:rPr>
        <w:t xml:space="preserve">lan </w:t>
      </w:r>
      <w:r w:rsidR="00DE7AD1">
        <w:rPr>
          <w:rFonts w:ascii="Verdana" w:hAnsi="Verdana" w:cs="Arial"/>
          <w:bCs/>
          <w:sz w:val="22"/>
          <w:szCs w:val="22"/>
        </w:rPr>
        <w:t>E</w:t>
      </w:r>
      <w:r w:rsidRPr="00465B0B">
        <w:rPr>
          <w:rFonts w:ascii="Verdana" w:hAnsi="Verdana" w:cs="Arial"/>
          <w:bCs/>
          <w:sz w:val="22"/>
          <w:szCs w:val="22"/>
        </w:rPr>
        <w:t>stratégico institucional, no obstante en el punto II de este informe se ha mostrado que lejos de que el plan muestre dichas necesidades</w:t>
      </w:r>
      <w:r w:rsidR="000322A9" w:rsidRPr="00465B0B">
        <w:rPr>
          <w:rFonts w:ascii="Verdana" w:hAnsi="Verdana" w:cs="Arial"/>
          <w:bCs/>
          <w:sz w:val="22"/>
          <w:szCs w:val="22"/>
        </w:rPr>
        <w:t xml:space="preserve"> al inicio del período</w:t>
      </w:r>
      <w:r w:rsidRPr="00465B0B">
        <w:rPr>
          <w:rFonts w:ascii="Verdana" w:hAnsi="Verdana" w:cs="Arial"/>
          <w:bCs/>
          <w:sz w:val="22"/>
          <w:szCs w:val="22"/>
        </w:rPr>
        <w:t>, el mismo se adapta a la dinámica de las aprobaciones presupuestarias ordinarias y extraordinarias por parte de la Contraloría General de la República, pues no existe</w:t>
      </w:r>
      <w:r w:rsidR="007D234B" w:rsidRPr="00465B0B">
        <w:rPr>
          <w:rFonts w:ascii="Verdana" w:hAnsi="Verdana" w:cs="Arial"/>
          <w:bCs/>
          <w:sz w:val="22"/>
          <w:szCs w:val="22"/>
        </w:rPr>
        <w:t xml:space="preserve">, al cierre del período anterior, </w:t>
      </w:r>
      <w:r w:rsidRPr="00465B0B">
        <w:rPr>
          <w:rFonts w:ascii="Verdana" w:hAnsi="Verdana" w:cs="Arial"/>
          <w:bCs/>
          <w:sz w:val="22"/>
          <w:szCs w:val="22"/>
        </w:rPr>
        <w:t xml:space="preserve">claridad </w:t>
      </w:r>
      <w:r w:rsidR="000322A9" w:rsidRPr="00465B0B">
        <w:rPr>
          <w:rFonts w:ascii="Verdana" w:hAnsi="Verdana" w:cs="Arial"/>
          <w:bCs/>
          <w:sz w:val="22"/>
          <w:szCs w:val="22"/>
        </w:rPr>
        <w:t>y detalle de</w:t>
      </w:r>
      <w:r w:rsidRPr="00465B0B">
        <w:rPr>
          <w:rFonts w:ascii="Verdana" w:hAnsi="Verdana" w:cs="Arial"/>
          <w:bCs/>
          <w:sz w:val="22"/>
          <w:szCs w:val="22"/>
        </w:rPr>
        <w:t xml:space="preserve"> lo que se requerirá en el per</w:t>
      </w:r>
      <w:r w:rsidR="00465B0B">
        <w:rPr>
          <w:rFonts w:ascii="Verdana" w:hAnsi="Verdana" w:cs="Arial"/>
          <w:bCs/>
          <w:sz w:val="22"/>
          <w:szCs w:val="22"/>
        </w:rPr>
        <w:t>íodo siguiente, esta situación desvirtúa el espíritu del Programa de compras que debe</w:t>
      </w:r>
      <w:r w:rsidR="00FC64EE">
        <w:rPr>
          <w:rFonts w:ascii="Verdana" w:hAnsi="Verdana" w:cs="Arial"/>
          <w:bCs/>
          <w:sz w:val="22"/>
          <w:szCs w:val="22"/>
        </w:rPr>
        <w:t>ría</w:t>
      </w:r>
      <w:r w:rsidR="00465B0B">
        <w:rPr>
          <w:rFonts w:ascii="Verdana" w:hAnsi="Verdana" w:cs="Arial"/>
          <w:bCs/>
          <w:sz w:val="22"/>
          <w:szCs w:val="22"/>
        </w:rPr>
        <w:t xml:space="preserve"> ser modificado únicamente cuando surja una necesidad no prevista o ya no se requiera el suministro del bien o servicio (artículo 18 del Reglamento para los procedimientos de contratación de las empresas del ICE)</w:t>
      </w:r>
    </w:p>
    <w:p w:rsidR="00AC159A" w:rsidRDefault="00AC159A" w:rsidP="007D234B">
      <w:pPr>
        <w:pStyle w:val="Prrafodelista"/>
        <w:ind w:left="426"/>
        <w:jc w:val="both"/>
        <w:rPr>
          <w:rFonts w:ascii="Verdana" w:hAnsi="Verdana" w:cs="Arial"/>
          <w:bCs/>
          <w:sz w:val="22"/>
          <w:szCs w:val="22"/>
        </w:rPr>
      </w:pPr>
    </w:p>
    <w:p w:rsidR="00C73441" w:rsidRDefault="00244631" w:rsidP="00C73441">
      <w:pPr>
        <w:pStyle w:val="Prrafodelista"/>
        <w:ind w:left="426"/>
        <w:jc w:val="both"/>
        <w:rPr>
          <w:rFonts w:ascii="Verdana" w:hAnsi="Verdana" w:cs="Arial"/>
          <w:bCs/>
          <w:sz w:val="22"/>
          <w:szCs w:val="22"/>
        </w:rPr>
      </w:pPr>
      <w:r w:rsidRPr="005E13A6">
        <w:rPr>
          <w:rFonts w:ascii="Verdana" w:hAnsi="Verdana" w:cs="Arial"/>
          <w:bCs/>
          <w:sz w:val="22"/>
          <w:szCs w:val="22"/>
        </w:rPr>
        <w:t xml:space="preserve">En ese sentido, </w:t>
      </w:r>
      <w:r w:rsidR="00C73441" w:rsidRPr="005E13A6">
        <w:rPr>
          <w:rFonts w:ascii="Verdana" w:hAnsi="Verdana" w:cs="Arial"/>
          <w:bCs/>
          <w:sz w:val="22"/>
          <w:szCs w:val="22"/>
        </w:rPr>
        <w:t xml:space="preserve">esta Proveeduría Empresarial, con el fin de que el proceso se desarrolle de una manera eficaz y eficiente, recomienda a la Gerencia General instruir a todas las dependencias, para que planifiquen eficientemente sus compras anuales </w:t>
      </w:r>
      <w:r w:rsidR="00456309">
        <w:rPr>
          <w:rFonts w:ascii="Verdana" w:hAnsi="Verdana" w:cs="Arial"/>
          <w:bCs/>
          <w:sz w:val="22"/>
          <w:szCs w:val="22"/>
        </w:rPr>
        <w:t>antes del inicio del siguiente período,</w:t>
      </w:r>
      <w:r w:rsidR="00465B0B">
        <w:rPr>
          <w:rFonts w:ascii="Verdana" w:hAnsi="Verdana" w:cs="Arial"/>
          <w:bCs/>
          <w:sz w:val="22"/>
          <w:szCs w:val="22"/>
        </w:rPr>
        <w:t xml:space="preserve"> indistintamente de si</w:t>
      </w:r>
      <w:r w:rsidR="009A76E2">
        <w:rPr>
          <w:rFonts w:ascii="Verdana" w:hAnsi="Verdana" w:cs="Arial"/>
          <w:bCs/>
          <w:sz w:val="22"/>
          <w:szCs w:val="22"/>
        </w:rPr>
        <w:t xml:space="preserve"> </w:t>
      </w:r>
      <w:r w:rsidR="00465B0B">
        <w:rPr>
          <w:rFonts w:ascii="Verdana" w:hAnsi="Verdana" w:cs="Arial"/>
          <w:bCs/>
          <w:sz w:val="22"/>
          <w:szCs w:val="22"/>
        </w:rPr>
        <w:t>contarán o no con contenido presupuestario.</w:t>
      </w:r>
      <w:r w:rsidR="00456309">
        <w:rPr>
          <w:rFonts w:ascii="Verdana" w:hAnsi="Verdana" w:cs="Arial"/>
          <w:bCs/>
          <w:sz w:val="22"/>
          <w:szCs w:val="22"/>
        </w:rPr>
        <w:t xml:space="preserve"> </w:t>
      </w:r>
    </w:p>
    <w:p w:rsidR="00465B0B" w:rsidRPr="005E13A6" w:rsidRDefault="00465B0B" w:rsidP="00C73441">
      <w:pPr>
        <w:pStyle w:val="Prrafodelista"/>
        <w:ind w:left="426"/>
        <w:jc w:val="both"/>
        <w:rPr>
          <w:rFonts w:ascii="Verdana" w:hAnsi="Verdana" w:cs="Arial"/>
          <w:bCs/>
          <w:sz w:val="22"/>
          <w:szCs w:val="22"/>
        </w:rPr>
      </w:pPr>
    </w:p>
    <w:p w:rsidR="00FC1A4F" w:rsidRPr="005E13A6" w:rsidRDefault="00FC1A4F" w:rsidP="00FC1A4F">
      <w:pPr>
        <w:spacing w:after="0" w:line="240" w:lineRule="auto"/>
        <w:jc w:val="both"/>
        <w:rPr>
          <w:rFonts w:ascii="Verdana" w:hAnsi="Verdana" w:cs="Arial"/>
          <w:bCs/>
        </w:rPr>
      </w:pPr>
    </w:p>
    <w:p w:rsidR="00D56B49" w:rsidRDefault="00DE7AD1" w:rsidP="0050472E">
      <w:pPr>
        <w:pStyle w:val="Prrafodelista"/>
        <w:numPr>
          <w:ilvl w:val="0"/>
          <w:numId w:val="25"/>
        </w:numPr>
        <w:ind w:left="426" w:hanging="142"/>
        <w:jc w:val="both"/>
        <w:rPr>
          <w:rFonts w:ascii="Verdana" w:hAnsi="Verdana" w:cs="Arial"/>
          <w:bCs/>
          <w:sz w:val="22"/>
          <w:szCs w:val="22"/>
        </w:rPr>
      </w:pPr>
      <w:r>
        <w:rPr>
          <w:rFonts w:ascii="Verdana" w:hAnsi="Verdana" w:cs="Arial"/>
          <w:bCs/>
          <w:sz w:val="22"/>
          <w:szCs w:val="22"/>
        </w:rPr>
        <w:t xml:space="preserve">Adicionalmente en </w:t>
      </w:r>
      <w:r w:rsidR="00465B0B">
        <w:rPr>
          <w:rFonts w:ascii="Verdana" w:hAnsi="Verdana" w:cs="Arial"/>
          <w:bCs/>
          <w:sz w:val="22"/>
          <w:szCs w:val="22"/>
        </w:rPr>
        <w:t>el proceso de planificación de las compras,</w:t>
      </w:r>
      <w:r w:rsidR="00D91C64">
        <w:rPr>
          <w:rFonts w:ascii="Verdana" w:hAnsi="Verdana" w:cs="Arial"/>
          <w:bCs/>
          <w:sz w:val="22"/>
          <w:szCs w:val="22"/>
        </w:rPr>
        <w:t xml:space="preserve"> se observa que pese a existir una expectativa de aprobación de presupuesto, las dependencias esperan hasta </w:t>
      </w:r>
      <w:r w:rsidR="006E6B11">
        <w:rPr>
          <w:rFonts w:ascii="Verdana" w:hAnsi="Verdana" w:cs="Arial"/>
          <w:bCs/>
          <w:sz w:val="22"/>
          <w:szCs w:val="22"/>
        </w:rPr>
        <w:t>la asignación de recursos</w:t>
      </w:r>
      <w:r w:rsidR="00D91C64">
        <w:rPr>
          <w:rFonts w:ascii="Verdana" w:hAnsi="Verdana" w:cs="Arial"/>
          <w:bCs/>
          <w:sz w:val="22"/>
          <w:szCs w:val="22"/>
        </w:rPr>
        <w:t xml:space="preserve"> para iniciar el proceso de </w:t>
      </w:r>
      <w:r w:rsidR="00B205BF">
        <w:rPr>
          <w:rFonts w:ascii="Verdana" w:hAnsi="Verdana" w:cs="Arial"/>
          <w:bCs/>
          <w:sz w:val="22"/>
          <w:szCs w:val="22"/>
        </w:rPr>
        <w:t>elaboración</w:t>
      </w:r>
      <w:r w:rsidR="00D91C64">
        <w:rPr>
          <w:rFonts w:ascii="Verdana" w:hAnsi="Verdana" w:cs="Arial"/>
          <w:bCs/>
          <w:sz w:val="22"/>
          <w:szCs w:val="22"/>
        </w:rPr>
        <w:t xml:space="preserve"> de las especificaciones técnicas de la contratación sin considerar los tiempos mínimos que toman los procedimientos de compra mediante concursos de adquisición, ocasionando desfases con la ejecución presupuestaria del año y la fecha de </w:t>
      </w:r>
      <w:r w:rsidR="00D56B49">
        <w:rPr>
          <w:rFonts w:ascii="Verdana" w:hAnsi="Verdana" w:cs="Arial"/>
          <w:bCs/>
          <w:sz w:val="22"/>
          <w:szCs w:val="22"/>
        </w:rPr>
        <w:t>pago del bien o servicio a contratar.</w:t>
      </w:r>
      <w:r w:rsidR="00D91C64">
        <w:rPr>
          <w:rFonts w:ascii="Verdana" w:hAnsi="Verdana" w:cs="Arial"/>
          <w:bCs/>
          <w:sz w:val="22"/>
          <w:szCs w:val="22"/>
        </w:rPr>
        <w:t xml:space="preserve"> </w:t>
      </w:r>
    </w:p>
    <w:p w:rsidR="00D56B49" w:rsidRDefault="00D56B49" w:rsidP="00D56B49">
      <w:pPr>
        <w:pStyle w:val="Prrafodelista"/>
        <w:ind w:left="426"/>
        <w:jc w:val="both"/>
        <w:rPr>
          <w:rFonts w:ascii="Verdana" w:hAnsi="Verdana" w:cs="Arial"/>
          <w:bCs/>
          <w:sz w:val="22"/>
          <w:szCs w:val="22"/>
        </w:rPr>
      </w:pPr>
      <w:r>
        <w:rPr>
          <w:rFonts w:ascii="Verdana" w:hAnsi="Verdana" w:cs="Arial"/>
          <w:bCs/>
          <w:sz w:val="22"/>
          <w:szCs w:val="22"/>
        </w:rPr>
        <w:t xml:space="preserve">Es por lo anterior que como parte de una adecuada planificación de las contrataciones se recomienda </w:t>
      </w:r>
      <w:r w:rsidR="004F6A3C">
        <w:rPr>
          <w:rFonts w:ascii="Verdana" w:hAnsi="Verdana" w:cs="Arial"/>
          <w:bCs/>
          <w:sz w:val="22"/>
          <w:szCs w:val="22"/>
        </w:rPr>
        <w:t xml:space="preserve">instruir </w:t>
      </w:r>
      <w:r w:rsidR="00B205BF">
        <w:rPr>
          <w:rFonts w:ascii="Verdana" w:hAnsi="Verdana" w:cs="Arial"/>
          <w:bCs/>
          <w:sz w:val="22"/>
          <w:szCs w:val="22"/>
        </w:rPr>
        <w:t>a</w:t>
      </w:r>
      <w:r w:rsidR="004F6A3C">
        <w:rPr>
          <w:rFonts w:ascii="Verdana" w:hAnsi="Verdana" w:cs="Arial"/>
          <w:bCs/>
          <w:sz w:val="22"/>
          <w:szCs w:val="22"/>
        </w:rPr>
        <w:t xml:space="preserve"> </w:t>
      </w:r>
      <w:r>
        <w:rPr>
          <w:rFonts w:ascii="Verdana" w:hAnsi="Verdana" w:cs="Arial"/>
          <w:bCs/>
          <w:sz w:val="22"/>
          <w:szCs w:val="22"/>
        </w:rPr>
        <w:t>todas</w:t>
      </w:r>
      <w:r w:rsidR="00B205BF">
        <w:rPr>
          <w:rFonts w:ascii="Verdana" w:hAnsi="Verdana" w:cs="Arial"/>
          <w:bCs/>
          <w:sz w:val="22"/>
          <w:szCs w:val="22"/>
        </w:rPr>
        <w:t xml:space="preserve"> las dependencias para que</w:t>
      </w:r>
      <w:r>
        <w:rPr>
          <w:rFonts w:ascii="Verdana" w:hAnsi="Verdana" w:cs="Arial"/>
          <w:bCs/>
          <w:sz w:val="22"/>
          <w:szCs w:val="22"/>
        </w:rPr>
        <w:t xml:space="preserve"> las </w:t>
      </w:r>
      <w:r w:rsidR="00B205BF">
        <w:rPr>
          <w:rFonts w:ascii="Verdana" w:hAnsi="Verdana" w:cs="Arial"/>
          <w:bCs/>
          <w:sz w:val="22"/>
          <w:szCs w:val="22"/>
        </w:rPr>
        <w:t>contrataciones previstas para el período siguiente c</w:t>
      </w:r>
      <w:r>
        <w:rPr>
          <w:rFonts w:ascii="Verdana" w:hAnsi="Verdana" w:cs="Arial"/>
          <w:bCs/>
          <w:sz w:val="22"/>
          <w:szCs w:val="22"/>
        </w:rPr>
        <w:t>uenten con un borrador de cartel</w:t>
      </w:r>
      <w:r w:rsidR="00B205BF">
        <w:rPr>
          <w:rFonts w:ascii="Verdana" w:hAnsi="Verdana" w:cs="Arial"/>
          <w:bCs/>
          <w:sz w:val="22"/>
          <w:szCs w:val="22"/>
        </w:rPr>
        <w:t xml:space="preserve"> </w:t>
      </w:r>
      <w:r>
        <w:rPr>
          <w:rFonts w:ascii="Verdana" w:hAnsi="Verdana" w:cs="Arial"/>
          <w:bCs/>
          <w:sz w:val="22"/>
          <w:szCs w:val="22"/>
        </w:rPr>
        <w:t>antes de la asignación de recursos presupuestarios.</w:t>
      </w:r>
    </w:p>
    <w:p w:rsidR="00D56B49" w:rsidRDefault="00D56B49" w:rsidP="00D56B49">
      <w:pPr>
        <w:pStyle w:val="Prrafodelista"/>
        <w:ind w:left="426"/>
        <w:jc w:val="both"/>
        <w:rPr>
          <w:rFonts w:ascii="Verdana" w:hAnsi="Verdana" w:cs="Arial"/>
          <w:bCs/>
          <w:sz w:val="22"/>
          <w:szCs w:val="22"/>
        </w:rPr>
      </w:pPr>
    </w:p>
    <w:p w:rsidR="004F6A3C" w:rsidRDefault="00D54DF3" w:rsidP="00933E26">
      <w:pPr>
        <w:pStyle w:val="Prrafodelista"/>
        <w:numPr>
          <w:ilvl w:val="0"/>
          <w:numId w:val="25"/>
        </w:numPr>
        <w:jc w:val="both"/>
        <w:rPr>
          <w:rFonts w:ascii="Verdana" w:hAnsi="Verdana" w:cs="Arial"/>
          <w:bCs/>
          <w:sz w:val="22"/>
          <w:szCs w:val="22"/>
        </w:rPr>
      </w:pPr>
      <w:r>
        <w:rPr>
          <w:rFonts w:ascii="Verdana" w:hAnsi="Verdana" w:cs="Arial"/>
          <w:bCs/>
          <w:sz w:val="22"/>
          <w:szCs w:val="22"/>
        </w:rPr>
        <w:t xml:space="preserve">Mediante el seguimiento de cada etapa del proceso de contratación, esta Proveeduría ha podido determinar los plazos que utiliza cada actor del proceso, de dicho seguimiento se ha podido concluir </w:t>
      </w:r>
      <w:r w:rsidR="004F6A3C">
        <w:rPr>
          <w:rFonts w:ascii="Verdana" w:hAnsi="Verdana" w:cs="Arial"/>
          <w:bCs/>
          <w:sz w:val="22"/>
          <w:szCs w:val="22"/>
        </w:rPr>
        <w:t xml:space="preserve">que </w:t>
      </w:r>
      <w:r>
        <w:rPr>
          <w:rFonts w:ascii="Verdana" w:hAnsi="Verdana" w:cs="Arial"/>
          <w:bCs/>
          <w:sz w:val="22"/>
          <w:szCs w:val="22"/>
        </w:rPr>
        <w:t xml:space="preserve">la actividad de análisis técnico de las ofertas a cargo de los </w:t>
      </w:r>
      <w:r w:rsidR="009A76E2">
        <w:rPr>
          <w:rFonts w:ascii="Verdana" w:hAnsi="Verdana" w:cs="Arial"/>
          <w:bCs/>
          <w:sz w:val="22"/>
          <w:szCs w:val="22"/>
        </w:rPr>
        <w:t>A</w:t>
      </w:r>
      <w:r>
        <w:rPr>
          <w:rFonts w:ascii="Verdana" w:hAnsi="Verdana" w:cs="Arial"/>
          <w:bCs/>
          <w:sz w:val="22"/>
          <w:szCs w:val="22"/>
        </w:rPr>
        <w:t xml:space="preserve">dministradores de Contrato es la etapa con más duración en todo el proceso de la compra, tal como lo muestra el cuadro N°3 </w:t>
      </w:r>
      <w:r w:rsidR="004F6A3C">
        <w:rPr>
          <w:rFonts w:ascii="Verdana" w:hAnsi="Verdana" w:cs="Arial"/>
          <w:bCs/>
          <w:sz w:val="22"/>
          <w:szCs w:val="22"/>
        </w:rPr>
        <w:t xml:space="preserve">en algunos casos se </w:t>
      </w:r>
      <w:r>
        <w:rPr>
          <w:rFonts w:ascii="Verdana" w:hAnsi="Verdana" w:cs="Arial"/>
          <w:bCs/>
          <w:sz w:val="22"/>
          <w:szCs w:val="22"/>
        </w:rPr>
        <w:t xml:space="preserve">alcanzó 75 días hábiles que es igual a 4 meses, </w:t>
      </w:r>
      <w:r w:rsidR="00933E26">
        <w:rPr>
          <w:rFonts w:ascii="Verdana" w:hAnsi="Verdana" w:cs="Arial"/>
          <w:bCs/>
          <w:sz w:val="22"/>
          <w:szCs w:val="22"/>
        </w:rPr>
        <w:t>si a esto agregamos que la exclusión de la contratación “</w:t>
      </w:r>
      <w:r w:rsidR="00933E26" w:rsidRPr="00933E26">
        <w:rPr>
          <w:rFonts w:ascii="Verdana" w:hAnsi="Verdana" w:cs="Arial"/>
          <w:bCs/>
          <w:sz w:val="22"/>
          <w:szCs w:val="22"/>
        </w:rPr>
        <w:t>Luminarias con tecnología LED requeridas para el proyecto de ampliación y renovación del alumbrado del Túnel Zurquí</w:t>
      </w:r>
      <w:r w:rsidR="00933E26">
        <w:rPr>
          <w:rFonts w:ascii="Verdana" w:hAnsi="Verdana" w:cs="Arial"/>
          <w:bCs/>
          <w:sz w:val="22"/>
          <w:szCs w:val="22"/>
        </w:rPr>
        <w:t>” fue justificada argumentando</w:t>
      </w:r>
      <w:r w:rsidR="004F6A3C">
        <w:rPr>
          <w:rFonts w:ascii="Verdana" w:hAnsi="Verdana" w:cs="Arial"/>
          <w:bCs/>
          <w:sz w:val="22"/>
          <w:szCs w:val="22"/>
        </w:rPr>
        <w:t>,</w:t>
      </w:r>
      <w:r w:rsidR="00933E26">
        <w:rPr>
          <w:rFonts w:ascii="Verdana" w:hAnsi="Verdana" w:cs="Arial"/>
          <w:bCs/>
          <w:sz w:val="22"/>
          <w:szCs w:val="22"/>
        </w:rPr>
        <w:t xml:space="preserve"> entre otras razones</w:t>
      </w:r>
      <w:r w:rsidR="004F6A3C">
        <w:rPr>
          <w:rFonts w:ascii="Verdana" w:hAnsi="Verdana" w:cs="Arial"/>
          <w:bCs/>
          <w:sz w:val="22"/>
          <w:szCs w:val="22"/>
        </w:rPr>
        <w:t xml:space="preserve">, que la publicación del concurso hasta en julio del 2017 era originada por una alta demanda de horas profesionales en actividades de </w:t>
      </w:r>
      <w:r w:rsidR="006E6B11">
        <w:rPr>
          <w:rFonts w:ascii="Verdana" w:hAnsi="Verdana" w:cs="Arial"/>
          <w:bCs/>
          <w:sz w:val="22"/>
          <w:szCs w:val="22"/>
        </w:rPr>
        <w:t>contratación de luminarias del año 2018</w:t>
      </w:r>
      <w:r w:rsidR="004F6A3C">
        <w:rPr>
          <w:rFonts w:ascii="Verdana" w:hAnsi="Verdana" w:cs="Arial"/>
          <w:bCs/>
          <w:sz w:val="22"/>
          <w:szCs w:val="22"/>
        </w:rPr>
        <w:t xml:space="preserve">, esta Proveeduría concluye que </w:t>
      </w:r>
      <w:r w:rsidR="006F160D">
        <w:rPr>
          <w:rFonts w:ascii="Verdana" w:hAnsi="Verdana" w:cs="Arial"/>
          <w:bCs/>
          <w:sz w:val="22"/>
          <w:szCs w:val="22"/>
        </w:rPr>
        <w:t>las actividades relacionadas con la contratación de bienes y servicios en las dependencias usuarias no reciben la prioridad necesaria para obtener procedimiento</w:t>
      </w:r>
      <w:r w:rsidR="006E6B11">
        <w:rPr>
          <w:rFonts w:ascii="Verdana" w:hAnsi="Verdana" w:cs="Arial"/>
          <w:bCs/>
          <w:sz w:val="22"/>
          <w:szCs w:val="22"/>
        </w:rPr>
        <w:t>s</w:t>
      </w:r>
      <w:r w:rsidR="006F160D">
        <w:rPr>
          <w:rFonts w:ascii="Verdana" w:hAnsi="Verdana" w:cs="Arial"/>
          <w:bCs/>
          <w:sz w:val="22"/>
          <w:szCs w:val="22"/>
        </w:rPr>
        <w:t xml:space="preserve"> de compra más ágiles y cortos.</w:t>
      </w:r>
      <w:r w:rsidR="004F6A3C">
        <w:rPr>
          <w:rFonts w:ascii="Verdana" w:hAnsi="Verdana" w:cs="Arial"/>
          <w:bCs/>
          <w:sz w:val="22"/>
          <w:szCs w:val="22"/>
        </w:rPr>
        <w:t xml:space="preserve"> </w:t>
      </w:r>
    </w:p>
    <w:p w:rsidR="006F160D" w:rsidRDefault="006F160D" w:rsidP="006F160D">
      <w:pPr>
        <w:pStyle w:val="Prrafodelista"/>
        <w:ind w:left="720"/>
        <w:jc w:val="both"/>
        <w:rPr>
          <w:rFonts w:ascii="Verdana" w:hAnsi="Verdana" w:cs="Arial"/>
          <w:bCs/>
          <w:sz w:val="22"/>
          <w:szCs w:val="22"/>
        </w:rPr>
      </w:pPr>
    </w:p>
    <w:p w:rsidR="00465B0B" w:rsidRDefault="00543612" w:rsidP="004F6A3C">
      <w:pPr>
        <w:pStyle w:val="Prrafodelista"/>
        <w:ind w:left="720"/>
        <w:jc w:val="both"/>
        <w:rPr>
          <w:rFonts w:ascii="Verdana" w:hAnsi="Verdana" w:cs="Arial"/>
          <w:bCs/>
          <w:sz w:val="22"/>
          <w:szCs w:val="22"/>
        </w:rPr>
      </w:pPr>
      <w:r>
        <w:rPr>
          <w:rFonts w:ascii="Verdana" w:hAnsi="Verdana" w:cs="Arial"/>
          <w:bCs/>
          <w:sz w:val="22"/>
          <w:szCs w:val="22"/>
        </w:rPr>
        <w:t xml:space="preserve">Por esta razón se </w:t>
      </w:r>
      <w:r w:rsidR="006F160D">
        <w:rPr>
          <w:rFonts w:ascii="Verdana" w:hAnsi="Verdana" w:cs="Arial"/>
          <w:bCs/>
          <w:sz w:val="22"/>
          <w:szCs w:val="22"/>
        </w:rPr>
        <w:t>requiere que las dependencias que no cuentan con recurso humano suficiente para la atención de las actividades de contratación de bienes y servicios, inicien sus procesos de contratación</w:t>
      </w:r>
      <w:r w:rsidR="006E6B11">
        <w:rPr>
          <w:rFonts w:ascii="Verdana" w:hAnsi="Verdana" w:cs="Arial"/>
          <w:bCs/>
          <w:sz w:val="22"/>
          <w:szCs w:val="22"/>
        </w:rPr>
        <w:t xml:space="preserve"> a más tardar</w:t>
      </w:r>
      <w:r w:rsidR="006F160D">
        <w:rPr>
          <w:rFonts w:ascii="Verdana" w:hAnsi="Verdana" w:cs="Arial"/>
          <w:bCs/>
          <w:sz w:val="22"/>
          <w:szCs w:val="22"/>
        </w:rPr>
        <w:t xml:space="preserve"> al principio del primer trimestre de cada período. </w:t>
      </w:r>
    </w:p>
    <w:p w:rsidR="00543612" w:rsidRDefault="00543612" w:rsidP="004F6A3C">
      <w:pPr>
        <w:pStyle w:val="Prrafodelista"/>
        <w:ind w:left="720"/>
        <w:jc w:val="both"/>
        <w:rPr>
          <w:rFonts w:ascii="Verdana" w:hAnsi="Verdana" w:cs="Arial"/>
          <w:bCs/>
          <w:sz w:val="22"/>
          <w:szCs w:val="22"/>
        </w:rPr>
      </w:pPr>
    </w:p>
    <w:p w:rsidR="00F06C35" w:rsidRDefault="006F160D" w:rsidP="0050472E">
      <w:pPr>
        <w:pStyle w:val="Prrafodelista"/>
        <w:numPr>
          <w:ilvl w:val="0"/>
          <w:numId w:val="25"/>
        </w:numPr>
        <w:ind w:left="426" w:hanging="142"/>
        <w:jc w:val="both"/>
        <w:rPr>
          <w:rFonts w:ascii="Verdana" w:hAnsi="Verdana" w:cs="Arial"/>
          <w:bCs/>
          <w:sz w:val="22"/>
          <w:szCs w:val="22"/>
        </w:rPr>
      </w:pPr>
      <w:r>
        <w:rPr>
          <w:rFonts w:ascii="Verdana" w:hAnsi="Verdana" w:cs="Arial"/>
          <w:bCs/>
          <w:sz w:val="22"/>
          <w:szCs w:val="22"/>
        </w:rPr>
        <w:t>L</w:t>
      </w:r>
      <w:r w:rsidRPr="00A30D6E">
        <w:rPr>
          <w:rFonts w:ascii="Verdana" w:hAnsi="Verdana" w:cs="Arial"/>
          <w:bCs/>
          <w:sz w:val="22"/>
          <w:szCs w:val="22"/>
        </w:rPr>
        <w:t>a Constitución Política  en el artículo 182, estableció, para regular la actividad contractual del Estado, que las contrataciones públicas deben basarse en procedimientos concursales ordinarios</w:t>
      </w:r>
      <w:r>
        <w:rPr>
          <w:rFonts w:ascii="Verdana" w:hAnsi="Verdana" w:cs="Arial"/>
          <w:bCs/>
          <w:sz w:val="22"/>
          <w:szCs w:val="22"/>
        </w:rPr>
        <w:t>, en acatamiento al espíritu de nuestra Constitución Política los procesos de contratación deberían ser conducido</w:t>
      </w:r>
      <w:r w:rsidR="00F06C35">
        <w:rPr>
          <w:rFonts w:ascii="Verdana" w:hAnsi="Verdana" w:cs="Arial"/>
          <w:bCs/>
          <w:sz w:val="22"/>
          <w:szCs w:val="22"/>
        </w:rPr>
        <w:t xml:space="preserve">s, en su mayoría, </w:t>
      </w:r>
      <w:r>
        <w:rPr>
          <w:rFonts w:ascii="Verdana" w:hAnsi="Verdana" w:cs="Arial"/>
          <w:bCs/>
          <w:sz w:val="22"/>
          <w:szCs w:val="22"/>
        </w:rPr>
        <w:t xml:space="preserve"> por el procedimiento de concursos de adquisición, no obstante durante el período 2019 se realizaron 8 concursos de adquisición </w:t>
      </w:r>
      <w:r w:rsidR="00F06C35">
        <w:rPr>
          <w:rFonts w:ascii="Verdana" w:hAnsi="Verdana" w:cs="Arial"/>
          <w:bCs/>
          <w:sz w:val="22"/>
          <w:szCs w:val="22"/>
        </w:rPr>
        <w:t>versus 498 procedimientos de escasa</w:t>
      </w:r>
      <w:r w:rsidR="006E6B11">
        <w:rPr>
          <w:rFonts w:ascii="Verdana" w:hAnsi="Verdana" w:cs="Arial"/>
          <w:bCs/>
          <w:sz w:val="22"/>
          <w:szCs w:val="22"/>
        </w:rPr>
        <w:t xml:space="preserve"> cuantía</w:t>
      </w:r>
      <w:r w:rsidR="00F06C35">
        <w:rPr>
          <w:rFonts w:ascii="Verdana" w:hAnsi="Verdana" w:cs="Arial"/>
          <w:bCs/>
          <w:sz w:val="22"/>
          <w:szCs w:val="22"/>
        </w:rPr>
        <w:t>, reflejando que este último es el procedimiento más utilizado institucionalmente.</w:t>
      </w:r>
    </w:p>
    <w:p w:rsidR="00F06C35" w:rsidRDefault="00F06C35" w:rsidP="00F06C35">
      <w:pPr>
        <w:pStyle w:val="Prrafodelista"/>
        <w:ind w:left="426"/>
        <w:jc w:val="both"/>
        <w:rPr>
          <w:rFonts w:ascii="Verdana" w:hAnsi="Verdana" w:cs="Arial"/>
          <w:bCs/>
          <w:sz w:val="22"/>
          <w:szCs w:val="22"/>
        </w:rPr>
      </w:pPr>
    </w:p>
    <w:p w:rsidR="00287F3B" w:rsidRDefault="00FC1A4F" w:rsidP="00F06C35">
      <w:pPr>
        <w:pStyle w:val="Prrafodelista"/>
        <w:ind w:left="426"/>
        <w:jc w:val="both"/>
        <w:rPr>
          <w:rFonts w:ascii="Verdana" w:hAnsi="Verdana" w:cs="Arial"/>
          <w:bCs/>
          <w:sz w:val="22"/>
          <w:szCs w:val="22"/>
        </w:rPr>
      </w:pPr>
      <w:r w:rsidRPr="00A30D6E">
        <w:rPr>
          <w:rFonts w:ascii="Verdana" w:hAnsi="Verdana" w:cs="Arial"/>
          <w:bCs/>
          <w:sz w:val="22"/>
          <w:szCs w:val="22"/>
        </w:rPr>
        <w:t>Esta Proveeduría</w:t>
      </w:r>
      <w:r w:rsidR="00F05874" w:rsidRPr="00A30D6E">
        <w:rPr>
          <w:rFonts w:ascii="Verdana" w:hAnsi="Verdana" w:cs="Arial"/>
          <w:bCs/>
          <w:sz w:val="22"/>
          <w:szCs w:val="22"/>
        </w:rPr>
        <w:t xml:space="preserve"> E</w:t>
      </w:r>
      <w:r w:rsidR="00F06C35">
        <w:rPr>
          <w:rFonts w:ascii="Verdana" w:hAnsi="Verdana" w:cs="Arial"/>
          <w:bCs/>
          <w:sz w:val="22"/>
          <w:szCs w:val="22"/>
        </w:rPr>
        <w:t xml:space="preserve">mpresarial </w:t>
      </w:r>
      <w:r w:rsidRPr="00A30D6E">
        <w:rPr>
          <w:rFonts w:ascii="Verdana" w:hAnsi="Verdana" w:cs="Arial"/>
          <w:bCs/>
          <w:sz w:val="22"/>
          <w:szCs w:val="22"/>
        </w:rPr>
        <w:t>considera</w:t>
      </w:r>
      <w:r w:rsidR="00F06C35">
        <w:rPr>
          <w:rFonts w:ascii="Verdana" w:hAnsi="Verdana" w:cs="Arial"/>
          <w:bCs/>
          <w:sz w:val="22"/>
          <w:szCs w:val="22"/>
        </w:rPr>
        <w:t xml:space="preserve"> que existen una variedad de bienes y servicios de uso común entre distintas dependencias de la CNFL que debidamente planificadas y agrupadas podrían ser sometidas a </w:t>
      </w:r>
      <w:r w:rsidR="006E6B11">
        <w:rPr>
          <w:rFonts w:ascii="Verdana" w:hAnsi="Verdana" w:cs="Arial"/>
          <w:bCs/>
          <w:sz w:val="22"/>
          <w:szCs w:val="22"/>
        </w:rPr>
        <w:t xml:space="preserve">los </w:t>
      </w:r>
      <w:r w:rsidR="00F06C35">
        <w:rPr>
          <w:rFonts w:ascii="Verdana" w:hAnsi="Verdana" w:cs="Arial"/>
          <w:bCs/>
          <w:sz w:val="22"/>
          <w:szCs w:val="22"/>
        </w:rPr>
        <w:t>procedimientos ordinarios de contratación</w:t>
      </w:r>
      <w:r w:rsidR="006E6B11">
        <w:rPr>
          <w:rFonts w:ascii="Verdana" w:hAnsi="Verdana" w:cs="Arial"/>
          <w:bCs/>
          <w:sz w:val="22"/>
          <w:szCs w:val="22"/>
        </w:rPr>
        <w:t xml:space="preserve"> (concursos de adquisición)</w:t>
      </w:r>
      <w:r w:rsidR="00F06C35">
        <w:rPr>
          <w:rFonts w:ascii="Verdana" w:hAnsi="Verdana" w:cs="Arial"/>
          <w:bCs/>
          <w:sz w:val="22"/>
          <w:szCs w:val="22"/>
        </w:rPr>
        <w:t xml:space="preserve"> que permitan obtener mejores precios y condiciones </w:t>
      </w:r>
      <w:r w:rsidR="006E6B11">
        <w:rPr>
          <w:rFonts w:ascii="Verdana" w:hAnsi="Verdana" w:cs="Arial"/>
          <w:bCs/>
          <w:sz w:val="22"/>
          <w:szCs w:val="22"/>
        </w:rPr>
        <w:t>contractuales</w:t>
      </w:r>
      <w:r w:rsidR="00F06C35">
        <w:rPr>
          <w:rFonts w:ascii="Verdana" w:hAnsi="Verdana" w:cs="Arial"/>
          <w:bCs/>
          <w:sz w:val="22"/>
          <w:szCs w:val="22"/>
        </w:rPr>
        <w:t>, así como</w:t>
      </w:r>
      <w:r w:rsidR="006E6B11">
        <w:rPr>
          <w:rFonts w:ascii="Verdana" w:hAnsi="Verdana" w:cs="Arial"/>
          <w:bCs/>
          <w:sz w:val="22"/>
          <w:szCs w:val="22"/>
        </w:rPr>
        <w:t xml:space="preserve"> un</w:t>
      </w:r>
      <w:r w:rsidR="00F06C35">
        <w:rPr>
          <w:rFonts w:ascii="Verdana" w:hAnsi="Verdana" w:cs="Arial"/>
          <w:bCs/>
          <w:sz w:val="22"/>
          <w:szCs w:val="22"/>
        </w:rPr>
        <w:t xml:space="preserve"> menor requerimiento de recurso humano para atender los procesos de contratación.  </w:t>
      </w:r>
      <w:r w:rsidRPr="00A30D6E">
        <w:rPr>
          <w:rFonts w:ascii="Verdana" w:hAnsi="Verdana" w:cs="Arial"/>
          <w:bCs/>
          <w:sz w:val="22"/>
          <w:szCs w:val="22"/>
        </w:rPr>
        <w:t xml:space="preserve"> </w:t>
      </w:r>
    </w:p>
    <w:p w:rsidR="00A30D6E" w:rsidRPr="00A30D6E" w:rsidRDefault="00A30D6E" w:rsidP="00A30D6E">
      <w:pPr>
        <w:pStyle w:val="Prrafodelista"/>
        <w:ind w:left="426"/>
        <w:jc w:val="both"/>
        <w:rPr>
          <w:rFonts w:ascii="Verdana" w:hAnsi="Verdana" w:cs="Arial"/>
          <w:bCs/>
          <w:sz w:val="22"/>
          <w:szCs w:val="22"/>
        </w:rPr>
      </w:pPr>
    </w:p>
    <w:p w:rsidR="003E5FF8" w:rsidRPr="005E13A6" w:rsidRDefault="00287F3B" w:rsidP="00B97A4E">
      <w:pPr>
        <w:pStyle w:val="Prrafodelista"/>
        <w:ind w:left="426"/>
        <w:jc w:val="both"/>
        <w:rPr>
          <w:rFonts w:ascii="Verdana" w:hAnsi="Verdana" w:cs="Arial"/>
          <w:bCs/>
          <w:sz w:val="22"/>
          <w:szCs w:val="22"/>
        </w:rPr>
      </w:pPr>
      <w:r w:rsidRPr="005E13A6">
        <w:rPr>
          <w:rFonts w:ascii="Verdana" w:hAnsi="Verdana" w:cs="Arial"/>
          <w:bCs/>
          <w:sz w:val="22"/>
          <w:szCs w:val="22"/>
        </w:rPr>
        <w:t>Por lo anterior esta Proveeduría Empresarial, con el fin de que el proceso se desarrolle de una manera eficaz y eficiente, recomienda a la Gerencia General</w:t>
      </w:r>
      <w:r w:rsidR="009A0F49" w:rsidRPr="005E13A6">
        <w:rPr>
          <w:rFonts w:ascii="Verdana" w:hAnsi="Verdana" w:cs="Arial"/>
          <w:bCs/>
          <w:sz w:val="22"/>
          <w:szCs w:val="22"/>
        </w:rPr>
        <w:t>,</w:t>
      </w:r>
      <w:r w:rsidRPr="005E13A6">
        <w:rPr>
          <w:rFonts w:ascii="Verdana" w:hAnsi="Verdana" w:cs="Arial"/>
          <w:bCs/>
          <w:sz w:val="22"/>
          <w:szCs w:val="22"/>
        </w:rPr>
        <w:t xml:space="preserve"> instruir a todas las </w:t>
      </w:r>
      <w:r w:rsidR="00336D16">
        <w:rPr>
          <w:rFonts w:ascii="Verdana" w:hAnsi="Verdana" w:cs="Arial"/>
          <w:bCs/>
          <w:sz w:val="22"/>
          <w:szCs w:val="22"/>
        </w:rPr>
        <w:t>D</w:t>
      </w:r>
      <w:r w:rsidRPr="005E13A6">
        <w:rPr>
          <w:rFonts w:ascii="Verdana" w:hAnsi="Verdana" w:cs="Arial"/>
          <w:bCs/>
          <w:sz w:val="22"/>
          <w:szCs w:val="22"/>
        </w:rPr>
        <w:t>irecciones, para que sus Unidades</w:t>
      </w:r>
      <w:r w:rsidR="00436CC6">
        <w:rPr>
          <w:rFonts w:ascii="Verdana" w:hAnsi="Verdana" w:cs="Arial"/>
          <w:bCs/>
          <w:sz w:val="22"/>
          <w:szCs w:val="22"/>
        </w:rPr>
        <w:t>,</w:t>
      </w:r>
      <w:r w:rsidRPr="005E13A6">
        <w:rPr>
          <w:rFonts w:ascii="Verdana" w:hAnsi="Verdana" w:cs="Arial"/>
          <w:bCs/>
          <w:sz w:val="22"/>
          <w:szCs w:val="22"/>
        </w:rPr>
        <w:t xml:space="preserve"> Áreas</w:t>
      </w:r>
      <w:r w:rsidR="00436CC6">
        <w:rPr>
          <w:rFonts w:ascii="Verdana" w:hAnsi="Verdana" w:cs="Arial"/>
          <w:bCs/>
          <w:sz w:val="22"/>
          <w:szCs w:val="22"/>
        </w:rPr>
        <w:t xml:space="preserve"> y Procesos, en la medida de lo posible,</w:t>
      </w:r>
      <w:r w:rsidRPr="005E13A6">
        <w:rPr>
          <w:rFonts w:ascii="Verdana" w:hAnsi="Verdana" w:cs="Arial"/>
          <w:bCs/>
          <w:sz w:val="22"/>
          <w:szCs w:val="22"/>
        </w:rPr>
        <w:t xml:space="preserve"> planifiquen sus diferentes necesidades</w:t>
      </w:r>
      <w:r w:rsidR="009A0F49" w:rsidRPr="005E13A6">
        <w:rPr>
          <w:rFonts w:ascii="Verdana" w:hAnsi="Verdana" w:cs="Arial"/>
          <w:bCs/>
          <w:sz w:val="22"/>
          <w:szCs w:val="22"/>
        </w:rPr>
        <w:t xml:space="preserve"> de bienes y servicio</w:t>
      </w:r>
      <w:r w:rsidR="00436CC6">
        <w:rPr>
          <w:rFonts w:ascii="Verdana" w:hAnsi="Verdana" w:cs="Arial"/>
          <w:bCs/>
          <w:sz w:val="22"/>
          <w:szCs w:val="22"/>
        </w:rPr>
        <w:t>s</w:t>
      </w:r>
      <w:r w:rsidRPr="005E13A6">
        <w:rPr>
          <w:rFonts w:ascii="Verdana" w:hAnsi="Verdana" w:cs="Arial"/>
          <w:bCs/>
          <w:sz w:val="22"/>
          <w:szCs w:val="22"/>
        </w:rPr>
        <w:t xml:space="preserve"> y las agrupen</w:t>
      </w:r>
      <w:r w:rsidR="009A0F49" w:rsidRPr="005E13A6">
        <w:rPr>
          <w:rFonts w:ascii="Verdana" w:hAnsi="Verdana" w:cs="Arial"/>
          <w:bCs/>
          <w:sz w:val="22"/>
          <w:szCs w:val="22"/>
        </w:rPr>
        <w:t xml:space="preserve"> en un mismo procedimiento concursal ordinario, ya sea </w:t>
      </w:r>
      <w:r w:rsidR="00436CC6">
        <w:rPr>
          <w:rFonts w:ascii="Verdana" w:hAnsi="Verdana" w:cs="Arial"/>
          <w:bCs/>
          <w:sz w:val="22"/>
          <w:szCs w:val="22"/>
        </w:rPr>
        <w:t>mediante</w:t>
      </w:r>
      <w:r w:rsidR="009A0F49" w:rsidRPr="005E13A6">
        <w:rPr>
          <w:rFonts w:ascii="Verdana" w:hAnsi="Verdana" w:cs="Arial"/>
          <w:bCs/>
          <w:sz w:val="22"/>
          <w:szCs w:val="22"/>
        </w:rPr>
        <w:t xml:space="preserve"> compras de entrega única, entregas parciales o entregas según demanda. </w:t>
      </w:r>
      <w:r w:rsidRPr="005E13A6">
        <w:rPr>
          <w:rFonts w:ascii="Verdana" w:hAnsi="Verdana" w:cs="Arial"/>
          <w:bCs/>
          <w:sz w:val="22"/>
          <w:szCs w:val="22"/>
        </w:rPr>
        <w:t xml:space="preserve">    </w:t>
      </w:r>
    </w:p>
    <w:p w:rsidR="00FC1A4F" w:rsidRPr="005E13A6" w:rsidRDefault="00FC1A4F" w:rsidP="001541BB">
      <w:pPr>
        <w:jc w:val="both"/>
        <w:rPr>
          <w:rFonts w:ascii="Verdana" w:hAnsi="Verdana" w:cs="Arial"/>
          <w:bCs/>
        </w:rPr>
      </w:pPr>
    </w:p>
    <w:p w:rsidR="00474046" w:rsidRPr="005E13A6" w:rsidRDefault="00474046" w:rsidP="00934583">
      <w:pPr>
        <w:spacing w:after="0" w:line="240" w:lineRule="auto"/>
        <w:jc w:val="both"/>
        <w:rPr>
          <w:rFonts w:ascii="Verdana" w:eastAsia="Times New Roman" w:hAnsi="Verdana" w:cs="Arial"/>
          <w:lang w:eastAsia="es-ES"/>
        </w:rPr>
      </w:pPr>
    </w:p>
    <w:sectPr w:rsidR="00474046" w:rsidRPr="005E13A6" w:rsidSect="00776B5C">
      <w:headerReference w:type="default" r:id="rId27"/>
      <w:footerReference w:type="default" r:id="rId28"/>
      <w:headerReference w:type="first" r:id="rId29"/>
      <w:pgSz w:w="12240" w:h="15840"/>
      <w:pgMar w:top="1560" w:right="900" w:bottom="1276" w:left="1134"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474" w:rsidRDefault="00E73474" w:rsidP="00983A47">
      <w:pPr>
        <w:spacing w:after="0" w:line="240" w:lineRule="auto"/>
      </w:pPr>
      <w:r>
        <w:separator/>
      </w:r>
    </w:p>
  </w:endnote>
  <w:endnote w:type="continuationSeparator" w:id="0">
    <w:p w:rsidR="00E73474" w:rsidRDefault="00E73474" w:rsidP="0098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579773"/>
      <w:docPartObj>
        <w:docPartGallery w:val="Page Numbers (Bottom of Page)"/>
        <w:docPartUnique/>
      </w:docPartObj>
    </w:sdtPr>
    <w:sdtEndPr/>
    <w:sdtContent>
      <w:p w:rsidR="0050472E" w:rsidRDefault="0050472E">
        <w:pPr>
          <w:pStyle w:val="Piedepgina"/>
          <w:jc w:val="center"/>
        </w:pPr>
        <w:r>
          <w:fldChar w:fldCharType="begin"/>
        </w:r>
        <w:r>
          <w:instrText>PAGE   \* MERGEFORMAT</w:instrText>
        </w:r>
        <w:r>
          <w:fldChar w:fldCharType="separate"/>
        </w:r>
        <w:r w:rsidR="00AE1190" w:rsidRPr="00AE1190">
          <w:rPr>
            <w:noProof/>
            <w:lang w:val="es-ES"/>
          </w:rPr>
          <w:t>2</w:t>
        </w:r>
        <w:r>
          <w:fldChar w:fldCharType="end"/>
        </w:r>
      </w:p>
    </w:sdtContent>
  </w:sdt>
  <w:p w:rsidR="0050472E" w:rsidRPr="004B0F6A" w:rsidRDefault="0050472E">
    <w:pPr>
      <w:pStyle w:val="Piedepgina"/>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474" w:rsidRDefault="00E73474" w:rsidP="00983A47">
      <w:pPr>
        <w:spacing w:after="0" w:line="240" w:lineRule="auto"/>
      </w:pPr>
      <w:r>
        <w:separator/>
      </w:r>
    </w:p>
  </w:footnote>
  <w:footnote w:type="continuationSeparator" w:id="0">
    <w:p w:rsidR="00E73474" w:rsidRDefault="00E73474" w:rsidP="00983A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2E" w:rsidRPr="000035AA" w:rsidRDefault="0050472E" w:rsidP="008E5AB9">
    <w:pPr>
      <w:spacing w:after="0" w:line="240" w:lineRule="auto"/>
      <w:rPr>
        <w:rFonts w:ascii="Arial" w:hAnsi="Arial" w:cs="Arial"/>
        <w:sz w:val="24"/>
        <w:szCs w:val="24"/>
      </w:rPr>
    </w:pPr>
    <w:r>
      <w:rPr>
        <w:rFonts w:ascii="Arial" w:hAnsi="Arial" w:cs="Arial"/>
        <w:sz w:val="24"/>
        <w:szCs w:val="24"/>
      </w:rPr>
      <w:t>20</w:t>
    </w:r>
    <w:r w:rsidR="00DE7AD1">
      <w:rPr>
        <w:rFonts w:ascii="Arial" w:hAnsi="Arial" w:cs="Arial"/>
        <w:sz w:val="24"/>
        <w:szCs w:val="24"/>
      </w:rPr>
      <w:t>20</w:t>
    </w:r>
    <w:r>
      <w:rPr>
        <w:rFonts w:ascii="Arial" w:hAnsi="Arial" w:cs="Arial"/>
        <w:sz w:val="24"/>
        <w:szCs w:val="24"/>
      </w:rPr>
      <w:t>-0</w:t>
    </w:r>
    <w:r w:rsidR="00DE7AD1">
      <w:rPr>
        <w:rFonts w:ascii="Arial" w:hAnsi="Arial" w:cs="Arial"/>
        <w:sz w:val="24"/>
        <w:szCs w:val="24"/>
      </w:rPr>
      <w:t>1</w:t>
    </w:r>
    <w:r>
      <w:rPr>
        <w:rFonts w:ascii="Arial" w:hAnsi="Arial" w:cs="Arial"/>
        <w:sz w:val="24"/>
        <w:szCs w:val="24"/>
      </w:rPr>
      <w:t>-</w:t>
    </w:r>
    <w:r w:rsidR="00DE7AD1">
      <w:rPr>
        <w:rFonts w:ascii="Arial" w:hAnsi="Arial" w:cs="Arial"/>
        <w:sz w:val="24"/>
        <w:szCs w:val="24"/>
      </w:rPr>
      <w:t>15</w:t>
    </w:r>
  </w:p>
  <w:p w:rsidR="0050472E" w:rsidRPr="000035AA" w:rsidRDefault="0050472E" w:rsidP="008E5AB9">
    <w:pPr>
      <w:spacing w:after="0" w:line="240" w:lineRule="auto"/>
      <w:rPr>
        <w:rFonts w:ascii="Arial" w:hAnsi="Arial" w:cs="Arial"/>
        <w:sz w:val="24"/>
        <w:szCs w:val="24"/>
      </w:rPr>
    </w:pPr>
    <w:r>
      <w:rPr>
        <w:rFonts w:ascii="Arial" w:hAnsi="Arial" w:cs="Arial"/>
        <w:sz w:val="24"/>
        <w:szCs w:val="24"/>
      </w:rPr>
      <w:t>3250</w:t>
    </w:r>
    <w:r w:rsidRPr="000035AA">
      <w:rPr>
        <w:rFonts w:ascii="Arial" w:hAnsi="Arial" w:cs="Arial"/>
        <w:sz w:val="24"/>
        <w:szCs w:val="24"/>
      </w:rPr>
      <w:t>-</w:t>
    </w:r>
    <w:r w:rsidR="00061DAF">
      <w:rPr>
        <w:rFonts w:ascii="Arial" w:hAnsi="Arial" w:cs="Arial"/>
        <w:sz w:val="24"/>
        <w:szCs w:val="24"/>
      </w:rPr>
      <w:t>xxx</w:t>
    </w:r>
    <w:r>
      <w:rPr>
        <w:rFonts w:ascii="Arial" w:hAnsi="Arial" w:cs="Arial"/>
        <w:sz w:val="24"/>
        <w:szCs w:val="24"/>
      </w:rPr>
      <w:t>-20</w:t>
    </w:r>
    <w:r w:rsidR="00DE7AD1">
      <w:rPr>
        <w:rFonts w:ascii="Arial" w:hAnsi="Arial" w:cs="Arial"/>
        <w:sz w:val="24"/>
        <w:szCs w:val="24"/>
      </w:rPr>
      <w:t>20</w:t>
    </w:r>
  </w:p>
  <w:p w:rsidR="0050472E" w:rsidRDefault="005047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72E" w:rsidRPr="00395DFA" w:rsidRDefault="0050472E" w:rsidP="008E5AB9">
    <w:pPr>
      <w:pStyle w:val="Encabezado"/>
      <w:pBdr>
        <w:bottom w:val="single" w:sz="12" w:space="1" w:color="auto"/>
      </w:pBdr>
      <w:rPr>
        <w:rFonts w:ascii="Verdana" w:hAnsi="Verdana"/>
        <w:sz w:val="32"/>
        <w:szCs w:val="32"/>
      </w:rPr>
    </w:pPr>
    <w:r>
      <w:rPr>
        <w:rFonts w:ascii="Verdana" w:hAnsi="Verdana"/>
        <w:sz w:val="32"/>
        <w:szCs w:val="32"/>
      </w:rPr>
      <w:t xml:space="preserve">Área de Proveeduría Empresarial </w:t>
    </w:r>
  </w:p>
  <w:p w:rsidR="0050472E" w:rsidRDefault="005047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B172C4"/>
    <w:multiLevelType w:val="hybridMultilevel"/>
    <w:tmpl w:val="BC31588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A5E6C"/>
    <w:multiLevelType w:val="hybridMultilevel"/>
    <w:tmpl w:val="417491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2F7CB4"/>
    <w:multiLevelType w:val="hybridMultilevel"/>
    <w:tmpl w:val="78B09166"/>
    <w:lvl w:ilvl="0" w:tplc="FE8AC31A">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B7100A"/>
    <w:multiLevelType w:val="hybridMultilevel"/>
    <w:tmpl w:val="F2EC074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4DB782B"/>
    <w:multiLevelType w:val="hybridMultilevel"/>
    <w:tmpl w:val="ABA6A29E"/>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99C6757"/>
    <w:multiLevelType w:val="hybridMultilevel"/>
    <w:tmpl w:val="876E0666"/>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6" w15:restartNumberingAfterBreak="0">
    <w:nsid w:val="0BAD1351"/>
    <w:multiLevelType w:val="hybridMultilevel"/>
    <w:tmpl w:val="B6C2C2E4"/>
    <w:lvl w:ilvl="0" w:tplc="47E8E37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DA51DDC"/>
    <w:multiLevelType w:val="hybridMultilevel"/>
    <w:tmpl w:val="161A6070"/>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FC106F2"/>
    <w:multiLevelType w:val="hybridMultilevel"/>
    <w:tmpl w:val="449EE046"/>
    <w:lvl w:ilvl="0" w:tplc="0C0A000F">
      <w:start w:val="1"/>
      <w:numFmt w:val="decimal"/>
      <w:lvlText w:val="%1."/>
      <w:lvlJc w:val="left"/>
      <w:pPr>
        <w:ind w:left="720" w:hanging="360"/>
      </w:pPr>
    </w:lvl>
    <w:lvl w:ilvl="1" w:tplc="71789CEC">
      <w:start w:val="1"/>
      <w:numFmt w:val="decimal"/>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17A28EA"/>
    <w:multiLevelType w:val="hybridMultilevel"/>
    <w:tmpl w:val="0114C514"/>
    <w:lvl w:ilvl="0" w:tplc="AC1C3628">
      <w:numFmt w:val="bullet"/>
      <w:lvlText w:val="-"/>
      <w:lvlJc w:val="left"/>
      <w:pPr>
        <w:tabs>
          <w:tab w:val="num" w:pos="720"/>
        </w:tabs>
        <w:ind w:left="720" w:hanging="360"/>
      </w:pPr>
      <w:rPr>
        <w:rFonts w:ascii="Verdana" w:eastAsia="Times New Roman" w:hAnsi="Verdan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290A69"/>
    <w:multiLevelType w:val="hybridMultilevel"/>
    <w:tmpl w:val="25347D8E"/>
    <w:lvl w:ilvl="0" w:tplc="305231BC">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5581474"/>
    <w:multiLevelType w:val="hybridMultilevel"/>
    <w:tmpl w:val="2B84BBB4"/>
    <w:lvl w:ilvl="0" w:tplc="DE10A8B8">
      <w:start w:val="1"/>
      <w:numFmt w:val="upperRoman"/>
      <w:lvlText w:val="%1."/>
      <w:lvlJc w:val="left"/>
      <w:pPr>
        <w:ind w:left="3900" w:hanging="720"/>
      </w:pPr>
      <w:rPr>
        <w:rFonts w:hint="default"/>
        <w:b/>
      </w:rPr>
    </w:lvl>
    <w:lvl w:ilvl="1" w:tplc="140A0019" w:tentative="1">
      <w:start w:val="1"/>
      <w:numFmt w:val="lowerLetter"/>
      <w:lvlText w:val="%2."/>
      <w:lvlJc w:val="left"/>
      <w:pPr>
        <w:ind w:left="4260" w:hanging="360"/>
      </w:pPr>
    </w:lvl>
    <w:lvl w:ilvl="2" w:tplc="140A001B" w:tentative="1">
      <w:start w:val="1"/>
      <w:numFmt w:val="lowerRoman"/>
      <w:lvlText w:val="%3."/>
      <w:lvlJc w:val="right"/>
      <w:pPr>
        <w:ind w:left="4980" w:hanging="180"/>
      </w:pPr>
    </w:lvl>
    <w:lvl w:ilvl="3" w:tplc="140A000F" w:tentative="1">
      <w:start w:val="1"/>
      <w:numFmt w:val="decimal"/>
      <w:lvlText w:val="%4."/>
      <w:lvlJc w:val="left"/>
      <w:pPr>
        <w:ind w:left="5700" w:hanging="360"/>
      </w:pPr>
    </w:lvl>
    <w:lvl w:ilvl="4" w:tplc="140A0019" w:tentative="1">
      <w:start w:val="1"/>
      <w:numFmt w:val="lowerLetter"/>
      <w:lvlText w:val="%5."/>
      <w:lvlJc w:val="left"/>
      <w:pPr>
        <w:ind w:left="6420" w:hanging="360"/>
      </w:pPr>
    </w:lvl>
    <w:lvl w:ilvl="5" w:tplc="140A001B" w:tentative="1">
      <w:start w:val="1"/>
      <w:numFmt w:val="lowerRoman"/>
      <w:lvlText w:val="%6."/>
      <w:lvlJc w:val="right"/>
      <w:pPr>
        <w:ind w:left="7140" w:hanging="180"/>
      </w:pPr>
    </w:lvl>
    <w:lvl w:ilvl="6" w:tplc="140A000F" w:tentative="1">
      <w:start w:val="1"/>
      <w:numFmt w:val="decimal"/>
      <w:lvlText w:val="%7."/>
      <w:lvlJc w:val="left"/>
      <w:pPr>
        <w:ind w:left="7860" w:hanging="360"/>
      </w:pPr>
    </w:lvl>
    <w:lvl w:ilvl="7" w:tplc="140A0019" w:tentative="1">
      <w:start w:val="1"/>
      <w:numFmt w:val="lowerLetter"/>
      <w:lvlText w:val="%8."/>
      <w:lvlJc w:val="left"/>
      <w:pPr>
        <w:ind w:left="8580" w:hanging="360"/>
      </w:pPr>
    </w:lvl>
    <w:lvl w:ilvl="8" w:tplc="140A001B" w:tentative="1">
      <w:start w:val="1"/>
      <w:numFmt w:val="lowerRoman"/>
      <w:lvlText w:val="%9."/>
      <w:lvlJc w:val="right"/>
      <w:pPr>
        <w:ind w:left="9300" w:hanging="180"/>
      </w:pPr>
    </w:lvl>
  </w:abstractNum>
  <w:abstractNum w:abstractNumId="12" w15:restartNumberingAfterBreak="0">
    <w:nsid w:val="17932045"/>
    <w:multiLevelType w:val="hybridMultilevel"/>
    <w:tmpl w:val="3FAADBB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F1A56E9"/>
    <w:multiLevelType w:val="hybridMultilevel"/>
    <w:tmpl w:val="E3A251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208B2B24"/>
    <w:multiLevelType w:val="hybridMultilevel"/>
    <w:tmpl w:val="97DAEF6A"/>
    <w:lvl w:ilvl="0" w:tplc="141486F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5A3109A"/>
    <w:multiLevelType w:val="hybridMultilevel"/>
    <w:tmpl w:val="3FCCE2C2"/>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102098"/>
    <w:multiLevelType w:val="hybridMultilevel"/>
    <w:tmpl w:val="3C6A395E"/>
    <w:lvl w:ilvl="0" w:tplc="140A0013">
      <w:start w:val="1"/>
      <w:numFmt w:val="upp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7" w15:restartNumberingAfterBreak="0">
    <w:nsid w:val="2F9D5C42"/>
    <w:multiLevelType w:val="hybridMultilevel"/>
    <w:tmpl w:val="055E5006"/>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4277D6C"/>
    <w:multiLevelType w:val="hybridMultilevel"/>
    <w:tmpl w:val="3ABCB26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39A36F20"/>
    <w:multiLevelType w:val="hybridMultilevel"/>
    <w:tmpl w:val="B88C7642"/>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0" w15:restartNumberingAfterBreak="0">
    <w:nsid w:val="3F321128"/>
    <w:multiLevelType w:val="hybridMultilevel"/>
    <w:tmpl w:val="B880A2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73C7F9E"/>
    <w:multiLevelType w:val="hybridMultilevel"/>
    <w:tmpl w:val="821E6094"/>
    <w:lvl w:ilvl="0" w:tplc="5FDE5EC8">
      <w:start w:val="1"/>
      <w:numFmt w:val="decimal"/>
      <w:lvlText w:val="%1)"/>
      <w:lvlJc w:val="right"/>
      <w:pPr>
        <w:ind w:left="504" w:hanging="144"/>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9E4778A"/>
    <w:multiLevelType w:val="hybridMultilevel"/>
    <w:tmpl w:val="58F41FA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4C9E7DCB"/>
    <w:multiLevelType w:val="hybridMultilevel"/>
    <w:tmpl w:val="E1B6AB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4FF2390F"/>
    <w:multiLevelType w:val="hybridMultilevel"/>
    <w:tmpl w:val="4F60868C"/>
    <w:lvl w:ilvl="0" w:tplc="140A000B">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5" w15:restartNumberingAfterBreak="0">
    <w:nsid w:val="59A31172"/>
    <w:multiLevelType w:val="hybridMultilevel"/>
    <w:tmpl w:val="14E294D2"/>
    <w:lvl w:ilvl="0" w:tplc="28C0B3A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BB45658"/>
    <w:multiLevelType w:val="hybridMultilevel"/>
    <w:tmpl w:val="4754E04C"/>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5E8569D3"/>
    <w:multiLevelType w:val="hybridMultilevel"/>
    <w:tmpl w:val="3C6A395E"/>
    <w:lvl w:ilvl="0" w:tplc="140A0013">
      <w:start w:val="1"/>
      <w:numFmt w:val="upperRoman"/>
      <w:lvlText w:val="%1."/>
      <w:lvlJc w:val="righ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8" w15:restartNumberingAfterBreak="0">
    <w:nsid w:val="66B61628"/>
    <w:multiLevelType w:val="hybridMultilevel"/>
    <w:tmpl w:val="7222FE36"/>
    <w:lvl w:ilvl="0" w:tplc="EBBAF33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8221EC0"/>
    <w:multiLevelType w:val="hybridMultilevel"/>
    <w:tmpl w:val="E1B6ABD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9F23A36"/>
    <w:multiLevelType w:val="hybridMultilevel"/>
    <w:tmpl w:val="F0B0272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1D5D34"/>
    <w:multiLevelType w:val="hybridMultilevel"/>
    <w:tmpl w:val="C4B2859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6"/>
  </w:num>
  <w:num w:numId="2">
    <w:abstractNumId w:val="15"/>
  </w:num>
  <w:num w:numId="3">
    <w:abstractNumId w:val="9"/>
  </w:num>
  <w:num w:numId="4">
    <w:abstractNumId w:val="30"/>
  </w:num>
  <w:num w:numId="5">
    <w:abstractNumId w:val="13"/>
  </w:num>
  <w:num w:numId="6">
    <w:abstractNumId w:val="7"/>
  </w:num>
  <w:num w:numId="7">
    <w:abstractNumId w:val="8"/>
  </w:num>
  <w:num w:numId="8">
    <w:abstractNumId w:val="1"/>
  </w:num>
  <w:num w:numId="9">
    <w:abstractNumId w:val="12"/>
  </w:num>
  <w:num w:numId="10">
    <w:abstractNumId w:val="17"/>
  </w:num>
  <w:num w:numId="11">
    <w:abstractNumId w:val="11"/>
  </w:num>
  <w:num w:numId="12">
    <w:abstractNumId w:val="6"/>
  </w:num>
  <w:num w:numId="13">
    <w:abstractNumId w:val="18"/>
  </w:num>
  <w:num w:numId="14">
    <w:abstractNumId w:val="29"/>
  </w:num>
  <w:num w:numId="15">
    <w:abstractNumId w:val="25"/>
  </w:num>
  <w:num w:numId="16">
    <w:abstractNumId w:val="2"/>
  </w:num>
  <w:num w:numId="17">
    <w:abstractNumId w:val="23"/>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20"/>
  </w:num>
  <w:num w:numId="21">
    <w:abstractNumId w:val="10"/>
  </w:num>
  <w:num w:numId="22">
    <w:abstractNumId w:val="3"/>
  </w:num>
  <w:num w:numId="23">
    <w:abstractNumId w:val="28"/>
  </w:num>
  <w:num w:numId="24">
    <w:abstractNumId w:val="14"/>
  </w:num>
  <w:num w:numId="25">
    <w:abstractNumId w:val="21"/>
  </w:num>
  <w:num w:numId="26">
    <w:abstractNumId w:val="5"/>
  </w:num>
  <w:num w:numId="27">
    <w:abstractNumId w:val="16"/>
  </w:num>
  <w:num w:numId="28">
    <w:abstractNumId w:val="22"/>
  </w:num>
  <w:num w:numId="29">
    <w:abstractNumId w:val="27"/>
  </w:num>
  <w:num w:numId="30">
    <w:abstractNumId w:val="19"/>
  </w:num>
  <w:num w:numId="31">
    <w:abstractNumId w:val="31"/>
  </w:num>
  <w:num w:numId="32">
    <w:abstractNumId w:val="24"/>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65"/>
    <w:rsid w:val="00002989"/>
    <w:rsid w:val="000035AA"/>
    <w:rsid w:val="00005149"/>
    <w:rsid w:val="00010CED"/>
    <w:rsid w:val="000149F4"/>
    <w:rsid w:val="00021886"/>
    <w:rsid w:val="000259DD"/>
    <w:rsid w:val="00025D06"/>
    <w:rsid w:val="000322A9"/>
    <w:rsid w:val="00032437"/>
    <w:rsid w:val="000435AA"/>
    <w:rsid w:val="0004625E"/>
    <w:rsid w:val="0004713E"/>
    <w:rsid w:val="000472D2"/>
    <w:rsid w:val="00061615"/>
    <w:rsid w:val="00061DAF"/>
    <w:rsid w:val="00067413"/>
    <w:rsid w:val="000705DA"/>
    <w:rsid w:val="00072AA2"/>
    <w:rsid w:val="00075C05"/>
    <w:rsid w:val="0007674A"/>
    <w:rsid w:val="00077571"/>
    <w:rsid w:val="00081FF9"/>
    <w:rsid w:val="00084AC2"/>
    <w:rsid w:val="00086212"/>
    <w:rsid w:val="0009289F"/>
    <w:rsid w:val="00093310"/>
    <w:rsid w:val="00093DFD"/>
    <w:rsid w:val="00095AF5"/>
    <w:rsid w:val="000A197E"/>
    <w:rsid w:val="000A2561"/>
    <w:rsid w:val="000A7D4B"/>
    <w:rsid w:val="000B3221"/>
    <w:rsid w:val="000B4A20"/>
    <w:rsid w:val="000C0E03"/>
    <w:rsid w:val="000C2C97"/>
    <w:rsid w:val="000C45E7"/>
    <w:rsid w:val="000C5FD8"/>
    <w:rsid w:val="000D58E1"/>
    <w:rsid w:val="000E00EE"/>
    <w:rsid w:val="000E6212"/>
    <w:rsid w:val="000E67E3"/>
    <w:rsid w:val="000F0043"/>
    <w:rsid w:val="000F21CB"/>
    <w:rsid w:val="000F261B"/>
    <w:rsid w:val="000F3EDA"/>
    <w:rsid w:val="00110E9D"/>
    <w:rsid w:val="00127E16"/>
    <w:rsid w:val="001323C8"/>
    <w:rsid w:val="001365B6"/>
    <w:rsid w:val="00136B73"/>
    <w:rsid w:val="00141BBF"/>
    <w:rsid w:val="0014267D"/>
    <w:rsid w:val="001427C2"/>
    <w:rsid w:val="00142A29"/>
    <w:rsid w:val="00151442"/>
    <w:rsid w:val="00151A5B"/>
    <w:rsid w:val="001541BB"/>
    <w:rsid w:val="001571BE"/>
    <w:rsid w:val="00166D07"/>
    <w:rsid w:val="00170042"/>
    <w:rsid w:val="00176A64"/>
    <w:rsid w:val="00184A10"/>
    <w:rsid w:val="00186C1F"/>
    <w:rsid w:val="001878C5"/>
    <w:rsid w:val="00192777"/>
    <w:rsid w:val="00193B07"/>
    <w:rsid w:val="0019534E"/>
    <w:rsid w:val="00196497"/>
    <w:rsid w:val="001A3AD2"/>
    <w:rsid w:val="001A6405"/>
    <w:rsid w:val="001A6945"/>
    <w:rsid w:val="001B0712"/>
    <w:rsid w:val="001B6855"/>
    <w:rsid w:val="001B68E7"/>
    <w:rsid w:val="001B6A1E"/>
    <w:rsid w:val="001C0FFD"/>
    <w:rsid w:val="001C2C68"/>
    <w:rsid w:val="001D47CE"/>
    <w:rsid w:val="001D7D43"/>
    <w:rsid w:val="001E3483"/>
    <w:rsid w:val="001E6310"/>
    <w:rsid w:val="001F26F5"/>
    <w:rsid w:val="001F5A0A"/>
    <w:rsid w:val="0020262E"/>
    <w:rsid w:val="00205F98"/>
    <w:rsid w:val="002111B5"/>
    <w:rsid w:val="00213106"/>
    <w:rsid w:val="00215344"/>
    <w:rsid w:val="0021538A"/>
    <w:rsid w:val="002163CE"/>
    <w:rsid w:val="00224DC4"/>
    <w:rsid w:val="002263CB"/>
    <w:rsid w:val="002313F7"/>
    <w:rsid w:val="00231DCB"/>
    <w:rsid w:val="00235146"/>
    <w:rsid w:val="00244631"/>
    <w:rsid w:val="00245C33"/>
    <w:rsid w:val="00246724"/>
    <w:rsid w:val="00247809"/>
    <w:rsid w:val="00256801"/>
    <w:rsid w:val="00257416"/>
    <w:rsid w:val="00261B59"/>
    <w:rsid w:val="00261B82"/>
    <w:rsid w:val="002756FD"/>
    <w:rsid w:val="00282E0B"/>
    <w:rsid w:val="00283ADF"/>
    <w:rsid w:val="002869EF"/>
    <w:rsid w:val="00286A82"/>
    <w:rsid w:val="002878BA"/>
    <w:rsid w:val="00287F3B"/>
    <w:rsid w:val="002956D8"/>
    <w:rsid w:val="002A414E"/>
    <w:rsid w:val="002B0055"/>
    <w:rsid w:val="002B1253"/>
    <w:rsid w:val="002B33BB"/>
    <w:rsid w:val="002B3E53"/>
    <w:rsid w:val="002B552C"/>
    <w:rsid w:val="002C41BA"/>
    <w:rsid w:val="002C7D54"/>
    <w:rsid w:val="002D25BD"/>
    <w:rsid w:val="002E43C9"/>
    <w:rsid w:val="002E56AC"/>
    <w:rsid w:val="00300954"/>
    <w:rsid w:val="00305B84"/>
    <w:rsid w:val="0031263E"/>
    <w:rsid w:val="00325741"/>
    <w:rsid w:val="00327849"/>
    <w:rsid w:val="00335D9A"/>
    <w:rsid w:val="00336D16"/>
    <w:rsid w:val="0034530F"/>
    <w:rsid w:val="00346B78"/>
    <w:rsid w:val="00353F6E"/>
    <w:rsid w:val="00354144"/>
    <w:rsid w:val="00370270"/>
    <w:rsid w:val="00373DFE"/>
    <w:rsid w:val="00374AAC"/>
    <w:rsid w:val="00380D8E"/>
    <w:rsid w:val="0038225F"/>
    <w:rsid w:val="003926A6"/>
    <w:rsid w:val="00395DFA"/>
    <w:rsid w:val="003A212C"/>
    <w:rsid w:val="003B04F0"/>
    <w:rsid w:val="003B23A9"/>
    <w:rsid w:val="003B4CD5"/>
    <w:rsid w:val="003B4D5E"/>
    <w:rsid w:val="003C53E1"/>
    <w:rsid w:val="003D0381"/>
    <w:rsid w:val="003D31C6"/>
    <w:rsid w:val="003D5C53"/>
    <w:rsid w:val="003D5EE3"/>
    <w:rsid w:val="003D6B85"/>
    <w:rsid w:val="003E1427"/>
    <w:rsid w:val="003E32B5"/>
    <w:rsid w:val="003E572B"/>
    <w:rsid w:val="003E5FF8"/>
    <w:rsid w:val="003E69EC"/>
    <w:rsid w:val="003F5821"/>
    <w:rsid w:val="003F6222"/>
    <w:rsid w:val="004033A5"/>
    <w:rsid w:val="00403E4A"/>
    <w:rsid w:val="00404073"/>
    <w:rsid w:val="00406B74"/>
    <w:rsid w:val="0041478B"/>
    <w:rsid w:val="00415527"/>
    <w:rsid w:val="00432A8A"/>
    <w:rsid w:val="00433688"/>
    <w:rsid w:val="00436CC6"/>
    <w:rsid w:val="00442168"/>
    <w:rsid w:val="00442A0A"/>
    <w:rsid w:val="0044364A"/>
    <w:rsid w:val="00451026"/>
    <w:rsid w:val="00455543"/>
    <w:rsid w:val="00455DC6"/>
    <w:rsid w:val="00456309"/>
    <w:rsid w:val="00457B65"/>
    <w:rsid w:val="0046229F"/>
    <w:rsid w:val="004628A7"/>
    <w:rsid w:val="00465B0B"/>
    <w:rsid w:val="00470B6C"/>
    <w:rsid w:val="00474046"/>
    <w:rsid w:val="004755C7"/>
    <w:rsid w:val="00477C19"/>
    <w:rsid w:val="00490F99"/>
    <w:rsid w:val="00495E5A"/>
    <w:rsid w:val="004A1CDD"/>
    <w:rsid w:val="004A7E29"/>
    <w:rsid w:val="004B0F6A"/>
    <w:rsid w:val="004B1146"/>
    <w:rsid w:val="004B7630"/>
    <w:rsid w:val="004C4C3D"/>
    <w:rsid w:val="004D4785"/>
    <w:rsid w:val="004D5DE7"/>
    <w:rsid w:val="004D7641"/>
    <w:rsid w:val="004E2876"/>
    <w:rsid w:val="004E3402"/>
    <w:rsid w:val="004E5733"/>
    <w:rsid w:val="004E5F6A"/>
    <w:rsid w:val="004F6A3C"/>
    <w:rsid w:val="0050472E"/>
    <w:rsid w:val="00512C3E"/>
    <w:rsid w:val="00513636"/>
    <w:rsid w:val="00513B53"/>
    <w:rsid w:val="00515BF5"/>
    <w:rsid w:val="00516B60"/>
    <w:rsid w:val="005174A0"/>
    <w:rsid w:val="00526687"/>
    <w:rsid w:val="0053050C"/>
    <w:rsid w:val="00530EE2"/>
    <w:rsid w:val="00532258"/>
    <w:rsid w:val="00535210"/>
    <w:rsid w:val="0054240C"/>
    <w:rsid w:val="00543612"/>
    <w:rsid w:val="00544CEF"/>
    <w:rsid w:val="00557024"/>
    <w:rsid w:val="00561AF3"/>
    <w:rsid w:val="00561CD9"/>
    <w:rsid w:val="005625A3"/>
    <w:rsid w:val="00562CE0"/>
    <w:rsid w:val="00566070"/>
    <w:rsid w:val="00580A3C"/>
    <w:rsid w:val="00583050"/>
    <w:rsid w:val="00586608"/>
    <w:rsid w:val="00586857"/>
    <w:rsid w:val="00590279"/>
    <w:rsid w:val="00592C08"/>
    <w:rsid w:val="00597534"/>
    <w:rsid w:val="005A175C"/>
    <w:rsid w:val="005A21E8"/>
    <w:rsid w:val="005A2AD1"/>
    <w:rsid w:val="005B0DA9"/>
    <w:rsid w:val="005B0F9D"/>
    <w:rsid w:val="005B2C66"/>
    <w:rsid w:val="005B6E40"/>
    <w:rsid w:val="005B7193"/>
    <w:rsid w:val="005C12CA"/>
    <w:rsid w:val="005C293A"/>
    <w:rsid w:val="005C3D8B"/>
    <w:rsid w:val="005D431F"/>
    <w:rsid w:val="005D5376"/>
    <w:rsid w:val="005D69A0"/>
    <w:rsid w:val="005E13A6"/>
    <w:rsid w:val="005E1AA5"/>
    <w:rsid w:val="005E7144"/>
    <w:rsid w:val="005F310B"/>
    <w:rsid w:val="00604A9D"/>
    <w:rsid w:val="00611110"/>
    <w:rsid w:val="006115B3"/>
    <w:rsid w:val="00613559"/>
    <w:rsid w:val="00613A50"/>
    <w:rsid w:val="00614B20"/>
    <w:rsid w:val="0063119E"/>
    <w:rsid w:val="006353DC"/>
    <w:rsid w:val="006378EB"/>
    <w:rsid w:val="00646F12"/>
    <w:rsid w:val="00647444"/>
    <w:rsid w:val="00647EC6"/>
    <w:rsid w:val="00652A1A"/>
    <w:rsid w:val="006550FB"/>
    <w:rsid w:val="00664C12"/>
    <w:rsid w:val="00665A4D"/>
    <w:rsid w:val="0067594B"/>
    <w:rsid w:val="00681E5C"/>
    <w:rsid w:val="0068357B"/>
    <w:rsid w:val="00686E37"/>
    <w:rsid w:val="006A0381"/>
    <w:rsid w:val="006A063B"/>
    <w:rsid w:val="006C2B26"/>
    <w:rsid w:val="006C3899"/>
    <w:rsid w:val="006C52EF"/>
    <w:rsid w:val="006D1172"/>
    <w:rsid w:val="006D5841"/>
    <w:rsid w:val="006E1523"/>
    <w:rsid w:val="006E17AE"/>
    <w:rsid w:val="006E6B11"/>
    <w:rsid w:val="006F160D"/>
    <w:rsid w:val="006F3CAC"/>
    <w:rsid w:val="006F6B3B"/>
    <w:rsid w:val="00700113"/>
    <w:rsid w:val="00701EB1"/>
    <w:rsid w:val="00715738"/>
    <w:rsid w:val="00715DF2"/>
    <w:rsid w:val="00737A99"/>
    <w:rsid w:val="0074160C"/>
    <w:rsid w:val="00745BC5"/>
    <w:rsid w:val="007567D9"/>
    <w:rsid w:val="007635C2"/>
    <w:rsid w:val="00765C57"/>
    <w:rsid w:val="00776B5C"/>
    <w:rsid w:val="00791839"/>
    <w:rsid w:val="00794983"/>
    <w:rsid w:val="00794A93"/>
    <w:rsid w:val="007A2DFF"/>
    <w:rsid w:val="007A3A2B"/>
    <w:rsid w:val="007A4E5B"/>
    <w:rsid w:val="007B2B39"/>
    <w:rsid w:val="007B550A"/>
    <w:rsid w:val="007C4570"/>
    <w:rsid w:val="007C51DA"/>
    <w:rsid w:val="007D234B"/>
    <w:rsid w:val="007D5DB8"/>
    <w:rsid w:val="007E1ADE"/>
    <w:rsid w:val="007F0169"/>
    <w:rsid w:val="007F7854"/>
    <w:rsid w:val="00800DDA"/>
    <w:rsid w:val="0080453E"/>
    <w:rsid w:val="00806DC9"/>
    <w:rsid w:val="00811992"/>
    <w:rsid w:val="00813B79"/>
    <w:rsid w:val="0081417E"/>
    <w:rsid w:val="0082052A"/>
    <w:rsid w:val="00825737"/>
    <w:rsid w:val="00826496"/>
    <w:rsid w:val="00827B94"/>
    <w:rsid w:val="00830E4C"/>
    <w:rsid w:val="008313A3"/>
    <w:rsid w:val="00834F69"/>
    <w:rsid w:val="00841C91"/>
    <w:rsid w:val="008451EB"/>
    <w:rsid w:val="00847EE8"/>
    <w:rsid w:val="008560B5"/>
    <w:rsid w:val="00862C5D"/>
    <w:rsid w:val="00863F54"/>
    <w:rsid w:val="00872D7E"/>
    <w:rsid w:val="00876340"/>
    <w:rsid w:val="008907A7"/>
    <w:rsid w:val="00894E0C"/>
    <w:rsid w:val="008976C6"/>
    <w:rsid w:val="008A69DE"/>
    <w:rsid w:val="008B0716"/>
    <w:rsid w:val="008B17D9"/>
    <w:rsid w:val="008B440F"/>
    <w:rsid w:val="008B57D6"/>
    <w:rsid w:val="008B710D"/>
    <w:rsid w:val="008B7A7E"/>
    <w:rsid w:val="008C636D"/>
    <w:rsid w:val="008D3CF3"/>
    <w:rsid w:val="008D41A2"/>
    <w:rsid w:val="008E28F0"/>
    <w:rsid w:val="008E2E2E"/>
    <w:rsid w:val="008E3CFC"/>
    <w:rsid w:val="008E3D89"/>
    <w:rsid w:val="008E59FD"/>
    <w:rsid w:val="008E5AB9"/>
    <w:rsid w:val="008F0C18"/>
    <w:rsid w:val="008F2DFD"/>
    <w:rsid w:val="008F3F58"/>
    <w:rsid w:val="008F4093"/>
    <w:rsid w:val="008F6E97"/>
    <w:rsid w:val="00900EAD"/>
    <w:rsid w:val="00905055"/>
    <w:rsid w:val="00910C14"/>
    <w:rsid w:val="00912169"/>
    <w:rsid w:val="00920373"/>
    <w:rsid w:val="00920AF0"/>
    <w:rsid w:val="009214D6"/>
    <w:rsid w:val="009228C2"/>
    <w:rsid w:val="00933E26"/>
    <w:rsid w:val="009344C2"/>
    <w:rsid w:val="00934583"/>
    <w:rsid w:val="0093741B"/>
    <w:rsid w:val="0094416A"/>
    <w:rsid w:val="00945724"/>
    <w:rsid w:val="00947C8F"/>
    <w:rsid w:val="009522F1"/>
    <w:rsid w:val="00953715"/>
    <w:rsid w:val="00955960"/>
    <w:rsid w:val="00962E4D"/>
    <w:rsid w:val="00971E2F"/>
    <w:rsid w:val="0097766D"/>
    <w:rsid w:val="00980CA1"/>
    <w:rsid w:val="00980F2A"/>
    <w:rsid w:val="0098301A"/>
    <w:rsid w:val="00983A47"/>
    <w:rsid w:val="00983E72"/>
    <w:rsid w:val="00985C26"/>
    <w:rsid w:val="00987D48"/>
    <w:rsid w:val="00991172"/>
    <w:rsid w:val="00996CFE"/>
    <w:rsid w:val="009A0F49"/>
    <w:rsid w:val="009A460B"/>
    <w:rsid w:val="009A76E2"/>
    <w:rsid w:val="009B75D4"/>
    <w:rsid w:val="009C1E23"/>
    <w:rsid w:val="009D05F2"/>
    <w:rsid w:val="009D479A"/>
    <w:rsid w:val="009D4873"/>
    <w:rsid w:val="009D58FD"/>
    <w:rsid w:val="009D78F7"/>
    <w:rsid w:val="009E16D2"/>
    <w:rsid w:val="009E3311"/>
    <w:rsid w:val="009E7505"/>
    <w:rsid w:val="00A05883"/>
    <w:rsid w:val="00A30D6E"/>
    <w:rsid w:val="00A312F2"/>
    <w:rsid w:val="00A3222F"/>
    <w:rsid w:val="00A3228A"/>
    <w:rsid w:val="00A32CE4"/>
    <w:rsid w:val="00A36B1F"/>
    <w:rsid w:val="00A36DC5"/>
    <w:rsid w:val="00A37D94"/>
    <w:rsid w:val="00A44B0B"/>
    <w:rsid w:val="00A44F2F"/>
    <w:rsid w:val="00A46EC6"/>
    <w:rsid w:val="00A47A76"/>
    <w:rsid w:val="00A519D6"/>
    <w:rsid w:val="00A53ACC"/>
    <w:rsid w:val="00A54050"/>
    <w:rsid w:val="00A54AA1"/>
    <w:rsid w:val="00A639E9"/>
    <w:rsid w:val="00A71C59"/>
    <w:rsid w:val="00A757F2"/>
    <w:rsid w:val="00A803FD"/>
    <w:rsid w:val="00A84575"/>
    <w:rsid w:val="00A869EB"/>
    <w:rsid w:val="00A874F4"/>
    <w:rsid w:val="00AA09EE"/>
    <w:rsid w:val="00AA0F50"/>
    <w:rsid w:val="00AA1989"/>
    <w:rsid w:val="00AA1D9F"/>
    <w:rsid w:val="00AA449A"/>
    <w:rsid w:val="00AA4FEF"/>
    <w:rsid w:val="00AA50D0"/>
    <w:rsid w:val="00AB0301"/>
    <w:rsid w:val="00AB3586"/>
    <w:rsid w:val="00AB3A45"/>
    <w:rsid w:val="00AC159A"/>
    <w:rsid w:val="00AC56CE"/>
    <w:rsid w:val="00AC5790"/>
    <w:rsid w:val="00AD0D1C"/>
    <w:rsid w:val="00AE1190"/>
    <w:rsid w:val="00AE320C"/>
    <w:rsid w:val="00AE33CA"/>
    <w:rsid w:val="00AF1F2C"/>
    <w:rsid w:val="00AF6DB0"/>
    <w:rsid w:val="00AF7C25"/>
    <w:rsid w:val="00B10C56"/>
    <w:rsid w:val="00B11CB5"/>
    <w:rsid w:val="00B1348D"/>
    <w:rsid w:val="00B205BF"/>
    <w:rsid w:val="00B23231"/>
    <w:rsid w:val="00B25C30"/>
    <w:rsid w:val="00B27E53"/>
    <w:rsid w:val="00B33D1C"/>
    <w:rsid w:val="00B33F1A"/>
    <w:rsid w:val="00B35AB9"/>
    <w:rsid w:val="00B35AD5"/>
    <w:rsid w:val="00B367F1"/>
    <w:rsid w:val="00B41741"/>
    <w:rsid w:val="00B442DD"/>
    <w:rsid w:val="00B4686D"/>
    <w:rsid w:val="00B57FAE"/>
    <w:rsid w:val="00B60DA7"/>
    <w:rsid w:val="00B62FCE"/>
    <w:rsid w:val="00B73717"/>
    <w:rsid w:val="00B8560F"/>
    <w:rsid w:val="00B86AE0"/>
    <w:rsid w:val="00B8721C"/>
    <w:rsid w:val="00B92287"/>
    <w:rsid w:val="00B97524"/>
    <w:rsid w:val="00B97A4E"/>
    <w:rsid w:val="00B97AD0"/>
    <w:rsid w:val="00BA617A"/>
    <w:rsid w:val="00BA6617"/>
    <w:rsid w:val="00BA799F"/>
    <w:rsid w:val="00BB01EB"/>
    <w:rsid w:val="00BB03D6"/>
    <w:rsid w:val="00BB12B5"/>
    <w:rsid w:val="00BC3F25"/>
    <w:rsid w:val="00BD49B7"/>
    <w:rsid w:val="00BE55C9"/>
    <w:rsid w:val="00BE5DF4"/>
    <w:rsid w:val="00BF08AD"/>
    <w:rsid w:val="00BF12A0"/>
    <w:rsid w:val="00BF226D"/>
    <w:rsid w:val="00BF337F"/>
    <w:rsid w:val="00BF46E3"/>
    <w:rsid w:val="00BF6244"/>
    <w:rsid w:val="00BF75FE"/>
    <w:rsid w:val="00C0159D"/>
    <w:rsid w:val="00C03AC2"/>
    <w:rsid w:val="00C03BAB"/>
    <w:rsid w:val="00C07275"/>
    <w:rsid w:val="00C11367"/>
    <w:rsid w:val="00C11ADA"/>
    <w:rsid w:val="00C12599"/>
    <w:rsid w:val="00C128E8"/>
    <w:rsid w:val="00C14FC1"/>
    <w:rsid w:val="00C151E7"/>
    <w:rsid w:val="00C1520A"/>
    <w:rsid w:val="00C227EA"/>
    <w:rsid w:val="00C32BFD"/>
    <w:rsid w:val="00C340C3"/>
    <w:rsid w:val="00C36CDB"/>
    <w:rsid w:val="00C40C3A"/>
    <w:rsid w:val="00C46831"/>
    <w:rsid w:val="00C543B0"/>
    <w:rsid w:val="00C566BD"/>
    <w:rsid w:val="00C569BE"/>
    <w:rsid w:val="00C62E59"/>
    <w:rsid w:val="00C63004"/>
    <w:rsid w:val="00C6530E"/>
    <w:rsid w:val="00C66686"/>
    <w:rsid w:val="00C71413"/>
    <w:rsid w:val="00C73441"/>
    <w:rsid w:val="00C753B0"/>
    <w:rsid w:val="00C85977"/>
    <w:rsid w:val="00C860C0"/>
    <w:rsid w:val="00C94F8D"/>
    <w:rsid w:val="00C97D60"/>
    <w:rsid w:val="00CA034D"/>
    <w:rsid w:val="00CA079B"/>
    <w:rsid w:val="00CB38FF"/>
    <w:rsid w:val="00CB6E43"/>
    <w:rsid w:val="00CC0E4A"/>
    <w:rsid w:val="00CC3DF1"/>
    <w:rsid w:val="00CD1000"/>
    <w:rsid w:val="00CD35F8"/>
    <w:rsid w:val="00CD413E"/>
    <w:rsid w:val="00CD4161"/>
    <w:rsid w:val="00CD52F7"/>
    <w:rsid w:val="00CE45C8"/>
    <w:rsid w:val="00CE5C15"/>
    <w:rsid w:val="00CF054A"/>
    <w:rsid w:val="00D043B5"/>
    <w:rsid w:val="00D1211C"/>
    <w:rsid w:val="00D12A0C"/>
    <w:rsid w:val="00D12C01"/>
    <w:rsid w:val="00D16236"/>
    <w:rsid w:val="00D2138F"/>
    <w:rsid w:val="00D259AC"/>
    <w:rsid w:val="00D31483"/>
    <w:rsid w:val="00D35AAD"/>
    <w:rsid w:val="00D35EC8"/>
    <w:rsid w:val="00D378C0"/>
    <w:rsid w:val="00D40ECF"/>
    <w:rsid w:val="00D42F86"/>
    <w:rsid w:val="00D43069"/>
    <w:rsid w:val="00D436FE"/>
    <w:rsid w:val="00D43F88"/>
    <w:rsid w:val="00D456BA"/>
    <w:rsid w:val="00D50B6D"/>
    <w:rsid w:val="00D54DF3"/>
    <w:rsid w:val="00D55293"/>
    <w:rsid w:val="00D5547E"/>
    <w:rsid w:val="00D56B49"/>
    <w:rsid w:val="00D64364"/>
    <w:rsid w:val="00D7056F"/>
    <w:rsid w:val="00D73388"/>
    <w:rsid w:val="00D7364E"/>
    <w:rsid w:val="00D81E73"/>
    <w:rsid w:val="00D84FFC"/>
    <w:rsid w:val="00D86E43"/>
    <w:rsid w:val="00D876D9"/>
    <w:rsid w:val="00D91C64"/>
    <w:rsid w:val="00D9478F"/>
    <w:rsid w:val="00DA03CD"/>
    <w:rsid w:val="00DA09C7"/>
    <w:rsid w:val="00DA3ECC"/>
    <w:rsid w:val="00DB6117"/>
    <w:rsid w:val="00DC0DB7"/>
    <w:rsid w:val="00DC5395"/>
    <w:rsid w:val="00DC5DBA"/>
    <w:rsid w:val="00DD0083"/>
    <w:rsid w:val="00DD36D7"/>
    <w:rsid w:val="00DD3E85"/>
    <w:rsid w:val="00DD4408"/>
    <w:rsid w:val="00DE6E44"/>
    <w:rsid w:val="00DE7AD1"/>
    <w:rsid w:val="00DF3195"/>
    <w:rsid w:val="00DF387C"/>
    <w:rsid w:val="00E03C6F"/>
    <w:rsid w:val="00E0427D"/>
    <w:rsid w:val="00E11FA7"/>
    <w:rsid w:val="00E12C51"/>
    <w:rsid w:val="00E16990"/>
    <w:rsid w:val="00E17260"/>
    <w:rsid w:val="00E21140"/>
    <w:rsid w:val="00E2207E"/>
    <w:rsid w:val="00E23213"/>
    <w:rsid w:val="00E2539B"/>
    <w:rsid w:val="00E32C8C"/>
    <w:rsid w:val="00E36858"/>
    <w:rsid w:val="00E46A8B"/>
    <w:rsid w:val="00E52237"/>
    <w:rsid w:val="00E5321E"/>
    <w:rsid w:val="00E61E0C"/>
    <w:rsid w:val="00E630ED"/>
    <w:rsid w:val="00E66912"/>
    <w:rsid w:val="00E72EB5"/>
    <w:rsid w:val="00E73474"/>
    <w:rsid w:val="00E76743"/>
    <w:rsid w:val="00E83172"/>
    <w:rsid w:val="00E8425E"/>
    <w:rsid w:val="00E87A86"/>
    <w:rsid w:val="00E92B60"/>
    <w:rsid w:val="00EA08D8"/>
    <w:rsid w:val="00EA21C4"/>
    <w:rsid w:val="00EB1D5A"/>
    <w:rsid w:val="00EB1F39"/>
    <w:rsid w:val="00EB4645"/>
    <w:rsid w:val="00EB4983"/>
    <w:rsid w:val="00EB4B29"/>
    <w:rsid w:val="00EC0F9A"/>
    <w:rsid w:val="00EC54FD"/>
    <w:rsid w:val="00ED0D2D"/>
    <w:rsid w:val="00ED20BF"/>
    <w:rsid w:val="00ED572D"/>
    <w:rsid w:val="00EE0D25"/>
    <w:rsid w:val="00EE55BE"/>
    <w:rsid w:val="00EE71B9"/>
    <w:rsid w:val="00EF5006"/>
    <w:rsid w:val="00EF600D"/>
    <w:rsid w:val="00F05874"/>
    <w:rsid w:val="00F06C35"/>
    <w:rsid w:val="00F112D3"/>
    <w:rsid w:val="00F21183"/>
    <w:rsid w:val="00F21373"/>
    <w:rsid w:val="00F2164B"/>
    <w:rsid w:val="00F2212C"/>
    <w:rsid w:val="00F25E8F"/>
    <w:rsid w:val="00F517ED"/>
    <w:rsid w:val="00F52631"/>
    <w:rsid w:val="00F534B4"/>
    <w:rsid w:val="00F56398"/>
    <w:rsid w:val="00F6214F"/>
    <w:rsid w:val="00F623AB"/>
    <w:rsid w:val="00F64004"/>
    <w:rsid w:val="00F64583"/>
    <w:rsid w:val="00F66A66"/>
    <w:rsid w:val="00F66E0C"/>
    <w:rsid w:val="00F712E8"/>
    <w:rsid w:val="00F72E53"/>
    <w:rsid w:val="00F800DA"/>
    <w:rsid w:val="00F80284"/>
    <w:rsid w:val="00F83181"/>
    <w:rsid w:val="00F917D2"/>
    <w:rsid w:val="00F94325"/>
    <w:rsid w:val="00FB0203"/>
    <w:rsid w:val="00FB5E40"/>
    <w:rsid w:val="00FB6388"/>
    <w:rsid w:val="00FC107B"/>
    <w:rsid w:val="00FC1A4F"/>
    <w:rsid w:val="00FC64EE"/>
    <w:rsid w:val="00FD0F17"/>
    <w:rsid w:val="00FD2463"/>
    <w:rsid w:val="00FD5C47"/>
    <w:rsid w:val="00FE09AE"/>
    <w:rsid w:val="00FE54E8"/>
    <w:rsid w:val="00FE72AE"/>
    <w:rsid w:val="00FE7D79"/>
    <w:rsid w:val="00FF22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421CF6-A813-4E15-AD00-A33048D9C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631"/>
  </w:style>
  <w:style w:type="paragraph" w:styleId="Ttulo3">
    <w:name w:val="heading 3"/>
    <w:basedOn w:val="Normal"/>
    <w:next w:val="Normal"/>
    <w:link w:val="Ttulo3Car"/>
    <w:uiPriority w:val="9"/>
    <w:unhideWhenUsed/>
    <w:qFormat/>
    <w:rsid w:val="00AF7C25"/>
    <w:pPr>
      <w:keepNext/>
      <w:keepLines/>
      <w:spacing w:before="200" w:after="0"/>
      <w:outlineLvl w:val="2"/>
    </w:pPr>
    <w:rPr>
      <w:rFonts w:ascii="Cambria" w:eastAsia="Times New Roman" w:hAnsi="Cambria" w:cs="Times New Roman"/>
      <w:b/>
      <w:bCs/>
      <w:color w:val="4F81BD"/>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3A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3A47"/>
  </w:style>
  <w:style w:type="paragraph" w:styleId="Piedepgina">
    <w:name w:val="footer"/>
    <w:basedOn w:val="Normal"/>
    <w:link w:val="PiedepginaCar"/>
    <w:uiPriority w:val="99"/>
    <w:unhideWhenUsed/>
    <w:rsid w:val="00983A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3A47"/>
  </w:style>
  <w:style w:type="paragraph" w:styleId="Textodeglobo">
    <w:name w:val="Balloon Text"/>
    <w:basedOn w:val="Normal"/>
    <w:link w:val="TextodegloboCar"/>
    <w:uiPriority w:val="99"/>
    <w:semiHidden/>
    <w:unhideWhenUsed/>
    <w:rsid w:val="00983A4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3A47"/>
    <w:rPr>
      <w:rFonts w:ascii="Tahoma" w:hAnsi="Tahoma" w:cs="Tahoma"/>
      <w:sz w:val="16"/>
      <w:szCs w:val="16"/>
    </w:rPr>
  </w:style>
  <w:style w:type="paragraph" w:styleId="Prrafodelista">
    <w:name w:val="List Paragraph"/>
    <w:basedOn w:val="Normal"/>
    <w:uiPriority w:val="34"/>
    <w:qFormat/>
    <w:rsid w:val="00245C33"/>
    <w:pPr>
      <w:spacing w:after="0" w:line="240" w:lineRule="auto"/>
      <w:ind w:left="708"/>
    </w:pPr>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rsid w:val="00AF7C25"/>
    <w:rPr>
      <w:rFonts w:ascii="Cambria" w:eastAsia="Times New Roman" w:hAnsi="Cambria" w:cs="Times New Roman"/>
      <w:b/>
      <w:bCs/>
      <w:color w:val="4F81BD"/>
      <w:sz w:val="20"/>
      <w:szCs w:val="20"/>
      <w:lang w:val="x-none" w:eastAsia="x-none"/>
    </w:rPr>
  </w:style>
  <w:style w:type="table" w:styleId="Tablaconcuadrcula">
    <w:name w:val="Table Grid"/>
    <w:basedOn w:val="Tablanormal"/>
    <w:uiPriority w:val="59"/>
    <w:rsid w:val="0094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869E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470B6C"/>
    <w:rPr>
      <w:color w:val="0000FF"/>
      <w:u w:val="single"/>
    </w:rPr>
  </w:style>
  <w:style w:type="character" w:styleId="Textoennegrita">
    <w:name w:val="Strong"/>
    <w:basedOn w:val="Fuentedeprrafopredeter"/>
    <w:uiPriority w:val="22"/>
    <w:qFormat/>
    <w:rsid w:val="00470B6C"/>
    <w:rPr>
      <w:b/>
      <w:bCs/>
    </w:rPr>
  </w:style>
  <w:style w:type="character" w:styleId="Hipervnculovisitado">
    <w:name w:val="FollowedHyperlink"/>
    <w:basedOn w:val="Fuentedeprrafopredeter"/>
    <w:uiPriority w:val="99"/>
    <w:semiHidden/>
    <w:unhideWhenUsed/>
    <w:rsid w:val="00E61E0C"/>
    <w:rPr>
      <w:color w:val="800080" w:themeColor="followedHyperlink"/>
      <w:u w:val="single"/>
    </w:rPr>
  </w:style>
  <w:style w:type="paragraph" w:styleId="Textonotapie">
    <w:name w:val="footnote text"/>
    <w:basedOn w:val="Normal"/>
    <w:link w:val="TextonotapieCar"/>
    <w:semiHidden/>
    <w:rsid w:val="00C94F8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C94F8D"/>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C94F8D"/>
    <w:rPr>
      <w:vertAlign w:val="superscript"/>
    </w:rPr>
  </w:style>
  <w:style w:type="character" w:styleId="Refdecomentario">
    <w:name w:val="annotation reference"/>
    <w:basedOn w:val="Fuentedeprrafopredeter"/>
    <w:uiPriority w:val="99"/>
    <w:semiHidden/>
    <w:unhideWhenUsed/>
    <w:rsid w:val="00AC5790"/>
    <w:rPr>
      <w:sz w:val="16"/>
      <w:szCs w:val="16"/>
    </w:rPr>
  </w:style>
  <w:style w:type="paragraph" w:styleId="Textocomentario">
    <w:name w:val="annotation text"/>
    <w:basedOn w:val="Normal"/>
    <w:link w:val="TextocomentarioCar"/>
    <w:uiPriority w:val="99"/>
    <w:semiHidden/>
    <w:unhideWhenUsed/>
    <w:rsid w:val="00AC57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5790"/>
    <w:rPr>
      <w:sz w:val="20"/>
      <w:szCs w:val="20"/>
    </w:rPr>
  </w:style>
  <w:style w:type="paragraph" w:styleId="Asuntodelcomentario">
    <w:name w:val="annotation subject"/>
    <w:basedOn w:val="Textocomentario"/>
    <w:next w:val="Textocomentario"/>
    <w:link w:val="AsuntodelcomentarioCar"/>
    <w:uiPriority w:val="99"/>
    <w:semiHidden/>
    <w:unhideWhenUsed/>
    <w:rsid w:val="00AC5790"/>
    <w:rPr>
      <w:b/>
      <w:bCs/>
    </w:rPr>
  </w:style>
  <w:style w:type="character" w:customStyle="1" w:styleId="AsuntodelcomentarioCar">
    <w:name w:val="Asunto del comentario Car"/>
    <w:basedOn w:val="TextocomentarioCar"/>
    <w:link w:val="Asuntodelcomentario"/>
    <w:uiPriority w:val="99"/>
    <w:semiHidden/>
    <w:rsid w:val="00AC57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410">
      <w:bodyDiv w:val="1"/>
      <w:marLeft w:val="0"/>
      <w:marRight w:val="0"/>
      <w:marTop w:val="0"/>
      <w:marBottom w:val="0"/>
      <w:divBdr>
        <w:top w:val="none" w:sz="0" w:space="0" w:color="auto"/>
        <w:left w:val="none" w:sz="0" w:space="0" w:color="auto"/>
        <w:bottom w:val="none" w:sz="0" w:space="0" w:color="auto"/>
        <w:right w:val="none" w:sz="0" w:space="0" w:color="auto"/>
      </w:divBdr>
    </w:div>
    <w:div w:id="29767404">
      <w:bodyDiv w:val="1"/>
      <w:marLeft w:val="0"/>
      <w:marRight w:val="0"/>
      <w:marTop w:val="0"/>
      <w:marBottom w:val="0"/>
      <w:divBdr>
        <w:top w:val="none" w:sz="0" w:space="0" w:color="auto"/>
        <w:left w:val="none" w:sz="0" w:space="0" w:color="auto"/>
        <w:bottom w:val="none" w:sz="0" w:space="0" w:color="auto"/>
        <w:right w:val="none" w:sz="0" w:space="0" w:color="auto"/>
      </w:divBdr>
    </w:div>
    <w:div w:id="165367794">
      <w:bodyDiv w:val="1"/>
      <w:marLeft w:val="0"/>
      <w:marRight w:val="0"/>
      <w:marTop w:val="0"/>
      <w:marBottom w:val="0"/>
      <w:divBdr>
        <w:top w:val="none" w:sz="0" w:space="0" w:color="auto"/>
        <w:left w:val="none" w:sz="0" w:space="0" w:color="auto"/>
        <w:bottom w:val="none" w:sz="0" w:space="0" w:color="auto"/>
        <w:right w:val="none" w:sz="0" w:space="0" w:color="auto"/>
      </w:divBdr>
    </w:div>
    <w:div w:id="438377500">
      <w:bodyDiv w:val="1"/>
      <w:marLeft w:val="0"/>
      <w:marRight w:val="0"/>
      <w:marTop w:val="0"/>
      <w:marBottom w:val="0"/>
      <w:divBdr>
        <w:top w:val="none" w:sz="0" w:space="0" w:color="auto"/>
        <w:left w:val="none" w:sz="0" w:space="0" w:color="auto"/>
        <w:bottom w:val="none" w:sz="0" w:space="0" w:color="auto"/>
        <w:right w:val="none" w:sz="0" w:space="0" w:color="auto"/>
      </w:divBdr>
    </w:div>
    <w:div w:id="445931872">
      <w:bodyDiv w:val="1"/>
      <w:marLeft w:val="0"/>
      <w:marRight w:val="0"/>
      <w:marTop w:val="0"/>
      <w:marBottom w:val="0"/>
      <w:divBdr>
        <w:top w:val="none" w:sz="0" w:space="0" w:color="auto"/>
        <w:left w:val="none" w:sz="0" w:space="0" w:color="auto"/>
        <w:bottom w:val="none" w:sz="0" w:space="0" w:color="auto"/>
        <w:right w:val="none" w:sz="0" w:space="0" w:color="auto"/>
      </w:divBdr>
    </w:div>
    <w:div w:id="520051160">
      <w:bodyDiv w:val="1"/>
      <w:marLeft w:val="0"/>
      <w:marRight w:val="0"/>
      <w:marTop w:val="0"/>
      <w:marBottom w:val="0"/>
      <w:divBdr>
        <w:top w:val="none" w:sz="0" w:space="0" w:color="auto"/>
        <w:left w:val="none" w:sz="0" w:space="0" w:color="auto"/>
        <w:bottom w:val="none" w:sz="0" w:space="0" w:color="auto"/>
        <w:right w:val="none" w:sz="0" w:space="0" w:color="auto"/>
      </w:divBdr>
    </w:div>
    <w:div w:id="651982349">
      <w:bodyDiv w:val="1"/>
      <w:marLeft w:val="0"/>
      <w:marRight w:val="0"/>
      <w:marTop w:val="0"/>
      <w:marBottom w:val="0"/>
      <w:divBdr>
        <w:top w:val="none" w:sz="0" w:space="0" w:color="auto"/>
        <w:left w:val="none" w:sz="0" w:space="0" w:color="auto"/>
        <w:bottom w:val="none" w:sz="0" w:space="0" w:color="auto"/>
        <w:right w:val="none" w:sz="0" w:space="0" w:color="auto"/>
      </w:divBdr>
    </w:div>
    <w:div w:id="714698440">
      <w:bodyDiv w:val="1"/>
      <w:marLeft w:val="0"/>
      <w:marRight w:val="0"/>
      <w:marTop w:val="0"/>
      <w:marBottom w:val="0"/>
      <w:divBdr>
        <w:top w:val="none" w:sz="0" w:space="0" w:color="auto"/>
        <w:left w:val="none" w:sz="0" w:space="0" w:color="auto"/>
        <w:bottom w:val="none" w:sz="0" w:space="0" w:color="auto"/>
        <w:right w:val="none" w:sz="0" w:space="0" w:color="auto"/>
      </w:divBdr>
    </w:div>
    <w:div w:id="818617429">
      <w:bodyDiv w:val="1"/>
      <w:marLeft w:val="0"/>
      <w:marRight w:val="0"/>
      <w:marTop w:val="0"/>
      <w:marBottom w:val="0"/>
      <w:divBdr>
        <w:top w:val="none" w:sz="0" w:space="0" w:color="auto"/>
        <w:left w:val="none" w:sz="0" w:space="0" w:color="auto"/>
        <w:bottom w:val="none" w:sz="0" w:space="0" w:color="auto"/>
        <w:right w:val="none" w:sz="0" w:space="0" w:color="auto"/>
      </w:divBdr>
    </w:div>
    <w:div w:id="963385001">
      <w:bodyDiv w:val="1"/>
      <w:marLeft w:val="0"/>
      <w:marRight w:val="0"/>
      <w:marTop w:val="0"/>
      <w:marBottom w:val="0"/>
      <w:divBdr>
        <w:top w:val="none" w:sz="0" w:space="0" w:color="auto"/>
        <w:left w:val="none" w:sz="0" w:space="0" w:color="auto"/>
        <w:bottom w:val="none" w:sz="0" w:space="0" w:color="auto"/>
        <w:right w:val="none" w:sz="0" w:space="0" w:color="auto"/>
      </w:divBdr>
    </w:div>
    <w:div w:id="1057822367">
      <w:bodyDiv w:val="1"/>
      <w:marLeft w:val="0"/>
      <w:marRight w:val="0"/>
      <w:marTop w:val="0"/>
      <w:marBottom w:val="0"/>
      <w:divBdr>
        <w:top w:val="none" w:sz="0" w:space="0" w:color="auto"/>
        <w:left w:val="none" w:sz="0" w:space="0" w:color="auto"/>
        <w:bottom w:val="none" w:sz="0" w:space="0" w:color="auto"/>
        <w:right w:val="none" w:sz="0" w:space="0" w:color="auto"/>
      </w:divBdr>
    </w:div>
    <w:div w:id="1812988575">
      <w:bodyDiv w:val="1"/>
      <w:marLeft w:val="0"/>
      <w:marRight w:val="0"/>
      <w:marTop w:val="0"/>
      <w:marBottom w:val="0"/>
      <w:divBdr>
        <w:top w:val="none" w:sz="0" w:space="0" w:color="auto"/>
        <w:left w:val="none" w:sz="0" w:space="0" w:color="auto"/>
        <w:bottom w:val="none" w:sz="0" w:space="0" w:color="auto"/>
        <w:right w:val="none" w:sz="0" w:space="0" w:color="auto"/>
      </w:divBdr>
      <w:divsChild>
        <w:div w:id="391971082">
          <w:marLeft w:val="0"/>
          <w:marRight w:val="0"/>
          <w:marTop w:val="0"/>
          <w:marBottom w:val="0"/>
          <w:divBdr>
            <w:top w:val="none" w:sz="0" w:space="0" w:color="auto"/>
            <w:left w:val="none" w:sz="0" w:space="0" w:color="auto"/>
            <w:bottom w:val="none" w:sz="0" w:space="0" w:color="auto"/>
            <w:right w:val="none" w:sz="0" w:space="0" w:color="auto"/>
          </w:divBdr>
        </w:div>
      </w:divsChild>
    </w:div>
    <w:div w:id="193443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fl.go.cr/transparencia-empresarial/compras-y-contrataciones"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4.emf"/><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chart" Target="charts/chart1.xml"/><Relationship Id="rId27" Type="http://schemas.openxmlformats.org/officeDocument/2006/relationships/header" Target="head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Libro2"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rvalverde\AppData\Local\Microsoft\Windows\INetCache\Content.Outlook\HUQ7QM9O\informacion%20para%20informe%202019.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R"/>
              <a:t>Modificaciones al Plan de Adquisiciones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R"/>
        </a:p>
      </c:txPr>
    </c:title>
    <c:autoTitleDeleted val="0"/>
    <c:view3D>
      <c:rotX val="15"/>
      <c:rotY val="20"/>
      <c:depthPercent val="100"/>
      <c:rAngAx val="1"/>
    </c:view3D>
    <c:floor>
      <c:thickness val="0"/>
      <c:spPr>
        <a:noFill/>
        <a:ln>
          <a:solidFill>
            <a:schemeClr val="accent1"/>
          </a:solidFill>
        </a:ln>
        <a:effectLst/>
        <a:sp3d>
          <a:contourClr>
            <a:schemeClr val="accent1"/>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'Modificac Plan de compras 2019'!$M$7</c:f>
              <c:strCache>
                <c:ptCount val="1"/>
                <c:pt idx="0">
                  <c:v>Plan Original</c:v>
                </c:pt>
              </c:strCache>
            </c:strRef>
          </c:tx>
          <c:spPr>
            <a:solidFill>
              <a:schemeClr val="accent1"/>
            </a:solidFill>
            <a:ln>
              <a:noFill/>
            </a:ln>
            <a:effectLst/>
            <a:sp3d/>
          </c:spPr>
          <c:invertIfNegative val="0"/>
          <c:cat>
            <c:strRef>
              <c:f>'Modificac Plan de compras 2019'!$O$6</c:f>
              <c:strCache>
                <c:ptCount val="1"/>
                <c:pt idx="0">
                  <c:v>Variación</c:v>
                </c:pt>
              </c:strCache>
            </c:strRef>
          </c:cat>
          <c:val>
            <c:numRef>
              <c:f>'Modificac Plan de compras 2019'!$O$7</c:f>
              <c:numCache>
                <c:formatCode>0%</c:formatCode>
                <c:ptCount val="1"/>
                <c:pt idx="0">
                  <c:v>1</c:v>
                </c:pt>
              </c:numCache>
            </c:numRef>
          </c:val>
        </c:ser>
        <c:ser>
          <c:idx val="1"/>
          <c:order val="1"/>
          <c:tx>
            <c:strRef>
              <c:f>'Modificac Plan de compras 2019'!$M$8</c:f>
              <c:strCache>
                <c:ptCount val="1"/>
                <c:pt idx="0">
                  <c:v>inclusiones</c:v>
                </c:pt>
              </c:strCache>
            </c:strRef>
          </c:tx>
          <c:spPr>
            <a:solidFill>
              <a:schemeClr val="accent2"/>
            </a:solidFill>
            <a:ln>
              <a:noFill/>
            </a:ln>
            <a:effectLst/>
            <a:sp3d/>
          </c:spPr>
          <c:invertIfNegative val="0"/>
          <c:dLbls>
            <c:dLbl>
              <c:idx val="0"/>
              <c:layout>
                <c:manualLayout>
                  <c:x val="3.3333333333333333E-2"/>
                  <c:y val="-4.629629629629629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'Modificac Plan de compras 2019'!$O$6</c:f>
              <c:strCache>
                <c:ptCount val="1"/>
                <c:pt idx="0">
                  <c:v>Variación</c:v>
                </c:pt>
              </c:strCache>
            </c:strRef>
          </c:cat>
          <c:val>
            <c:numRef>
              <c:f>'Modificac Plan de compras 2019'!$O$8</c:f>
              <c:numCache>
                <c:formatCode>0%</c:formatCode>
                <c:ptCount val="1"/>
                <c:pt idx="0">
                  <c:v>2</c:v>
                </c:pt>
              </c:numCache>
            </c:numRef>
          </c:val>
        </c:ser>
        <c:ser>
          <c:idx val="2"/>
          <c:order val="2"/>
          <c:tx>
            <c:strRef>
              <c:f>'Modificac Plan de compras 2019'!$M$9</c:f>
              <c:strCache>
                <c:ptCount val="1"/>
                <c:pt idx="0">
                  <c:v>exclusiones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'Modificac Plan de compras 2019'!$O$6</c:f>
              <c:strCache>
                <c:ptCount val="1"/>
                <c:pt idx="0">
                  <c:v>Variación</c:v>
                </c:pt>
              </c:strCache>
            </c:strRef>
          </c:cat>
          <c:val>
            <c:numRef>
              <c:f>'Modificac Plan de compras 2019'!$O$9</c:f>
              <c:numCache>
                <c:formatCode>0%</c:formatCode>
                <c:ptCount val="1"/>
                <c:pt idx="0">
                  <c:v>-1.2</c:v>
                </c:pt>
              </c:numCache>
            </c:numRef>
          </c:val>
        </c:ser>
        <c:ser>
          <c:idx val="3"/>
          <c:order val="3"/>
          <c:tx>
            <c:strRef>
              <c:f>'Modificac Plan de compras 2019'!$M$10</c:f>
              <c:strCache>
                <c:ptCount val="1"/>
                <c:pt idx="0">
                  <c:v>Plan Final</c:v>
                </c:pt>
              </c:strCache>
            </c:strRef>
          </c:tx>
          <c:spPr>
            <a:solidFill>
              <a:schemeClr val="accent4"/>
            </a:solidFill>
            <a:ln>
              <a:noFill/>
            </a:ln>
            <a:effectLst/>
            <a:sp3d/>
          </c:spPr>
          <c:invertIfNegative val="0"/>
          <c:dLbls>
            <c:dLbl>
              <c:idx val="0"/>
              <c:layout>
                <c:manualLayout>
                  <c:x val="3.0555555555555454E-2"/>
                  <c:y val="-5.55555555555555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'Modificac Plan de compras 2019'!$O$6</c:f>
              <c:strCache>
                <c:ptCount val="1"/>
                <c:pt idx="0">
                  <c:v>Variación</c:v>
                </c:pt>
              </c:strCache>
            </c:strRef>
          </c:cat>
          <c:val>
            <c:numRef>
              <c:f>'Modificac Plan de compras 2019'!$O$10</c:f>
              <c:numCache>
                <c:formatCode>0%</c:formatCode>
                <c:ptCount val="1"/>
                <c:pt idx="0">
                  <c:v>1.8</c:v>
                </c:pt>
              </c:numCache>
            </c:numRef>
          </c:val>
        </c:ser>
        <c:dLbls>
          <c:showLegendKey val="0"/>
          <c:showVal val="0"/>
          <c:showCatName val="0"/>
          <c:showSerName val="0"/>
          <c:showPercent val="0"/>
          <c:showBubbleSize val="0"/>
        </c:dLbls>
        <c:gapWidth val="150"/>
        <c:shape val="box"/>
        <c:axId val="227420440"/>
        <c:axId val="227420832"/>
        <c:axId val="0"/>
      </c:bar3DChart>
      <c:catAx>
        <c:axId val="227420440"/>
        <c:scaling>
          <c:orientation val="minMax"/>
        </c:scaling>
        <c:delete val="1"/>
        <c:axPos val="b"/>
        <c:numFmt formatCode="General" sourceLinked="1"/>
        <c:majorTickMark val="none"/>
        <c:minorTickMark val="none"/>
        <c:tickLblPos val="nextTo"/>
        <c:crossAx val="227420832"/>
        <c:crosses val="autoZero"/>
        <c:auto val="1"/>
        <c:lblAlgn val="ctr"/>
        <c:lblOffset val="100"/>
        <c:noMultiLvlLbl val="0"/>
      </c:catAx>
      <c:valAx>
        <c:axId val="22742083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227420440"/>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legend>
    <c:plotVisOnly val="1"/>
    <c:dispBlanksAs val="gap"/>
    <c:showDLblsOverMax val="0"/>
  </c:chart>
  <c:spPr>
    <a:solidFill>
      <a:schemeClr val="bg1"/>
    </a:solidFill>
    <a:ln w="12700"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Duración de los concursos de adquisición</a:t>
            </a:r>
            <a:r>
              <a:rPr lang="en-US" baseline="0"/>
              <a:t> del año 2019</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s-CR"/>
        </a:p>
      </c:txPr>
    </c:title>
    <c:autoTitleDeleted val="0"/>
    <c:plotArea>
      <c:layout/>
      <c:barChart>
        <c:barDir val="bar"/>
        <c:grouping val="clustered"/>
        <c:varyColors val="0"/>
        <c:ser>
          <c:idx val="0"/>
          <c:order val="0"/>
          <c:tx>
            <c:strRef>
              <c:f>'Contrataciones ejecutadas'!$B$3:$B$4</c:f>
              <c:strCache>
                <c:ptCount val="2"/>
                <c:pt idx="0">
                  <c:v>Duración en días hábiles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'Contrataciones ejecutadas'!$A$5:$A$12</c:f>
              <c:strCache>
                <c:ptCount val="5"/>
                <c:pt idx="0">
                  <c:v>SUMINISTRO E INSTALACION DE</c:v>
                </c:pt>
                <c:pt idx="1">
                  <c:v>SUMINISTRO E INSTALACION DE SISTEMA DE PROTECCIÓN CONTRA</c:v>
                </c:pt>
                <c:pt idx="2">
                  <c:v>EQUIPO HIDRAULICO Y CAMIONES</c:v>
                </c:pt>
                <c:pt idx="3">
                  <c:v>VEHICULOS ELECTRICOS </c:v>
                </c:pt>
                <c:pt idx="4">
                  <c:v>INTERRUPTORES </c:v>
                </c:pt>
              </c:strCache>
            </c:strRef>
          </c:cat>
          <c:val>
            <c:numRef>
              <c:f>'Contrataciones ejecutadas'!$B$5:$B$12</c:f>
              <c:numCache>
                <c:formatCode>General</c:formatCode>
                <c:ptCount val="5"/>
                <c:pt idx="0">
                  <c:v>69</c:v>
                </c:pt>
                <c:pt idx="1">
                  <c:v>62</c:v>
                </c:pt>
                <c:pt idx="2">
                  <c:v>126</c:v>
                </c:pt>
                <c:pt idx="3">
                  <c:v>95</c:v>
                </c:pt>
                <c:pt idx="4">
                  <c:v>80</c:v>
                </c:pt>
              </c:numCache>
            </c:numRef>
          </c:val>
          <c:extLst xmlns:c16r2="http://schemas.microsoft.com/office/drawing/2015/06/chart">
            <c:ext xmlns:c16="http://schemas.microsoft.com/office/drawing/2014/chart" uri="{C3380CC4-5D6E-409C-BE32-E72D297353CC}">
              <c16:uniqueId val="{00000000-9253-4870-A611-E8574131B770}"/>
            </c:ext>
          </c:extLst>
        </c:ser>
        <c:dLbls>
          <c:dLblPos val="outEnd"/>
          <c:showLegendKey val="0"/>
          <c:showVal val="1"/>
          <c:showCatName val="0"/>
          <c:showSerName val="0"/>
          <c:showPercent val="0"/>
          <c:showBubbleSize val="0"/>
        </c:dLbls>
        <c:gapWidth val="115"/>
        <c:overlap val="-20"/>
        <c:axId val="227421616"/>
        <c:axId val="227426712"/>
      </c:barChart>
      <c:catAx>
        <c:axId val="227421616"/>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227426712"/>
        <c:crosses val="autoZero"/>
        <c:auto val="1"/>
        <c:lblAlgn val="ctr"/>
        <c:lblOffset val="100"/>
        <c:noMultiLvlLbl val="0"/>
      </c:catAx>
      <c:valAx>
        <c:axId val="2274267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R"/>
          </a:p>
        </c:txPr>
        <c:crossAx val="227421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D36F-FDDA-49AD-B6F9-B47748D65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3299</Words>
  <Characters>18148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Jiménez Espinoza Jorge</dc:creator>
  <cp:lastModifiedBy>Velásquez Zumbado Roxyri</cp:lastModifiedBy>
  <cp:revision>3</cp:revision>
  <cp:lastPrinted>2019-01-29T22:05:00Z</cp:lastPrinted>
  <dcterms:created xsi:type="dcterms:W3CDTF">2020-05-19T14:39:00Z</dcterms:created>
  <dcterms:modified xsi:type="dcterms:W3CDTF">2020-05-19T14:39:00Z</dcterms:modified>
</cp:coreProperties>
</file>